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F7" w:rsidRPr="00301B40" w:rsidRDefault="00B200F7" w:rsidP="00B200F7"/>
    <w:p w:rsidR="00B200F7" w:rsidRPr="00301B40" w:rsidRDefault="00B200F7" w:rsidP="00B200F7"/>
    <w:p w:rsidR="00B200F7" w:rsidRPr="00301B40" w:rsidRDefault="00B200F7" w:rsidP="00B200F7"/>
    <w:p w:rsidR="00B200F7" w:rsidRPr="00301B40" w:rsidRDefault="00B200F7" w:rsidP="00B200F7"/>
    <w:p w:rsidR="00B200F7" w:rsidRPr="00301B40" w:rsidRDefault="00B200F7" w:rsidP="000E0ED7">
      <w:pPr>
        <w:rPr>
          <w:b/>
          <w:iCs/>
          <w:sz w:val="32"/>
        </w:rPr>
      </w:pPr>
    </w:p>
    <w:p w:rsidR="00B200F7" w:rsidRPr="00301B40" w:rsidRDefault="00B200F7" w:rsidP="000E0ED7">
      <w:pPr>
        <w:rPr>
          <w:b/>
          <w:iCs/>
          <w:sz w:val="32"/>
        </w:rPr>
      </w:pPr>
    </w:p>
    <w:p w:rsidR="00B200F7" w:rsidRPr="00301B40" w:rsidRDefault="00B200F7" w:rsidP="000E0ED7">
      <w:pPr>
        <w:rPr>
          <w:b/>
          <w:iCs/>
          <w:sz w:val="32"/>
        </w:rPr>
      </w:pPr>
    </w:p>
    <w:p w:rsidR="00B200F7" w:rsidRPr="006441E4" w:rsidRDefault="00B200F7" w:rsidP="000E0ED7">
      <w:pPr>
        <w:pStyle w:val="Title"/>
        <w:rPr>
          <w:szCs w:val="20"/>
          <w:lang w:eastAsia="en-GB"/>
        </w:rPr>
      </w:pPr>
      <w:r w:rsidRPr="006441E4">
        <w:rPr>
          <w:szCs w:val="20"/>
          <w:lang w:eastAsia="en-GB"/>
        </w:rPr>
        <w:t>Decision No. [XXX]</w:t>
      </w:r>
    </w:p>
    <w:p w:rsidR="00B200F7" w:rsidRPr="006441E4" w:rsidRDefault="00B200F7" w:rsidP="000E0ED7">
      <w:pPr>
        <w:rPr>
          <w:b/>
          <w:sz w:val="32"/>
          <w:szCs w:val="32"/>
        </w:rPr>
      </w:pPr>
    </w:p>
    <w:p w:rsidR="00110F6A" w:rsidRPr="00B20719" w:rsidRDefault="00E47EC8" w:rsidP="00B20719">
      <w:pPr>
        <w:pStyle w:val="Heading2"/>
        <w:rPr>
          <w:sz w:val="28"/>
          <w:szCs w:val="28"/>
          <w:lang w:eastAsia="en-GB"/>
        </w:rPr>
      </w:pPr>
      <w:r w:rsidRPr="00B20719">
        <w:rPr>
          <w:sz w:val="28"/>
          <w:szCs w:val="28"/>
          <w:lang w:eastAsia="en-GB"/>
        </w:rPr>
        <w:t>Draft Commerce Act (Gas Transmission Services Information Disclosure) Determination 2012</w:t>
      </w:r>
    </w:p>
    <w:p w:rsidR="00B200F7" w:rsidRPr="006441E4" w:rsidRDefault="00B200F7" w:rsidP="0084688E">
      <w:pPr>
        <w:spacing w:line="264" w:lineRule="auto"/>
        <w:rPr>
          <w:szCs w:val="20"/>
          <w:lang w:eastAsia="en-GB"/>
        </w:rPr>
      </w:pPr>
    </w:p>
    <w:p w:rsidR="00E47EC8" w:rsidRPr="006441E4" w:rsidRDefault="00E47EC8" w:rsidP="0084688E">
      <w:pPr>
        <w:spacing w:line="264" w:lineRule="auto"/>
        <w:rPr>
          <w:szCs w:val="20"/>
          <w:lang w:eastAsia="en-GB"/>
        </w:rPr>
      </w:pPr>
    </w:p>
    <w:p w:rsidR="000E0ED7" w:rsidRPr="006441E4" w:rsidRDefault="000E0ED7" w:rsidP="0084688E">
      <w:pPr>
        <w:spacing w:line="264" w:lineRule="auto"/>
        <w:rPr>
          <w:szCs w:val="20"/>
          <w:lang w:eastAsia="en-GB"/>
        </w:rPr>
      </w:pPr>
    </w:p>
    <w:p w:rsidR="00B200F7" w:rsidRPr="006441E4" w:rsidRDefault="00B200F7" w:rsidP="0084688E">
      <w:pPr>
        <w:tabs>
          <w:tab w:val="left" w:pos="1134"/>
          <w:tab w:val="left" w:pos="2835"/>
        </w:tabs>
        <w:spacing w:line="264" w:lineRule="auto"/>
        <w:rPr>
          <w:b/>
        </w:rPr>
      </w:pPr>
      <w:r w:rsidRPr="006441E4">
        <w:rPr>
          <w:b/>
        </w:rPr>
        <w:br/>
        <w:t xml:space="preserve">The Commerce Commission: </w:t>
      </w:r>
      <w:r w:rsidRPr="006441E4">
        <w:rPr>
          <w:b/>
        </w:rPr>
        <w:tab/>
        <w:t>Dr M Berry</w:t>
      </w:r>
    </w:p>
    <w:p w:rsidR="00B200F7" w:rsidRPr="006441E4" w:rsidRDefault="00B200F7" w:rsidP="0084688E">
      <w:pPr>
        <w:tabs>
          <w:tab w:val="left" w:pos="1134"/>
          <w:tab w:val="left" w:pos="2835"/>
        </w:tabs>
        <w:spacing w:line="264" w:lineRule="auto"/>
        <w:rPr>
          <w:b/>
        </w:rPr>
      </w:pPr>
      <w:r w:rsidRPr="006441E4">
        <w:rPr>
          <w:b/>
        </w:rPr>
        <w:tab/>
      </w:r>
      <w:r w:rsidRPr="006441E4">
        <w:rPr>
          <w:b/>
        </w:rPr>
        <w:tab/>
      </w:r>
      <w:r w:rsidRPr="006441E4">
        <w:rPr>
          <w:b/>
        </w:rPr>
        <w:tab/>
      </w:r>
      <w:r w:rsidRPr="006441E4">
        <w:rPr>
          <w:b/>
        </w:rPr>
        <w:tab/>
        <w:t>S Begg</w:t>
      </w:r>
    </w:p>
    <w:p w:rsidR="00B200F7" w:rsidRPr="006441E4" w:rsidRDefault="00B200F7" w:rsidP="0084688E">
      <w:pPr>
        <w:tabs>
          <w:tab w:val="left" w:pos="1134"/>
          <w:tab w:val="left" w:pos="2835"/>
        </w:tabs>
        <w:spacing w:line="264" w:lineRule="auto"/>
        <w:rPr>
          <w:b/>
        </w:rPr>
      </w:pPr>
      <w:r w:rsidRPr="006441E4">
        <w:rPr>
          <w:b/>
        </w:rPr>
        <w:tab/>
      </w:r>
      <w:r w:rsidRPr="006441E4">
        <w:rPr>
          <w:b/>
        </w:rPr>
        <w:tab/>
      </w:r>
      <w:r w:rsidRPr="006441E4">
        <w:rPr>
          <w:b/>
        </w:rPr>
        <w:tab/>
      </w:r>
      <w:r w:rsidRPr="006441E4">
        <w:rPr>
          <w:b/>
        </w:rPr>
        <w:tab/>
        <w:t>P Duignan</w:t>
      </w:r>
    </w:p>
    <w:p w:rsidR="00B200F7" w:rsidRPr="006441E4" w:rsidRDefault="00B200F7" w:rsidP="0084688E">
      <w:pPr>
        <w:tabs>
          <w:tab w:val="left" w:pos="1134"/>
          <w:tab w:val="left" w:pos="2835"/>
        </w:tabs>
        <w:spacing w:line="264" w:lineRule="auto"/>
        <w:rPr>
          <w:b/>
        </w:rPr>
      </w:pPr>
      <w:r w:rsidRPr="006441E4">
        <w:rPr>
          <w:b/>
        </w:rPr>
        <w:tab/>
      </w:r>
      <w:r w:rsidRPr="006441E4">
        <w:rPr>
          <w:b/>
        </w:rPr>
        <w:tab/>
      </w:r>
      <w:r w:rsidRPr="006441E4">
        <w:rPr>
          <w:b/>
        </w:rPr>
        <w:tab/>
      </w:r>
      <w:r w:rsidRPr="006441E4">
        <w:rPr>
          <w:b/>
        </w:rPr>
        <w:tab/>
        <w:t>S Gale</w:t>
      </w:r>
    </w:p>
    <w:p w:rsidR="00B200F7" w:rsidRPr="006441E4" w:rsidRDefault="00B200F7" w:rsidP="0084688E">
      <w:pPr>
        <w:tabs>
          <w:tab w:val="left" w:pos="1134"/>
          <w:tab w:val="left" w:pos="2835"/>
        </w:tabs>
        <w:spacing w:line="264" w:lineRule="auto"/>
        <w:rPr>
          <w:b/>
        </w:rPr>
      </w:pPr>
    </w:p>
    <w:p w:rsidR="00B200F7" w:rsidRPr="006441E4" w:rsidRDefault="00B200F7" w:rsidP="00B200F7">
      <w:pPr>
        <w:tabs>
          <w:tab w:val="left" w:pos="1134"/>
          <w:tab w:val="left" w:pos="2835"/>
        </w:tabs>
        <w:rPr>
          <w:b/>
        </w:rPr>
      </w:pPr>
    </w:p>
    <w:p w:rsidR="00110F6A" w:rsidRPr="00110F6A" w:rsidRDefault="00B200F7" w:rsidP="0084688E">
      <w:pPr>
        <w:spacing w:line="264" w:lineRule="auto"/>
        <w:rPr>
          <w:szCs w:val="20"/>
          <w:lang w:eastAsia="en-GB"/>
        </w:rPr>
      </w:pPr>
      <w:r w:rsidRPr="006441E4">
        <w:rPr>
          <w:b/>
          <w:szCs w:val="20"/>
          <w:lang w:eastAsia="en-GB"/>
        </w:rPr>
        <w:t>Summary of the determination</w:t>
      </w:r>
      <w:r w:rsidRPr="006441E4">
        <w:rPr>
          <w:szCs w:val="20"/>
          <w:lang w:eastAsia="en-GB"/>
        </w:rPr>
        <w:t xml:space="preserve">:  Pursuant to Part 4 of the </w:t>
      </w:r>
      <w:r w:rsidR="00A40BE3" w:rsidRPr="006441E4">
        <w:rPr>
          <w:szCs w:val="20"/>
          <w:lang w:eastAsia="en-GB"/>
        </w:rPr>
        <w:t xml:space="preserve">Commerce </w:t>
      </w:r>
      <w:r w:rsidRPr="006441E4">
        <w:rPr>
          <w:szCs w:val="20"/>
          <w:lang w:eastAsia="en-GB"/>
        </w:rPr>
        <w:t>Act</w:t>
      </w:r>
      <w:r w:rsidR="00A40BE3" w:rsidRPr="006441E4">
        <w:rPr>
          <w:szCs w:val="20"/>
          <w:lang w:eastAsia="en-GB"/>
        </w:rPr>
        <w:t xml:space="preserve"> 1986</w:t>
      </w:r>
      <w:r w:rsidRPr="006441E4">
        <w:rPr>
          <w:szCs w:val="20"/>
          <w:lang w:eastAsia="en-GB"/>
        </w:rPr>
        <w:t xml:space="preserve">, the Commerce Commission has determined information disclosure </w:t>
      </w:r>
      <w:r w:rsidR="00746306" w:rsidRPr="006441E4">
        <w:rPr>
          <w:szCs w:val="20"/>
          <w:lang w:eastAsia="en-GB"/>
        </w:rPr>
        <w:t xml:space="preserve">requirements that apply to gas transmission </w:t>
      </w:r>
      <w:r w:rsidR="00534BCF" w:rsidRPr="006441E4">
        <w:rPr>
          <w:szCs w:val="20"/>
          <w:lang w:eastAsia="en-GB"/>
        </w:rPr>
        <w:t>b</w:t>
      </w:r>
      <w:r w:rsidRPr="006441E4">
        <w:rPr>
          <w:szCs w:val="20"/>
          <w:lang w:eastAsia="en-GB"/>
        </w:rPr>
        <w:t>usinesses</w:t>
      </w:r>
      <w:r w:rsidR="00534BCF" w:rsidRPr="006441E4">
        <w:rPr>
          <w:szCs w:val="20"/>
          <w:lang w:eastAsia="en-GB"/>
        </w:rPr>
        <w:t>.</w:t>
      </w:r>
    </w:p>
    <w:p w:rsidR="00B200F7" w:rsidRPr="006441E4" w:rsidRDefault="00B200F7" w:rsidP="0084688E">
      <w:pPr>
        <w:tabs>
          <w:tab w:val="left" w:pos="1134"/>
          <w:tab w:val="left" w:pos="2835"/>
        </w:tabs>
        <w:spacing w:line="264" w:lineRule="auto"/>
      </w:pPr>
    </w:p>
    <w:p w:rsidR="00B200F7" w:rsidRPr="006441E4" w:rsidRDefault="00B200F7" w:rsidP="0084688E">
      <w:pPr>
        <w:tabs>
          <w:tab w:val="left" w:pos="1134"/>
          <w:tab w:val="left" w:pos="2835"/>
        </w:tabs>
        <w:spacing w:line="264" w:lineRule="auto"/>
        <w:rPr>
          <w:b/>
        </w:rPr>
      </w:pPr>
      <w:r w:rsidRPr="006441E4">
        <w:rPr>
          <w:b/>
        </w:rPr>
        <w:t xml:space="preserve">This determination is currently in draft form and is intended for consultation purposes </w:t>
      </w:r>
      <w:proofErr w:type="gramStart"/>
      <w:r w:rsidRPr="006441E4">
        <w:rPr>
          <w:b/>
        </w:rPr>
        <w:t>only</w:t>
      </w:r>
      <w:proofErr w:type="gramEnd"/>
      <w:r w:rsidR="00110F6A">
        <w:rPr>
          <w:b/>
        </w:rPr>
        <w:t xml:space="preserve">. </w:t>
      </w:r>
      <w:r w:rsidRPr="006441E4">
        <w:rPr>
          <w:b/>
        </w:rPr>
        <w:t xml:space="preserve">Following submissions on this draft determination, a final determination </w:t>
      </w:r>
      <w:r w:rsidR="00AE5561" w:rsidRPr="006441E4">
        <w:rPr>
          <w:b/>
        </w:rPr>
        <w:t>will</w:t>
      </w:r>
      <w:r w:rsidRPr="006441E4">
        <w:rPr>
          <w:b/>
        </w:rPr>
        <w:t xml:space="preserve"> be made</w:t>
      </w:r>
      <w:r w:rsidR="00110F6A">
        <w:rPr>
          <w:b/>
        </w:rPr>
        <w:t xml:space="preserve">. </w:t>
      </w:r>
      <w:r w:rsidR="00AE5561" w:rsidRPr="006441E4">
        <w:rPr>
          <w:b/>
        </w:rPr>
        <w:t>This is expected to occur by the end of May 2012.</w:t>
      </w:r>
    </w:p>
    <w:p w:rsidR="00B200F7" w:rsidRPr="006441E4" w:rsidRDefault="00B200F7" w:rsidP="0084688E">
      <w:pPr>
        <w:tabs>
          <w:tab w:val="left" w:pos="1134"/>
          <w:tab w:val="left" w:pos="2835"/>
        </w:tabs>
        <w:spacing w:line="264" w:lineRule="auto"/>
      </w:pPr>
    </w:p>
    <w:p w:rsidR="00B200F7" w:rsidRPr="006441E4" w:rsidRDefault="00B200F7" w:rsidP="00B200F7">
      <w:pPr>
        <w:tabs>
          <w:tab w:val="left" w:pos="1134"/>
          <w:tab w:val="left" w:pos="2835"/>
        </w:tabs>
      </w:pPr>
    </w:p>
    <w:p w:rsidR="006112C5" w:rsidRPr="006441E4" w:rsidRDefault="00B200F7" w:rsidP="00B200F7">
      <w:r w:rsidRPr="006441E4">
        <w:t xml:space="preserve">Date of Decision:  [xx </w:t>
      </w:r>
      <w:proofErr w:type="spellStart"/>
      <w:r w:rsidRPr="006441E4">
        <w:t>xxxxxxx</w:t>
      </w:r>
      <w:proofErr w:type="spellEnd"/>
      <w:r w:rsidRPr="006441E4">
        <w:t xml:space="preserve"> 2012]</w:t>
      </w:r>
    </w:p>
    <w:p w:rsidR="00B200F7" w:rsidRPr="006441E4" w:rsidRDefault="00B200F7" w:rsidP="00B200F7"/>
    <w:p w:rsidR="000E0ED7" w:rsidRPr="006441E4" w:rsidRDefault="000E0ED7">
      <w:pPr>
        <w:sectPr w:rsidR="000E0ED7" w:rsidRPr="006441E4" w:rsidSect="000A7887">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134" w:footer="431" w:gutter="0"/>
          <w:cols w:space="720"/>
          <w:titlePg/>
        </w:sectPr>
      </w:pPr>
    </w:p>
    <w:p w:rsidR="00B200F7" w:rsidRPr="00B20719" w:rsidRDefault="00B200F7" w:rsidP="00B20719">
      <w:pPr>
        <w:pStyle w:val="Title"/>
        <w:rPr>
          <w:sz w:val="28"/>
          <w:szCs w:val="28"/>
          <w:lang w:eastAsia="en-GB"/>
        </w:rPr>
      </w:pPr>
      <w:r w:rsidRPr="00B20719">
        <w:rPr>
          <w:sz w:val="28"/>
          <w:szCs w:val="28"/>
          <w:lang w:eastAsia="en-GB"/>
        </w:rPr>
        <w:lastRenderedPageBreak/>
        <w:t xml:space="preserve">COMMERCE ACT (GAS </w:t>
      </w:r>
      <w:r w:rsidR="00746306" w:rsidRPr="00B20719">
        <w:rPr>
          <w:sz w:val="28"/>
          <w:szCs w:val="28"/>
          <w:lang w:eastAsia="en-GB"/>
        </w:rPr>
        <w:t xml:space="preserve">TRANSMISSION </w:t>
      </w:r>
      <w:r w:rsidRPr="00B20719">
        <w:rPr>
          <w:sz w:val="28"/>
          <w:szCs w:val="28"/>
          <w:lang w:eastAsia="en-GB"/>
        </w:rPr>
        <w:t>SERVICES</w:t>
      </w:r>
      <w:r w:rsidR="00621AB7" w:rsidRPr="00B20719">
        <w:rPr>
          <w:sz w:val="28"/>
          <w:szCs w:val="28"/>
          <w:lang w:eastAsia="en-GB"/>
        </w:rPr>
        <w:t xml:space="preserve"> </w:t>
      </w:r>
      <w:r w:rsidRPr="00B20719">
        <w:rPr>
          <w:sz w:val="28"/>
          <w:szCs w:val="28"/>
          <w:lang w:eastAsia="en-GB"/>
        </w:rPr>
        <w:t>INFORMATION DISCLOSURE) DETERMINATION 2012</w:t>
      </w:r>
    </w:p>
    <w:p w:rsidR="00B200F7" w:rsidRPr="006441E4" w:rsidRDefault="00B200F7" w:rsidP="00C80BBC">
      <w:pPr>
        <w:pStyle w:val="ChapterHeading"/>
        <w:numPr>
          <w:ilvl w:val="0"/>
          <w:numId w:val="0"/>
        </w:numPr>
        <w:tabs>
          <w:tab w:val="left" w:pos="720"/>
        </w:tabs>
        <w:spacing w:before="0" w:after="0"/>
        <w:rPr>
          <w:b w:val="0"/>
          <w:sz w:val="24"/>
          <w:szCs w:val="24"/>
          <w:lang w:eastAsia="en-GB"/>
        </w:rPr>
      </w:pPr>
    </w:p>
    <w:p w:rsidR="00C80BBC" w:rsidRPr="006441E4" w:rsidRDefault="00C80BBC" w:rsidP="00C80BBC">
      <w:pPr>
        <w:pStyle w:val="ChapterHeading"/>
        <w:numPr>
          <w:ilvl w:val="0"/>
          <w:numId w:val="0"/>
        </w:numPr>
        <w:tabs>
          <w:tab w:val="left" w:pos="720"/>
        </w:tabs>
        <w:spacing w:before="0" w:after="0"/>
        <w:rPr>
          <w:b w:val="0"/>
          <w:sz w:val="24"/>
          <w:szCs w:val="24"/>
          <w:lang w:eastAsia="en-GB"/>
        </w:rPr>
      </w:pPr>
    </w:p>
    <w:p w:rsidR="00B06C04" w:rsidRDefault="0033518E">
      <w:pPr>
        <w:pStyle w:val="TOC1"/>
        <w:rPr>
          <w:rFonts w:eastAsiaTheme="minorEastAsia" w:cstheme="minorBidi"/>
          <w:b w:val="0"/>
          <w:caps w:val="0"/>
          <w:sz w:val="22"/>
          <w:szCs w:val="22"/>
          <w:lang w:eastAsia="en-NZ"/>
        </w:rPr>
      </w:pPr>
      <w:r w:rsidRPr="0033518E">
        <w:rPr>
          <w:b w:val="0"/>
          <w:caps w:val="0"/>
        </w:rPr>
        <w:fldChar w:fldCharType="begin"/>
      </w:r>
      <w:r w:rsidR="00B20719">
        <w:rPr>
          <w:b w:val="0"/>
          <w:caps w:val="0"/>
        </w:rPr>
        <w:instrText xml:space="preserve"> TOC \h \z \t "Heading 1,1,Heading H2,1,Heading H3: Section Heading,1" </w:instrText>
      </w:r>
      <w:r w:rsidRPr="0033518E">
        <w:rPr>
          <w:b w:val="0"/>
          <w:caps w:val="0"/>
        </w:rPr>
        <w:fldChar w:fldCharType="separate"/>
      </w:r>
      <w:hyperlink w:anchor="_Toc329296351" w:history="1">
        <w:r w:rsidR="00B06C04" w:rsidRPr="00856019">
          <w:rPr>
            <w:rStyle w:val="Hyperlink"/>
            <w:rFonts w:ascii="Calibri Bold" w:hAnsi="Calibri Bold"/>
          </w:rPr>
          <w:t>PART 1</w:t>
        </w:r>
        <w:r w:rsidR="00B06C04">
          <w:rPr>
            <w:rFonts w:eastAsiaTheme="minorEastAsia" w:cstheme="minorBidi"/>
            <w:b w:val="0"/>
            <w:caps w:val="0"/>
            <w:sz w:val="22"/>
            <w:szCs w:val="22"/>
            <w:lang w:eastAsia="en-NZ"/>
          </w:rPr>
          <w:tab/>
        </w:r>
        <w:r w:rsidR="00B06C04" w:rsidRPr="00856019">
          <w:rPr>
            <w:rStyle w:val="Hyperlink"/>
          </w:rPr>
          <w:t>GENERAL PROVISIONS</w:t>
        </w:r>
        <w:r w:rsidR="00B06C04">
          <w:rPr>
            <w:webHidden/>
          </w:rPr>
          <w:tab/>
        </w:r>
        <w:r>
          <w:rPr>
            <w:webHidden/>
          </w:rPr>
          <w:fldChar w:fldCharType="begin"/>
        </w:r>
        <w:r w:rsidR="00B06C04">
          <w:rPr>
            <w:webHidden/>
          </w:rPr>
          <w:instrText xml:space="preserve"> PAGEREF _Toc329296351 \h </w:instrText>
        </w:r>
        <w:r>
          <w:rPr>
            <w:webHidden/>
          </w:rPr>
        </w:r>
        <w:r>
          <w:rPr>
            <w:webHidden/>
          </w:rPr>
          <w:fldChar w:fldCharType="separate"/>
        </w:r>
        <w:r w:rsidR="00B06C04">
          <w:rPr>
            <w:webHidden/>
          </w:rPr>
          <w:t>5</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52" w:history="1">
        <w:r w:rsidR="00B06C04" w:rsidRPr="00856019">
          <w:rPr>
            <w:rStyle w:val="Hyperlink"/>
            <w:rFonts w:ascii="Calibri Bold" w:hAnsi="Calibri Bold"/>
          </w:rPr>
          <w:t>1.1</w:t>
        </w:r>
        <w:r w:rsidR="00B06C04">
          <w:rPr>
            <w:rFonts w:eastAsiaTheme="minorEastAsia" w:cstheme="minorBidi"/>
            <w:b w:val="0"/>
            <w:caps w:val="0"/>
            <w:sz w:val="22"/>
            <w:szCs w:val="22"/>
            <w:lang w:eastAsia="en-NZ"/>
          </w:rPr>
          <w:tab/>
        </w:r>
        <w:r w:rsidR="00B06C04" w:rsidRPr="00856019">
          <w:rPr>
            <w:rStyle w:val="Hyperlink"/>
          </w:rPr>
          <w:t>Title</w:t>
        </w:r>
        <w:r w:rsidR="00B06C04">
          <w:rPr>
            <w:webHidden/>
          </w:rPr>
          <w:tab/>
        </w:r>
        <w:r>
          <w:rPr>
            <w:webHidden/>
          </w:rPr>
          <w:fldChar w:fldCharType="begin"/>
        </w:r>
        <w:r w:rsidR="00B06C04">
          <w:rPr>
            <w:webHidden/>
          </w:rPr>
          <w:instrText xml:space="preserve"> PAGEREF _Toc329296352 \h </w:instrText>
        </w:r>
        <w:r>
          <w:rPr>
            <w:webHidden/>
          </w:rPr>
        </w:r>
        <w:r>
          <w:rPr>
            <w:webHidden/>
          </w:rPr>
          <w:fldChar w:fldCharType="separate"/>
        </w:r>
        <w:r w:rsidR="00B06C04">
          <w:rPr>
            <w:webHidden/>
          </w:rPr>
          <w:t>5</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53" w:history="1">
        <w:r w:rsidR="00B06C04" w:rsidRPr="00856019">
          <w:rPr>
            <w:rStyle w:val="Hyperlink"/>
            <w:rFonts w:ascii="Calibri Bold" w:hAnsi="Calibri Bold" w:cs="Arial"/>
          </w:rPr>
          <w:t>1.2</w:t>
        </w:r>
        <w:r w:rsidR="00B06C04">
          <w:rPr>
            <w:rFonts w:eastAsiaTheme="minorEastAsia" w:cstheme="minorBidi"/>
            <w:b w:val="0"/>
            <w:caps w:val="0"/>
            <w:sz w:val="22"/>
            <w:szCs w:val="22"/>
            <w:lang w:eastAsia="en-NZ"/>
          </w:rPr>
          <w:tab/>
        </w:r>
        <w:r w:rsidR="00B06C04" w:rsidRPr="00856019">
          <w:rPr>
            <w:rStyle w:val="Hyperlink"/>
          </w:rPr>
          <w:t>Commencement DATE</w:t>
        </w:r>
        <w:r w:rsidR="00B06C04">
          <w:rPr>
            <w:webHidden/>
          </w:rPr>
          <w:tab/>
        </w:r>
        <w:r>
          <w:rPr>
            <w:webHidden/>
          </w:rPr>
          <w:fldChar w:fldCharType="begin"/>
        </w:r>
        <w:r w:rsidR="00B06C04">
          <w:rPr>
            <w:webHidden/>
          </w:rPr>
          <w:instrText xml:space="preserve"> PAGEREF _Toc329296353 \h </w:instrText>
        </w:r>
        <w:r>
          <w:rPr>
            <w:webHidden/>
          </w:rPr>
        </w:r>
        <w:r>
          <w:rPr>
            <w:webHidden/>
          </w:rPr>
          <w:fldChar w:fldCharType="separate"/>
        </w:r>
        <w:r w:rsidR="00B06C04">
          <w:rPr>
            <w:webHidden/>
          </w:rPr>
          <w:t>5</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54" w:history="1">
        <w:r w:rsidR="00B06C04" w:rsidRPr="00856019">
          <w:rPr>
            <w:rStyle w:val="Hyperlink"/>
            <w:rFonts w:ascii="Calibri Bold" w:hAnsi="Calibri Bold"/>
          </w:rPr>
          <w:t>1.3</w:t>
        </w:r>
        <w:r w:rsidR="00B06C04">
          <w:rPr>
            <w:rFonts w:eastAsiaTheme="minorEastAsia" w:cstheme="minorBidi"/>
            <w:b w:val="0"/>
            <w:caps w:val="0"/>
            <w:sz w:val="22"/>
            <w:szCs w:val="22"/>
            <w:lang w:eastAsia="en-NZ"/>
          </w:rPr>
          <w:tab/>
        </w:r>
        <w:r w:rsidR="00B06C04" w:rsidRPr="00856019">
          <w:rPr>
            <w:rStyle w:val="Hyperlink"/>
          </w:rPr>
          <w:t>Application</w:t>
        </w:r>
        <w:r w:rsidR="00B06C04">
          <w:rPr>
            <w:webHidden/>
          </w:rPr>
          <w:tab/>
        </w:r>
        <w:r>
          <w:rPr>
            <w:webHidden/>
          </w:rPr>
          <w:fldChar w:fldCharType="begin"/>
        </w:r>
        <w:r w:rsidR="00B06C04">
          <w:rPr>
            <w:webHidden/>
          </w:rPr>
          <w:instrText xml:space="preserve"> PAGEREF _Toc329296354 \h </w:instrText>
        </w:r>
        <w:r>
          <w:rPr>
            <w:webHidden/>
          </w:rPr>
        </w:r>
        <w:r>
          <w:rPr>
            <w:webHidden/>
          </w:rPr>
          <w:fldChar w:fldCharType="separate"/>
        </w:r>
        <w:r w:rsidR="00B06C04">
          <w:rPr>
            <w:webHidden/>
          </w:rPr>
          <w:t>5</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55" w:history="1">
        <w:r w:rsidR="00B06C04" w:rsidRPr="00856019">
          <w:rPr>
            <w:rStyle w:val="Hyperlink"/>
            <w:rFonts w:ascii="Calibri Bold" w:hAnsi="Calibri Bold" w:cs="Arial"/>
          </w:rPr>
          <w:t>1.4</w:t>
        </w:r>
        <w:r w:rsidR="00B06C04">
          <w:rPr>
            <w:rFonts w:eastAsiaTheme="minorEastAsia" w:cstheme="minorBidi"/>
            <w:b w:val="0"/>
            <w:caps w:val="0"/>
            <w:sz w:val="22"/>
            <w:szCs w:val="22"/>
            <w:lang w:eastAsia="en-NZ"/>
          </w:rPr>
          <w:tab/>
        </w:r>
        <w:r w:rsidR="00B06C04" w:rsidRPr="00856019">
          <w:rPr>
            <w:rStyle w:val="Hyperlink"/>
          </w:rPr>
          <w:t>Interpretation</w:t>
        </w:r>
        <w:r w:rsidR="00B06C04">
          <w:rPr>
            <w:webHidden/>
          </w:rPr>
          <w:tab/>
        </w:r>
        <w:r>
          <w:rPr>
            <w:webHidden/>
          </w:rPr>
          <w:fldChar w:fldCharType="begin"/>
        </w:r>
        <w:r w:rsidR="00B06C04">
          <w:rPr>
            <w:webHidden/>
          </w:rPr>
          <w:instrText xml:space="preserve"> PAGEREF _Toc329296355 \h </w:instrText>
        </w:r>
        <w:r>
          <w:rPr>
            <w:webHidden/>
          </w:rPr>
        </w:r>
        <w:r>
          <w:rPr>
            <w:webHidden/>
          </w:rPr>
          <w:fldChar w:fldCharType="separate"/>
        </w:r>
        <w:r w:rsidR="00B06C04">
          <w:rPr>
            <w:webHidden/>
          </w:rPr>
          <w:t>5</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56" w:history="1">
        <w:r w:rsidR="00B06C04" w:rsidRPr="00856019">
          <w:rPr>
            <w:rStyle w:val="Hyperlink"/>
            <w:rFonts w:ascii="Calibri Bold" w:hAnsi="Calibri Bold"/>
          </w:rPr>
          <w:t>PART 2</w:t>
        </w:r>
        <w:r w:rsidR="00B06C04">
          <w:rPr>
            <w:rFonts w:eastAsiaTheme="minorEastAsia" w:cstheme="minorBidi"/>
            <w:b w:val="0"/>
            <w:caps w:val="0"/>
            <w:sz w:val="22"/>
            <w:szCs w:val="22"/>
            <w:lang w:eastAsia="en-NZ"/>
          </w:rPr>
          <w:tab/>
        </w:r>
        <w:r w:rsidR="00B06C04" w:rsidRPr="00856019">
          <w:rPr>
            <w:rStyle w:val="Hyperlink"/>
          </w:rPr>
          <w:t>Disclosure Requirements</w:t>
        </w:r>
        <w:r w:rsidR="00B06C04">
          <w:rPr>
            <w:webHidden/>
          </w:rPr>
          <w:tab/>
        </w:r>
        <w:r>
          <w:rPr>
            <w:webHidden/>
          </w:rPr>
          <w:fldChar w:fldCharType="begin"/>
        </w:r>
        <w:r w:rsidR="00B06C04">
          <w:rPr>
            <w:webHidden/>
          </w:rPr>
          <w:instrText xml:space="preserve"> PAGEREF _Toc329296356 \h </w:instrText>
        </w:r>
        <w:r>
          <w:rPr>
            <w:webHidden/>
          </w:rPr>
        </w:r>
        <w:r>
          <w:rPr>
            <w:webHidden/>
          </w:rPr>
          <w:fldChar w:fldCharType="separate"/>
        </w:r>
        <w:r w:rsidR="00B06C04">
          <w:rPr>
            <w:webHidden/>
          </w:rPr>
          <w:t>23</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57" w:history="1">
        <w:r w:rsidR="00B06C04" w:rsidRPr="00856019">
          <w:rPr>
            <w:rStyle w:val="Hyperlink"/>
            <w:rFonts w:ascii="Calibri Bold" w:hAnsi="Calibri Bold"/>
          </w:rPr>
          <w:t>2.1</w:t>
        </w:r>
        <w:r w:rsidR="00B06C04">
          <w:rPr>
            <w:rFonts w:eastAsiaTheme="minorEastAsia" w:cstheme="minorBidi"/>
            <w:b w:val="0"/>
            <w:caps w:val="0"/>
            <w:sz w:val="22"/>
            <w:szCs w:val="22"/>
            <w:lang w:eastAsia="en-NZ"/>
          </w:rPr>
          <w:tab/>
        </w:r>
        <w:r w:rsidR="00B06C04" w:rsidRPr="00856019">
          <w:rPr>
            <w:rStyle w:val="Hyperlink"/>
          </w:rPr>
          <w:t>INformation DIsclosure</w:t>
        </w:r>
        <w:r w:rsidR="00B06C04">
          <w:rPr>
            <w:webHidden/>
          </w:rPr>
          <w:tab/>
        </w:r>
        <w:r>
          <w:rPr>
            <w:webHidden/>
          </w:rPr>
          <w:fldChar w:fldCharType="begin"/>
        </w:r>
        <w:r w:rsidR="00B06C04">
          <w:rPr>
            <w:webHidden/>
          </w:rPr>
          <w:instrText xml:space="preserve"> PAGEREF _Toc329296357 \h </w:instrText>
        </w:r>
        <w:r>
          <w:rPr>
            <w:webHidden/>
          </w:rPr>
        </w:r>
        <w:r>
          <w:rPr>
            <w:webHidden/>
          </w:rPr>
          <w:fldChar w:fldCharType="separate"/>
        </w:r>
        <w:r w:rsidR="00B06C04">
          <w:rPr>
            <w:webHidden/>
          </w:rPr>
          <w:t>23</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58" w:history="1">
        <w:r w:rsidR="00B06C04" w:rsidRPr="00856019">
          <w:rPr>
            <w:rStyle w:val="Hyperlink"/>
            <w:rFonts w:ascii="Calibri Bold" w:hAnsi="Calibri Bold"/>
          </w:rPr>
          <w:t>2.2</w:t>
        </w:r>
        <w:r w:rsidR="00B06C04">
          <w:rPr>
            <w:rFonts w:eastAsiaTheme="minorEastAsia" w:cstheme="minorBidi"/>
            <w:b w:val="0"/>
            <w:caps w:val="0"/>
            <w:sz w:val="22"/>
            <w:szCs w:val="22"/>
            <w:lang w:eastAsia="en-NZ"/>
          </w:rPr>
          <w:tab/>
        </w:r>
        <w:r w:rsidR="00B06C04" w:rsidRPr="00856019">
          <w:rPr>
            <w:rStyle w:val="Hyperlink"/>
          </w:rPr>
          <w:t>APPLICABLE INPUT METHODOLOGIES</w:t>
        </w:r>
        <w:r w:rsidR="00B06C04">
          <w:rPr>
            <w:webHidden/>
          </w:rPr>
          <w:tab/>
        </w:r>
        <w:r>
          <w:rPr>
            <w:webHidden/>
          </w:rPr>
          <w:fldChar w:fldCharType="begin"/>
        </w:r>
        <w:r w:rsidR="00B06C04">
          <w:rPr>
            <w:webHidden/>
          </w:rPr>
          <w:instrText xml:space="preserve"> PAGEREF _Toc329296358 \h </w:instrText>
        </w:r>
        <w:r>
          <w:rPr>
            <w:webHidden/>
          </w:rPr>
        </w:r>
        <w:r>
          <w:rPr>
            <w:webHidden/>
          </w:rPr>
          <w:fldChar w:fldCharType="separate"/>
        </w:r>
        <w:r w:rsidR="00B06C04">
          <w:rPr>
            <w:webHidden/>
          </w:rPr>
          <w:t>23</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59" w:history="1">
        <w:r w:rsidR="00B06C04" w:rsidRPr="00856019">
          <w:rPr>
            <w:rStyle w:val="Hyperlink"/>
            <w:rFonts w:ascii="Calibri Bold" w:hAnsi="Calibri Bold"/>
          </w:rPr>
          <w:t>2.3</w:t>
        </w:r>
        <w:r w:rsidR="00B06C04">
          <w:rPr>
            <w:rFonts w:eastAsiaTheme="minorEastAsia" w:cstheme="minorBidi"/>
            <w:b w:val="0"/>
            <w:caps w:val="0"/>
            <w:sz w:val="22"/>
            <w:szCs w:val="22"/>
            <w:lang w:eastAsia="en-NZ"/>
          </w:rPr>
          <w:tab/>
        </w:r>
        <w:r w:rsidR="00B06C04" w:rsidRPr="00856019">
          <w:rPr>
            <w:rStyle w:val="Hyperlink"/>
          </w:rPr>
          <w:t>FINANCIAL INFORMATION FOR THE DISCLOSURE YEAR</w:t>
        </w:r>
        <w:r w:rsidR="00B06C04">
          <w:rPr>
            <w:webHidden/>
          </w:rPr>
          <w:tab/>
        </w:r>
        <w:r>
          <w:rPr>
            <w:webHidden/>
          </w:rPr>
          <w:fldChar w:fldCharType="begin"/>
        </w:r>
        <w:r w:rsidR="00B06C04">
          <w:rPr>
            <w:webHidden/>
          </w:rPr>
          <w:instrText xml:space="preserve"> PAGEREF _Toc329296359 \h </w:instrText>
        </w:r>
        <w:r>
          <w:rPr>
            <w:webHidden/>
          </w:rPr>
        </w:r>
        <w:r>
          <w:rPr>
            <w:webHidden/>
          </w:rPr>
          <w:fldChar w:fldCharType="separate"/>
        </w:r>
        <w:r w:rsidR="00B06C04">
          <w:rPr>
            <w:webHidden/>
          </w:rPr>
          <w:t>24</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60" w:history="1">
        <w:r w:rsidR="00B06C04" w:rsidRPr="00856019">
          <w:rPr>
            <w:rStyle w:val="Hyperlink"/>
            <w:rFonts w:ascii="Calibri Bold" w:hAnsi="Calibri Bold"/>
          </w:rPr>
          <w:t>2.4</w:t>
        </w:r>
        <w:r w:rsidR="00B06C04">
          <w:rPr>
            <w:rFonts w:eastAsiaTheme="minorEastAsia" w:cstheme="minorBidi"/>
            <w:b w:val="0"/>
            <w:caps w:val="0"/>
            <w:sz w:val="22"/>
            <w:szCs w:val="22"/>
            <w:lang w:eastAsia="en-NZ"/>
          </w:rPr>
          <w:tab/>
        </w:r>
        <w:r w:rsidR="00B06C04" w:rsidRPr="00856019">
          <w:rPr>
            <w:rStyle w:val="Hyperlink"/>
          </w:rPr>
          <w:t>PRICING And related INFORMATION</w:t>
        </w:r>
        <w:r w:rsidR="00B06C04">
          <w:rPr>
            <w:webHidden/>
          </w:rPr>
          <w:tab/>
        </w:r>
        <w:r>
          <w:rPr>
            <w:webHidden/>
          </w:rPr>
          <w:fldChar w:fldCharType="begin"/>
        </w:r>
        <w:r w:rsidR="00B06C04">
          <w:rPr>
            <w:webHidden/>
          </w:rPr>
          <w:instrText xml:space="preserve"> PAGEREF _Toc329296360 \h </w:instrText>
        </w:r>
        <w:r>
          <w:rPr>
            <w:webHidden/>
          </w:rPr>
        </w:r>
        <w:r>
          <w:rPr>
            <w:webHidden/>
          </w:rPr>
          <w:fldChar w:fldCharType="separate"/>
        </w:r>
        <w:r w:rsidR="00B06C04">
          <w:rPr>
            <w:webHidden/>
          </w:rPr>
          <w:t>30</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61" w:history="1">
        <w:r w:rsidR="00B06C04" w:rsidRPr="00856019">
          <w:rPr>
            <w:rStyle w:val="Hyperlink"/>
            <w:rFonts w:ascii="Calibri Bold" w:hAnsi="Calibri Bold"/>
          </w:rPr>
          <w:t>2.5</w:t>
        </w:r>
        <w:r w:rsidR="00B06C04">
          <w:rPr>
            <w:rFonts w:eastAsiaTheme="minorEastAsia" w:cstheme="minorBidi"/>
            <w:b w:val="0"/>
            <w:caps w:val="0"/>
            <w:sz w:val="22"/>
            <w:szCs w:val="22"/>
            <w:lang w:eastAsia="en-NZ"/>
          </w:rPr>
          <w:tab/>
        </w:r>
        <w:r w:rsidR="00B06C04" w:rsidRPr="00856019">
          <w:rPr>
            <w:rStyle w:val="Hyperlink"/>
          </w:rPr>
          <w:t>Non-Financial Information Relating to Network Assets</w:t>
        </w:r>
        <w:r w:rsidR="00B06C04">
          <w:rPr>
            <w:webHidden/>
          </w:rPr>
          <w:tab/>
        </w:r>
        <w:r>
          <w:rPr>
            <w:webHidden/>
          </w:rPr>
          <w:fldChar w:fldCharType="begin"/>
        </w:r>
        <w:r w:rsidR="00B06C04">
          <w:rPr>
            <w:webHidden/>
          </w:rPr>
          <w:instrText xml:space="preserve"> PAGEREF _Toc329296361 \h </w:instrText>
        </w:r>
        <w:r>
          <w:rPr>
            <w:webHidden/>
          </w:rPr>
        </w:r>
        <w:r>
          <w:rPr>
            <w:webHidden/>
          </w:rPr>
          <w:fldChar w:fldCharType="separate"/>
        </w:r>
        <w:r w:rsidR="00B06C04">
          <w:rPr>
            <w:webHidden/>
          </w:rPr>
          <w:t>35</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62" w:history="1">
        <w:r w:rsidR="00B06C04" w:rsidRPr="00856019">
          <w:rPr>
            <w:rStyle w:val="Hyperlink"/>
            <w:rFonts w:ascii="Calibri Bold" w:hAnsi="Calibri Bold"/>
          </w:rPr>
          <w:t>2.6</w:t>
        </w:r>
        <w:r w:rsidR="00B06C04">
          <w:rPr>
            <w:rFonts w:eastAsiaTheme="minorEastAsia" w:cstheme="minorBidi"/>
            <w:b w:val="0"/>
            <w:caps w:val="0"/>
            <w:sz w:val="22"/>
            <w:szCs w:val="22"/>
            <w:lang w:eastAsia="en-NZ"/>
          </w:rPr>
          <w:tab/>
        </w:r>
        <w:r w:rsidR="00B06C04" w:rsidRPr="00856019">
          <w:rPr>
            <w:rStyle w:val="Hyperlink"/>
          </w:rPr>
          <w:t>ASSET MANAGEMENT Plans and Forecast INFORMATION</w:t>
        </w:r>
        <w:r w:rsidR="00B06C04">
          <w:rPr>
            <w:webHidden/>
          </w:rPr>
          <w:tab/>
        </w:r>
        <w:r>
          <w:rPr>
            <w:webHidden/>
          </w:rPr>
          <w:fldChar w:fldCharType="begin"/>
        </w:r>
        <w:r w:rsidR="00B06C04">
          <w:rPr>
            <w:webHidden/>
          </w:rPr>
          <w:instrText xml:space="preserve"> PAGEREF _Toc329296362 \h </w:instrText>
        </w:r>
        <w:r>
          <w:rPr>
            <w:webHidden/>
          </w:rPr>
        </w:r>
        <w:r>
          <w:rPr>
            <w:webHidden/>
          </w:rPr>
          <w:fldChar w:fldCharType="separate"/>
        </w:r>
        <w:r w:rsidR="00B06C04">
          <w:rPr>
            <w:webHidden/>
          </w:rPr>
          <w:t>39</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63" w:history="1">
        <w:r w:rsidR="00B06C04" w:rsidRPr="00856019">
          <w:rPr>
            <w:rStyle w:val="Hyperlink"/>
            <w:rFonts w:ascii="Calibri Bold" w:hAnsi="Calibri Bold"/>
          </w:rPr>
          <w:t>2.7</w:t>
        </w:r>
        <w:r w:rsidR="00B06C04">
          <w:rPr>
            <w:rFonts w:eastAsiaTheme="minorEastAsia" w:cstheme="minorBidi"/>
            <w:b w:val="0"/>
            <w:caps w:val="0"/>
            <w:sz w:val="22"/>
            <w:szCs w:val="22"/>
            <w:lang w:eastAsia="en-NZ"/>
          </w:rPr>
          <w:tab/>
        </w:r>
        <w:r w:rsidR="00B06C04" w:rsidRPr="00856019">
          <w:rPr>
            <w:rStyle w:val="Hyperlink"/>
          </w:rPr>
          <w:t>EXPLANATORY NOTES TO INFORMATION RELATING TO THE DISCLOSURE YEAR</w:t>
        </w:r>
        <w:r w:rsidR="00B06C04">
          <w:rPr>
            <w:webHidden/>
          </w:rPr>
          <w:tab/>
        </w:r>
        <w:r>
          <w:rPr>
            <w:webHidden/>
          </w:rPr>
          <w:fldChar w:fldCharType="begin"/>
        </w:r>
        <w:r w:rsidR="00B06C04">
          <w:rPr>
            <w:webHidden/>
          </w:rPr>
          <w:instrText xml:space="preserve"> PAGEREF _Toc329296363 \h </w:instrText>
        </w:r>
        <w:r>
          <w:rPr>
            <w:webHidden/>
          </w:rPr>
        </w:r>
        <w:r>
          <w:rPr>
            <w:webHidden/>
          </w:rPr>
          <w:fldChar w:fldCharType="separate"/>
        </w:r>
        <w:r w:rsidR="00B06C04">
          <w:rPr>
            <w:webHidden/>
          </w:rPr>
          <w:t>41</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64" w:history="1">
        <w:r w:rsidR="00B06C04" w:rsidRPr="00856019">
          <w:rPr>
            <w:rStyle w:val="Hyperlink"/>
            <w:rFonts w:ascii="Calibri Bold" w:hAnsi="Calibri Bold"/>
          </w:rPr>
          <w:t>2.8</w:t>
        </w:r>
        <w:r w:rsidR="00B06C04">
          <w:rPr>
            <w:rFonts w:eastAsiaTheme="minorEastAsia" w:cstheme="minorBidi"/>
            <w:b w:val="0"/>
            <w:caps w:val="0"/>
            <w:sz w:val="22"/>
            <w:szCs w:val="22"/>
            <w:lang w:eastAsia="en-NZ"/>
          </w:rPr>
          <w:tab/>
        </w:r>
        <w:r w:rsidR="00B06C04" w:rsidRPr="00856019">
          <w:rPr>
            <w:rStyle w:val="Hyperlink"/>
          </w:rPr>
          <w:t>ASSURANCE REPORTS</w:t>
        </w:r>
        <w:r w:rsidR="00B06C04">
          <w:rPr>
            <w:webHidden/>
          </w:rPr>
          <w:tab/>
        </w:r>
        <w:r>
          <w:rPr>
            <w:webHidden/>
          </w:rPr>
          <w:fldChar w:fldCharType="begin"/>
        </w:r>
        <w:r w:rsidR="00B06C04">
          <w:rPr>
            <w:webHidden/>
          </w:rPr>
          <w:instrText xml:space="preserve"> PAGEREF _Toc329296364 \h </w:instrText>
        </w:r>
        <w:r>
          <w:rPr>
            <w:webHidden/>
          </w:rPr>
        </w:r>
        <w:r>
          <w:rPr>
            <w:webHidden/>
          </w:rPr>
          <w:fldChar w:fldCharType="separate"/>
        </w:r>
        <w:r w:rsidR="00B06C04">
          <w:rPr>
            <w:webHidden/>
          </w:rPr>
          <w:t>41</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65" w:history="1">
        <w:r w:rsidR="00B06C04" w:rsidRPr="00856019">
          <w:rPr>
            <w:rStyle w:val="Hyperlink"/>
            <w:rFonts w:ascii="Calibri Bold" w:hAnsi="Calibri Bold"/>
          </w:rPr>
          <w:t>2.9</w:t>
        </w:r>
        <w:r w:rsidR="00B06C04">
          <w:rPr>
            <w:rFonts w:eastAsiaTheme="minorEastAsia" w:cstheme="minorBidi"/>
            <w:b w:val="0"/>
            <w:caps w:val="0"/>
            <w:sz w:val="22"/>
            <w:szCs w:val="22"/>
            <w:lang w:eastAsia="en-NZ"/>
          </w:rPr>
          <w:tab/>
        </w:r>
        <w:r w:rsidR="00B06C04" w:rsidRPr="00856019">
          <w:rPr>
            <w:rStyle w:val="Hyperlink"/>
          </w:rPr>
          <w:t>CERTIFICATES</w:t>
        </w:r>
        <w:r w:rsidR="00B06C04">
          <w:rPr>
            <w:webHidden/>
          </w:rPr>
          <w:tab/>
        </w:r>
        <w:r>
          <w:rPr>
            <w:webHidden/>
          </w:rPr>
          <w:fldChar w:fldCharType="begin"/>
        </w:r>
        <w:r w:rsidR="00B06C04">
          <w:rPr>
            <w:webHidden/>
          </w:rPr>
          <w:instrText xml:space="preserve"> PAGEREF _Toc329296365 \h </w:instrText>
        </w:r>
        <w:r>
          <w:rPr>
            <w:webHidden/>
          </w:rPr>
        </w:r>
        <w:r>
          <w:rPr>
            <w:webHidden/>
          </w:rPr>
          <w:fldChar w:fldCharType="separate"/>
        </w:r>
        <w:r w:rsidR="00B06C04">
          <w:rPr>
            <w:webHidden/>
          </w:rPr>
          <w:t>43</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66" w:history="1">
        <w:r w:rsidR="00B06C04" w:rsidRPr="00856019">
          <w:rPr>
            <w:rStyle w:val="Hyperlink"/>
            <w:rFonts w:ascii="Calibri Bold" w:hAnsi="Calibri Bold"/>
          </w:rPr>
          <w:t>2.10</w:t>
        </w:r>
        <w:r w:rsidR="00B06C04">
          <w:rPr>
            <w:rFonts w:eastAsiaTheme="minorEastAsia" w:cstheme="minorBidi"/>
            <w:b w:val="0"/>
            <w:caps w:val="0"/>
            <w:sz w:val="22"/>
            <w:szCs w:val="22"/>
            <w:lang w:eastAsia="en-NZ"/>
          </w:rPr>
          <w:tab/>
        </w:r>
        <w:r w:rsidR="00B06C04" w:rsidRPr="00856019">
          <w:rPr>
            <w:rStyle w:val="Hyperlink"/>
          </w:rPr>
          <w:t>RETENTION AND CONTINUING DISCLOSURES</w:t>
        </w:r>
        <w:r w:rsidR="00B06C04">
          <w:rPr>
            <w:webHidden/>
          </w:rPr>
          <w:tab/>
        </w:r>
        <w:r>
          <w:rPr>
            <w:webHidden/>
          </w:rPr>
          <w:fldChar w:fldCharType="begin"/>
        </w:r>
        <w:r w:rsidR="00B06C04">
          <w:rPr>
            <w:webHidden/>
          </w:rPr>
          <w:instrText xml:space="preserve"> PAGEREF _Toc329296366 \h </w:instrText>
        </w:r>
        <w:r>
          <w:rPr>
            <w:webHidden/>
          </w:rPr>
        </w:r>
        <w:r>
          <w:rPr>
            <w:webHidden/>
          </w:rPr>
          <w:fldChar w:fldCharType="separate"/>
        </w:r>
        <w:r w:rsidR="00B06C04">
          <w:rPr>
            <w:webHidden/>
          </w:rPr>
          <w:t>43</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67" w:history="1">
        <w:r w:rsidR="00B06C04" w:rsidRPr="00856019">
          <w:rPr>
            <w:rStyle w:val="Hyperlink"/>
            <w:rFonts w:ascii="Calibri Bold" w:hAnsi="Calibri Bold"/>
          </w:rPr>
          <w:t>2.11</w:t>
        </w:r>
        <w:r w:rsidR="00B06C04">
          <w:rPr>
            <w:rFonts w:eastAsiaTheme="minorEastAsia" w:cstheme="minorBidi"/>
            <w:b w:val="0"/>
            <w:caps w:val="0"/>
            <w:sz w:val="22"/>
            <w:szCs w:val="22"/>
            <w:lang w:eastAsia="en-NZ"/>
          </w:rPr>
          <w:tab/>
        </w:r>
        <w:r w:rsidR="00B06C04" w:rsidRPr="00856019">
          <w:rPr>
            <w:rStyle w:val="Hyperlink"/>
          </w:rPr>
          <w:t>EXEMPTIONS</w:t>
        </w:r>
        <w:r w:rsidR="00B06C04">
          <w:rPr>
            <w:webHidden/>
          </w:rPr>
          <w:tab/>
        </w:r>
        <w:r>
          <w:rPr>
            <w:webHidden/>
          </w:rPr>
          <w:fldChar w:fldCharType="begin"/>
        </w:r>
        <w:r w:rsidR="00B06C04">
          <w:rPr>
            <w:webHidden/>
          </w:rPr>
          <w:instrText xml:space="preserve"> PAGEREF _Toc329296367 \h </w:instrText>
        </w:r>
        <w:r>
          <w:rPr>
            <w:webHidden/>
          </w:rPr>
        </w:r>
        <w:r>
          <w:rPr>
            <w:webHidden/>
          </w:rPr>
          <w:fldChar w:fldCharType="separate"/>
        </w:r>
        <w:r w:rsidR="00B06C04">
          <w:rPr>
            <w:webHidden/>
          </w:rPr>
          <w:t>43</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68" w:history="1">
        <w:r w:rsidR="00B06C04" w:rsidRPr="00856019">
          <w:rPr>
            <w:rStyle w:val="Hyperlink"/>
            <w:rFonts w:ascii="Calibri Bold" w:hAnsi="Calibri Bold"/>
          </w:rPr>
          <w:t>2.12</w:t>
        </w:r>
        <w:r w:rsidR="00B06C04">
          <w:rPr>
            <w:rFonts w:eastAsiaTheme="minorEastAsia" w:cstheme="minorBidi"/>
            <w:b w:val="0"/>
            <w:caps w:val="0"/>
            <w:sz w:val="22"/>
            <w:szCs w:val="22"/>
            <w:lang w:eastAsia="en-NZ"/>
          </w:rPr>
          <w:tab/>
        </w:r>
        <w:r w:rsidR="00B06C04" w:rsidRPr="00856019">
          <w:rPr>
            <w:rStyle w:val="Hyperlink"/>
          </w:rPr>
          <w:t>TRANSITIONAL PROVISIONS</w:t>
        </w:r>
        <w:r w:rsidR="00B06C04">
          <w:rPr>
            <w:webHidden/>
          </w:rPr>
          <w:tab/>
        </w:r>
        <w:r>
          <w:rPr>
            <w:webHidden/>
          </w:rPr>
          <w:fldChar w:fldCharType="begin"/>
        </w:r>
        <w:r w:rsidR="00B06C04">
          <w:rPr>
            <w:webHidden/>
          </w:rPr>
          <w:instrText xml:space="preserve"> PAGEREF _Toc329296368 \h </w:instrText>
        </w:r>
        <w:r>
          <w:rPr>
            <w:webHidden/>
          </w:rPr>
        </w:r>
        <w:r>
          <w:rPr>
            <w:webHidden/>
          </w:rPr>
          <w:fldChar w:fldCharType="separate"/>
        </w:r>
        <w:r w:rsidR="00B06C04">
          <w:rPr>
            <w:webHidden/>
          </w:rPr>
          <w:t>44</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69" w:history="1">
        <w:r w:rsidR="00B06C04" w:rsidRPr="00856019">
          <w:rPr>
            <w:rStyle w:val="Hyperlink"/>
          </w:rPr>
          <w:t>APPENDIX A</w:t>
        </w:r>
        <w:r w:rsidR="00B06C04">
          <w:rPr>
            <w:rFonts w:eastAsiaTheme="minorEastAsia" w:cstheme="minorBidi"/>
            <w:b w:val="0"/>
            <w:caps w:val="0"/>
            <w:sz w:val="22"/>
            <w:szCs w:val="22"/>
            <w:lang w:eastAsia="en-NZ"/>
          </w:rPr>
          <w:tab/>
        </w:r>
        <w:r w:rsidR="00B06C04" w:rsidRPr="00856019">
          <w:rPr>
            <w:rStyle w:val="Hyperlink"/>
          </w:rPr>
          <w:t>ASSET MANAGEMENT PLANS</w:t>
        </w:r>
        <w:r w:rsidR="00B06C04">
          <w:rPr>
            <w:webHidden/>
          </w:rPr>
          <w:tab/>
        </w:r>
        <w:r>
          <w:rPr>
            <w:webHidden/>
          </w:rPr>
          <w:fldChar w:fldCharType="begin"/>
        </w:r>
        <w:r w:rsidR="00B06C04">
          <w:rPr>
            <w:webHidden/>
          </w:rPr>
          <w:instrText xml:space="preserve"> PAGEREF _Toc329296369 \h </w:instrText>
        </w:r>
        <w:r>
          <w:rPr>
            <w:webHidden/>
          </w:rPr>
        </w:r>
        <w:r>
          <w:rPr>
            <w:webHidden/>
          </w:rPr>
          <w:fldChar w:fldCharType="separate"/>
        </w:r>
        <w:r w:rsidR="00B06C04">
          <w:rPr>
            <w:webHidden/>
          </w:rPr>
          <w:t>49</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70" w:history="1">
        <w:r w:rsidR="00B06C04" w:rsidRPr="00856019">
          <w:rPr>
            <w:rStyle w:val="Hyperlink"/>
          </w:rPr>
          <w:t>Schedule 1</w:t>
        </w:r>
        <w:r w:rsidR="00B06C04">
          <w:rPr>
            <w:rFonts w:eastAsiaTheme="minorEastAsia" w:cstheme="minorBidi"/>
            <w:b w:val="0"/>
            <w:caps w:val="0"/>
            <w:sz w:val="22"/>
            <w:szCs w:val="22"/>
            <w:lang w:eastAsia="en-NZ"/>
          </w:rPr>
          <w:tab/>
        </w:r>
        <w:r w:rsidR="00B06C04" w:rsidRPr="00856019">
          <w:rPr>
            <w:rStyle w:val="Hyperlink"/>
          </w:rPr>
          <w:t xml:space="preserve"> Analytical Ratios</w:t>
        </w:r>
        <w:r w:rsidR="00B06C04">
          <w:rPr>
            <w:webHidden/>
          </w:rPr>
          <w:tab/>
        </w:r>
        <w:r>
          <w:rPr>
            <w:webHidden/>
          </w:rPr>
          <w:fldChar w:fldCharType="begin"/>
        </w:r>
        <w:r w:rsidR="00B06C04">
          <w:rPr>
            <w:webHidden/>
          </w:rPr>
          <w:instrText xml:space="preserve"> PAGEREF _Toc329296370 \h </w:instrText>
        </w:r>
        <w:r>
          <w:rPr>
            <w:webHidden/>
          </w:rPr>
        </w:r>
        <w:r>
          <w:rPr>
            <w:webHidden/>
          </w:rPr>
          <w:fldChar w:fldCharType="separate"/>
        </w:r>
        <w:r w:rsidR="00B06C04">
          <w:rPr>
            <w:webHidden/>
          </w:rPr>
          <w:t>64</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71" w:history="1">
        <w:r w:rsidR="00B06C04" w:rsidRPr="00856019">
          <w:rPr>
            <w:rStyle w:val="Hyperlink"/>
          </w:rPr>
          <w:t>Schedule 2</w:t>
        </w:r>
        <w:r w:rsidR="00B06C04">
          <w:rPr>
            <w:rFonts w:eastAsiaTheme="minorEastAsia" w:cstheme="minorBidi"/>
            <w:b w:val="0"/>
            <w:caps w:val="0"/>
            <w:sz w:val="22"/>
            <w:szCs w:val="22"/>
            <w:lang w:eastAsia="en-NZ"/>
          </w:rPr>
          <w:tab/>
        </w:r>
        <w:r w:rsidR="00B06C04" w:rsidRPr="00856019">
          <w:rPr>
            <w:rStyle w:val="Hyperlink"/>
          </w:rPr>
          <w:t xml:space="preserve"> Comparison of Forecasts to Actual Expenditure</w:t>
        </w:r>
        <w:r w:rsidR="00B06C04">
          <w:rPr>
            <w:webHidden/>
          </w:rPr>
          <w:tab/>
        </w:r>
        <w:r>
          <w:rPr>
            <w:webHidden/>
          </w:rPr>
          <w:fldChar w:fldCharType="begin"/>
        </w:r>
        <w:r w:rsidR="00B06C04">
          <w:rPr>
            <w:webHidden/>
          </w:rPr>
          <w:instrText xml:space="preserve"> PAGEREF _Toc329296371 \h </w:instrText>
        </w:r>
        <w:r>
          <w:rPr>
            <w:webHidden/>
          </w:rPr>
        </w:r>
        <w:r>
          <w:rPr>
            <w:webHidden/>
          </w:rPr>
          <w:fldChar w:fldCharType="separate"/>
        </w:r>
        <w:r w:rsidR="00B06C04">
          <w:rPr>
            <w:webHidden/>
          </w:rPr>
          <w:t>65</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72" w:history="1">
        <w:r w:rsidR="00B06C04" w:rsidRPr="00856019">
          <w:rPr>
            <w:rStyle w:val="Hyperlink"/>
          </w:rPr>
          <w:t>Schedule 3</w:t>
        </w:r>
        <w:r w:rsidR="00B06C04">
          <w:rPr>
            <w:rFonts w:eastAsiaTheme="minorEastAsia" w:cstheme="minorBidi"/>
            <w:b w:val="0"/>
            <w:caps w:val="0"/>
            <w:sz w:val="22"/>
            <w:szCs w:val="22"/>
            <w:lang w:eastAsia="en-NZ"/>
          </w:rPr>
          <w:tab/>
        </w:r>
        <w:r w:rsidR="00B06C04" w:rsidRPr="00856019">
          <w:rPr>
            <w:rStyle w:val="Hyperlink"/>
          </w:rPr>
          <w:t xml:space="preserve"> Report on Return on Investment</w:t>
        </w:r>
        <w:r w:rsidR="00B06C04">
          <w:rPr>
            <w:webHidden/>
          </w:rPr>
          <w:tab/>
        </w:r>
        <w:r>
          <w:rPr>
            <w:webHidden/>
          </w:rPr>
          <w:fldChar w:fldCharType="begin"/>
        </w:r>
        <w:r w:rsidR="00B06C04">
          <w:rPr>
            <w:webHidden/>
          </w:rPr>
          <w:instrText xml:space="preserve"> PAGEREF _Toc329296372 \h </w:instrText>
        </w:r>
        <w:r>
          <w:rPr>
            <w:webHidden/>
          </w:rPr>
        </w:r>
        <w:r>
          <w:rPr>
            <w:webHidden/>
          </w:rPr>
          <w:fldChar w:fldCharType="separate"/>
        </w:r>
        <w:r w:rsidR="00B06C04">
          <w:rPr>
            <w:webHidden/>
          </w:rPr>
          <w:t>66</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73" w:history="1">
        <w:r w:rsidR="00B06C04" w:rsidRPr="00856019">
          <w:rPr>
            <w:rStyle w:val="Hyperlink"/>
          </w:rPr>
          <w:t>Schedule 3a</w:t>
        </w:r>
        <w:r w:rsidR="00B06C04">
          <w:rPr>
            <w:rFonts w:eastAsiaTheme="minorEastAsia" w:cstheme="minorBidi"/>
            <w:b w:val="0"/>
            <w:caps w:val="0"/>
            <w:sz w:val="22"/>
            <w:szCs w:val="22"/>
            <w:lang w:eastAsia="en-NZ"/>
          </w:rPr>
          <w:tab/>
        </w:r>
        <w:r w:rsidR="00B06C04" w:rsidRPr="00856019">
          <w:rPr>
            <w:rStyle w:val="Hyperlink"/>
          </w:rPr>
          <w:t xml:space="preserve"> Report on Term Credit Spread Differential Allowance</w:t>
        </w:r>
        <w:r w:rsidR="00B06C04">
          <w:rPr>
            <w:webHidden/>
          </w:rPr>
          <w:tab/>
        </w:r>
        <w:r>
          <w:rPr>
            <w:webHidden/>
          </w:rPr>
          <w:fldChar w:fldCharType="begin"/>
        </w:r>
        <w:r w:rsidR="00B06C04">
          <w:rPr>
            <w:webHidden/>
          </w:rPr>
          <w:instrText xml:space="preserve"> PAGEREF _Toc329296373 \h </w:instrText>
        </w:r>
        <w:r>
          <w:rPr>
            <w:webHidden/>
          </w:rPr>
        </w:r>
        <w:r>
          <w:rPr>
            <w:webHidden/>
          </w:rPr>
          <w:fldChar w:fldCharType="separate"/>
        </w:r>
        <w:r w:rsidR="00B06C04">
          <w:rPr>
            <w:webHidden/>
          </w:rPr>
          <w:t>68</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74" w:history="1">
        <w:r w:rsidR="00B06C04" w:rsidRPr="00856019">
          <w:rPr>
            <w:rStyle w:val="Hyperlink"/>
          </w:rPr>
          <w:t>Schedule 4</w:t>
        </w:r>
        <w:r w:rsidR="00B06C04">
          <w:rPr>
            <w:rFonts w:eastAsiaTheme="minorEastAsia" w:cstheme="minorBidi"/>
            <w:b w:val="0"/>
            <w:caps w:val="0"/>
            <w:sz w:val="22"/>
            <w:szCs w:val="22"/>
            <w:lang w:eastAsia="en-NZ"/>
          </w:rPr>
          <w:tab/>
        </w:r>
        <w:r w:rsidR="00B06C04" w:rsidRPr="00856019">
          <w:rPr>
            <w:rStyle w:val="Hyperlink"/>
          </w:rPr>
          <w:t>Report on Value of the Regulatory Asset Base (Rolled Forward)</w:t>
        </w:r>
        <w:r w:rsidR="00B06C04">
          <w:rPr>
            <w:webHidden/>
          </w:rPr>
          <w:tab/>
        </w:r>
        <w:r>
          <w:rPr>
            <w:webHidden/>
          </w:rPr>
          <w:fldChar w:fldCharType="begin"/>
        </w:r>
        <w:r w:rsidR="00B06C04">
          <w:rPr>
            <w:webHidden/>
          </w:rPr>
          <w:instrText xml:space="preserve"> PAGEREF _Toc329296374 \h </w:instrText>
        </w:r>
        <w:r>
          <w:rPr>
            <w:webHidden/>
          </w:rPr>
        </w:r>
        <w:r>
          <w:rPr>
            <w:webHidden/>
          </w:rPr>
          <w:fldChar w:fldCharType="separate"/>
        </w:r>
        <w:r w:rsidR="00B06C04">
          <w:rPr>
            <w:webHidden/>
          </w:rPr>
          <w:t>69</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75" w:history="1">
        <w:r w:rsidR="00B06C04" w:rsidRPr="00856019">
          <w:rPr>
            <w:rStyle w:val="Hyperlink"/>
          </w:rPr>
          <w:t>Schedule 4a</w:t>
        </w:r>
        <w:r w:rsidR="00B06C04">
          <w:rPr>
            <w:rFonts w:eastAsiaTheme="minorEastAsia" w:cstheme="minorBidi"/>
            <w:b w:val="0"/>
            <w:caps w:val="0"/>
            <w:sz w:val="22"/>
            <w:szCs w:val="22"/>
            <w:lang w:eastAsia="en-NZ"/>
          </w:rPr>
          <w:tab/>
        </w:r>
        <w:r w:rsidR="00B06C04" w:rsidRPr="00856019">
          <w:rPr>
            <w:rStyle w:val="Hyperlink"/>
          </w:rPr>
          <w:t xml:space="preserve"> Report on Asset Allocations</w:t>
        </w:r>
        <w:r w:rsidR="00B06C04">
          <w:rPr>
            <w:webHidden/>
          </w:rPr>
          <w:tab/>
        </w:r>
        <w:r>
          <w:rPr>
            <w:webHidden/>
          </w:rPr>
          <w:fldChar w:fldCharType="begin"/>
        </w:r>
        <w:r w:rsidR="00B06C04">
          <w:rPr>
            <w:webHidden/>
          </w:rPr>
          <w:instrText xml:space="preserve"> PAGEREF _Toc329296375 \h </w:instrText>
        </w:r>
        <w:r>
          <w:rPr>
            <w:webHidden/>
          </w:rPr>
        </w:r>
        <w:r>
          <w:rPr>
            <w:webHidden/>
          </w:rPr>
          <w:fldChar w:fldCharType="separate"/>
        </w:r>
        <w:r w:rsidR="00B06C04">
          <w:rPr>
            <w:webHidden/>
          </w:rPr>
          <w:t>72</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76" w:history="1">
        <w:r w:rsidR="00B06C04" w:rsidRPr="00856019">
          <w:rPr>
            <w:rStyle w:val="Hyperlink"/>
          </w:rPr>
          <w:t>Schedule 4b</w:t>
        </w:r>
        <w:r w:rsidR="00B06C04">
          <w:rPr>
            <w:rFonts w:eastAsiaTheme="minorEastAsia" w:cstheme="minorBidi"/>
            <w:b w:val="0"/>
            <w:caps w:val="0"/>
            <w:sz w:val="22"/>
            <w:szCs w:val="22"/>
            <w:lang w:eastAsia="en-NZ"/>
          </w:rPr>
          <w:tab/>
        </w:r>
        <w:r w:rsidR="00B06C04" w:rsidRPr="00856019">
          <w:rPr>
            <w:rStyle w:val="Hyperlink"/>
          </w:rPr>
          <w:t xml:space="preserve"> Report Supporting Asset Allocations</w:t>
        </w:r>
        <w:r w:rsidR="00B06C04">
          <w:rPr>
            <w:webHidden/>
          </w:rPr>
          <w:tab/>
        </w:r>
        <w:r>
          <w:rPr>
            <w:webHidden/>
          </w:rPr>
          <w:fldChar w:fldCharType="begin"/>
        </w:r>
        <w:r w:rsidR="00B06C04">
          <w:rPr>
            <w:webHidden/>
          </w:rPr>
          <w:instrText xml:space="preserve"> PAGEREF _Toc329296376 \h </w:instrText>
        </w:r>
        <w:r>
          <w:rPr>
            <w:webHidden/>
          </w:rPr>
        </w:r>
        <w:r>
          <w:rPr>
            <w:webHidden/>
          </w:rPr>
          <w:fldChar w:fldCharType="separate"/>
        </w:r>
        <w:r w:rsidR="00B06C04">
          <w:rPr>
            <w:webHidden/>
          </w:rPr>
          <w:t>74</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77" w:history="1">
        <w:r w:rsidR="00B06C04" w:rsidRPr="00856019">
          <w:rPr>
            <w:rStyle w:val="Hyperlink"/>
          </w:rPr>
          <w:t>Schedule 4c</w:t>
        </w:r>
        <w:r w:rsidR="00B06C04">
          <w:rPr>
            <w:rFonts w:eastAsiaTheme="minorEastAsia" w:cstheme="minorBidi"/>
            <w:b w:val="0"/>
            <w:caps w:val="0"/>
            <w:sz w:val="22"/>
            <w:szCs w:val="22"/>
            <w:lang w:eastAsia="en-NZ"/>
          </w:rPr>
          <w:tab/>
        </w:r>
        <w:r w:rsidR="00B06C04" w:rsidRPr="00856019">
          <w:rPr>
            <w:rStyle w:val="Hyperlink"/>
          </w:rPr>
          <w:t xml:space="preserve"> Report on Transitional Financial Information</w:t>
        </w:r>
        <w:r w:rsidR="00B06C04">
          <w:rPr>
            <w:webHidden/>
          </w:rPr>
          <w:tab/>
        </w:r>
        <w:r>
          <w:rPr>
            <w:webHidden/>
          </w:rPr>
          <w:fldChar w:fldCharType="begin"/>
        </w:r>
        <w:r w:rsidR="00B06C04">
          <w:rPr>
            <w:webHidden/>
          </w:rPr>
          <w:instrText xml:space="preserve"> PAGEREF _Toc329296377 \h </w:instrText>
        </w:r>
        <w:r>
          <w:rPr>
            <w:webHidden/>
          </w:rPr>
        </w:r>
        <w:r>
          <w:rPr>
            <w:webHidden/>
          </w:rPr>
          <w:fldChar w:fldCharType="separate"/>
        </w:r>
        <w:r w:rsidR="00B06C04">
          <w:rPr>
            <w:webHidden/>
          </w:rPr>
          <w:t>76</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78" w:history="1">
        <w:r w:rsidR="00B06C04" w:rsidRPr="00856019">
          <w:rPr>
            <w:rStyle w:val="Hyperlink"/>
          </w:rPr>
          <w:t>Schedule 5</w:t>
        </w:r>
        <w:r w:rsidR="00B06C04">
          <w:rPr>
            <w:rFonts w:eastAsiaTheme="minorEastAsia" w:cstheme="minorBidi"/>
            <w:b w:val="0"/>
            <w:caps w:val="0"/>
            <w:sz w:val="22"/>
            <w:szCs w:val="22"/>
            <w:lang w:eastAsia="en-NZ"/>
          </w:rPr>
          <w:tab/>
        </w:r>
        <w:r w:rsidR="00B06C04" w:rsidRPr="00856019">
          <w:rPr>
            <w:rStyle w:val="Hyperlink"/>
          </w:rPr>
          <w:t xml:space="preserve"> Report on Regulatory Profit</w:t>
        </w:r>
        <w:r w:rsidR="00B06C04">
          <w:rPr>
            <w:webHidden/>
          </w:rPr>
          <w:tab/>
        </w:r>
        <w:r>
          <w:rPr>
            <w:webHidden/>
          </w:rPr>
          <w:fldChar w:fldCharType="begin"/>
        </w:r>
        <w:r w:rsidR="00B06C04">
          <w:rPr>
            <w:webHidden/>
          </w:rPr>
          <w:instrText xml:space="preserve"> PAGEREF _Toc329296378 \h </w:instrText>
        </w:r>
        <w:r>
          <w:rPr>
            <w:webHidden/>
          </w:rPr>
        </w:r>
        <w:r>
          <w:rPr>
            <w:webHidden/>
          </w:rPr>
          <w:fldChar w:fldCharType="separate"/>
        </w:r>
        <w:r w:rsidR="00B06C04">
          <w:rPr>
            <w:webHidden/>
          </w:rPr>
          <w:t>78</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79" w:history="1">
        <w:r w:rsidR="00B06C04" w:rsidRPr="00856019">
          <w:rPr>
            <w:rStyle w:val="Hyperlink"/>
          </w:rPr>
          <w:t>Schedule 5a</w:t>
        </w:r>
        <w:r w:rsidR="00B06C04">
          <w:rPr>
            <w:rFonts w:eastAsiaTheme="minorEastAsia" w:cstheme="minorBidi"/>
            <w:b w:val="0"/>
            <w:caps w:val="0"/>
            <w:sz w:val="22"/>
            <w:szCs w:val="22"/>
            <w:lang w:eastAsia="en-NZ"/>
          </w:rPr>
          <w:tab/>
        </w:r>
        <w:r w:rsidR="00B06C04" w:rsidRPr="00856019">
          <w:rPr>
            <w:rStyle w:val="Hyperlink"/>
          </w:rPr>
          <w:t xml:space="preserve"> Report on Regulatory Tax Allowance</w:t>
        </w:r>
        <w:r w:rsidR="00B06C04">
          <w:rPr>
            <w:webHidden/>
          </w:rPr>
          <w:tab/>
        </w:r>
        <w:r>
          <w:rPr>
            <w:webHidden/>
          </w:rPr>
          <w:fldChar w:fldCharType="begin"/>
        </w:r>
        <w:r w:rsidR="00B06C04">
          <w:rPr>
            <w:webHidden/>
          </w:rPr>
          <w:instrText xml:space="preserve"> PAGEREF _Toc329296379 \h </w:instrText>
        </w:r>
        <w:r>
          <w:rPr>
            <w:webHidden/>
          </w:rPr>
        </w:r>
        <w:r>
          <w:rPr>
            <w:webHidden/>
          </w:rPr>
          <w:fldChar w:fldCharType="separate"/>
        </w:r>
        <w:r w:rsidR="00B06C04">
          <w:rPr>
            <w:webHidden/>
          </w:rPr>
          <w:t>80</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80" w:history="1">
        <w:r w:rsidR="00B06C04" w:rsidRPr="00856019">
          <w:rPr>
            <w:rStyle w:val="Hyperlink"/>
          </w:rPr>
          <w:t>Schedule 5b</w:t>
        </w:r>
        <w:r w:rsidR="00B06C04">
          <w:rPr>
            <w:rFonts w:eastAsiaTheme="minorEastAsia" w:cstheme="minorBidi"/>
            <w:b w:val="0"/>
            <w:caps w:val="0"/>
            <w:sz w:val="22"/>
            <w:szCs w:val="22"/>
            <w:lang w:eastAsia="en-NZ"/>
          </w:rPr>
          <w:tab/>
        </w:r>
        <w:r w:rsidR="00B06C04" w:rsidRPr="00856019">
          <w:rPr>
            <w:rStyle w:val="Hyperlink"/>
          </w:rPr>
          <w:t xml:space="preserve"> Report on Related Party Transactions</w:t>
        </w:r>
        <w:r w:rsidR="00B06C04">
          <w:rPr>
            <w:webHidden/>
          </w:rPr>
          <w:tab/>
        </w:r>
        <w:r>
          <w:rPr>
            <w:webHidden/>
          </w:rPr>
          <w:fldChar w:fldCharType="begin"/>
        </w:r>
        <w:r w:rsidR="00B06C04">
          <w:rPr>
            <w:webHidden/>
          </w:rPr>
          <w:instrText xml:space="preserve"> PAGEREF _Toc329296380 \h </w:instrText>
        </w:r>
        <w:r>
          <w:rPr>
            <w:webHidden/>
          </w:rPr>
        </w:r>
        <w:r>
          <w:rPr>
            <w:webHidden/>
          </w:rPr>
          <w:fldChar w:fldCharType="separate"/>
        </w:r>
        <w:r w:rsidR="00B06C04">
          <w:rPr>
            <w:webHidden/>
          </w:rPr>
          <w:t>81</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81" w:history="1">
        <w:r w:rsidR="00B06C04" w:rsidRPr="00856019">
          <w:rPr>
            <w:rStyle w:val="Hyperlink"/>
          </w:rPr>
          <w:t>Schedule 5c</w:t>
        </w:r>
        <w:r w:rsidR="00B06C04">
          <w:rPr>
            <w:rFonts w:eastAsiaTheme="minorEastAsia" w:cstheme="minorBidi"/>
            <w:b w:val="0"/>
            <w:caps w:val="0"/>
            <w:sz w:val="22"/>
            <w:szCs w:val="22"/>
            <w:lang w:eastAsia="en-NZ"/>
          </w:rPr>
          <w:tab/>
        </w:r>
        <w:r w:rsidR="00B06C04" w:rsidRPr="00856019">
          <w:rPr>
            <w:rStyle w:val="Hyperlink"/>
          </w:rPr>
          <w:t xml:space="preserve"> Report on Cost Allocations</w:t>
        </w:r>
        <w:r w:rsidR="00B06C04">
          <w:rPr>
            <w:webHidden/>
          </w:rPr>
          <w:tab/>
        </w:r>
        <w:r>
          <w:rPr>
            <w:webHidden/>
          </w:rPr>
          <w:fldChar w:fldCharType="begin"/>
        </w:r>
        <w:r w:rsidR="00B06C04">
          <w:rPr>
            <w:webHidden/>
          </w:rPr>
          <w:instrText xml:space="preserve"> PAGEREF _Toc329296381 \h </w:instrText>
        </w:r>
        <w:r>
          <w:rPr>
            <w:webHidden/>
          </w:rPr>
        </w:r>
        <w:r>
          <w:rPr>
            <w:webHidden/>
          </w:rPr>
          <w:fldChar w:fldCharType="separate"/>
        </w:r>
        <w:r w:rsidR="00B06C04">
          <w:rPr>
            <w:webHidden/>
          </w:rPr>
          <w:t>82</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82" w:history="1">
        <w:r w:rsidR="00B06C04" w:rsidRPr="00856019">
          <w:rPr>
            <w:rStyle w:val="Hyperlink"/>
          </w:rPr>
          <w:t>Schedule 5d</w:t>
        </w:r>
        <w:r w:rsidR="00B06C04">
          <w:rPr>
            <w:rFonts w:eastAsiaTheme="minorEastAsia" w:cstheme="minorBidi"/>
            <w:b w:val="0"/>
            <w:caps w:val="0"/>
            <w:sz w:val="22"/>
            <w:szCs w:val="22"/>
            <w:lang w:eastAsia="en-NZ"/>
          </w:rPr>
          <w:tab/>
        </w:r>
        <w:r w:rsidR="00B06C04" w:rsidRPr="00856019">
          <w:rPr>
            <w:rStyle w:val="Hyperlink"/>
          </w:rPr>
          <w:t xml:space="preserve"> Report Supporting Cost Allocations</w:t>
        </w:r>
        <w:r w:rsidR="00B06C04">
          <w:rPr>
            <w:webHidden/>
          </w:rPr>
          <w:tab/>
        </w:r>
        <w:r>
          <w:rPr>
            <w:webHidden/>
          </w:rPr>
          <w:fldChar w:fldCharType="begin"/>
        </w:r>
        <w:r w:rsidR="00B06C04">
          <w:rPr>
            <w:webHidden/>
          </w:rPr>
          <w:instrText xml:space="preserve"> PAGEREF _Toc329296382 \h </w:instrText>
        </w:r>
        <w:r>
          <w:rPr>
            <w:webHidden/>
          </w:rPr>
        </w:r>
        <w:r>
          <w:rPr>
            <w:webHidden/>
          </w:rPr>
          <w:fldChar w:fldCharType="separate"/>
        </w:r>
        <w:r w:rsidR="00B06C04">
          <w:rPr>
            <w:webHidden/>
          </w:rPr>
          <w:t>84</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83" w:history="1">
        <w:r w:rsidR="00B06C04" w:rsidRPr="00856019">
          <w:rPr>
            <w:rStyle w:val="Hyperlink"/>
          </w:rPr>
          <w:t>Schedule 6</w:t>
        </w:r>
        <w:r w:rsidR="00B06C04">
          <w:rPr>
            <w:rFonts w:eastAsiaTheme="minorEastAsia" w:cstheme="minorBidi"/>
            <w:b w:val="0"/>
            <w:caps w:val="0"/>
            <w:sz w:val="22"/>
            <w:szCs w:val="22"/>
            <w:lang w:eastAsia="en-NZ"/>
          </w:rPr>
          <w:tab/>
        </w:r>
        <w:r w:rsidR="00B06C04" w:rsidRPr="00856019">
          <w:rPr>
            <w:rStyle w:val="Hyperlink"/>
          </w:rPr>
          <w:t xml:space="preserve"> Report on Capital Expenditure for the Disclosure Year</w:t>
        </w:r>
        <w:r w:rsidR="00B06C04">
          <w:rPr>
            <w:webHidden/>
          </w:rPr>
          <w:tab/>
        </w:r>
        <w:r>
          <w:rPr>
            <w:webHidden/>
          </w:rPr>
          <w:fldChar w:fldCharType="begin"/>
        </w:r>
        <w:r w:rsidR="00B06C04">
          <w:rPr>
            <w:webHidden/>
          </w:rPr>
          <w:instrText xml:space="preserve"> PAGEREF _Toc329296383 \h </w:instrText>
        </w:r>
        <w:r>
          <w:rPr>
            <w:webHidden/>
          </w:rPr>
        </w:r>
        <w:r>
          <w:rPr>
            <w:webHidden/>
          </w:rPr>
          <w:fldChar w:fldCharType="separate"/>
        </w:r>
        <w:r w:rsidR="00B06C04">
          <w:rPr>
            <w:webHidden/>
          </w:rPr>
          <w:t>86</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84" w:history="1">
        <w:r w:rsidR="00B06C04" w:rsidRPr="00856019">
          <w:rPr>
            <w:rStyle w:val="Hyperlink"/>
          </w:rPr>
          <w:t>Schedule 7</w:t>
        </w:r>
        <w:r w:rsidR="00B06C04">
          <w:rPr>
            <w:rFonts w:eastAsiaTheme="minorEastAsia" w:cstheme="minorBidi"/>
            <w:b w:val="0"/>
            <w:caps w:val="0"/>
            <w:sz w:val="22"/>
            <w:szCs w:val="22"/>
            <w:lang w:eastAsia="en-NZ"/>
          </w:rPr>
          <w:tab/>
        </w:r>
        <w:r w:rsidR="00B06C04" w:rsidRPr="00856019">
          <w:rPr>
            <w:rStyle w:val="Hyperlink"/>
          </w:rPr>
          <w:t>Report on Operational Expenditure for the Disclosure Year</w:t>
        </w:r>
        <w:r w:rsidR="00B06C04">
          <w:rPr>
            <w:webHidden/>
          </w:rPr>
          <w:tab/>
        </w:r>
        <w:r>
          <w:rPr>
            <w:webHidden/>
          </w:rPr>
          <w:fldChar w:fldCharType="begin"/>
        </w:r>
        <w:r w:rsidR="00B06C04">
          <w:rPr>
            <w:webHidden/>
          </w:rPr>
          <w:instrText xml:space="preserve"> PAGEREF _Toc329296384 \h </w:instrText>
        </w:r>
        <w:r>
          <w:rPr>
            <w:webHidden/>
          </w:rPr>
        </w:r>
        <w:r>
          <w:rPr>
            <w:webHidden/>
          </w:rPr>
          <w:fldChar w:fldCharType="separate"/>
        </w:r>
        <w:r w:rsidR="00B06C04">
          <w:rPr>
            <w:webHidden/>
          </w:rPr>
          <w:t>88</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85" w:history="1">
        <w:r w:rsidR="00B06C04" w:rsidRPr="00856019">
          <w:rPr>
            <w:rStyle w:val="Hyperlink"/>
          </w:rPr>
          <w:t>Schedule 8a</w:t>
        </w:r>
        <w:r w:rsidR="00B06C04">
          <w:rPr>
            <w:rFonts w:eastAsiaTheme="minorEastAsia" w:cstheme="minorBidi"/>
            <w:b w:val="0"/>
            <w:caps w:val="0"/>
            <w:sz w:val="22"/>
            <w:szCs w:val="22"/>
            <w:lang w:eastAsia="en-NZ"/>
          </w:rPr>
          <w:tab/>
        </w:r>
        <w:r w:rsidR="00B06C04" w:rsidRPr="00856019">
          <w:rPr>
            <w:rStyle w:val="Hyperlink"/>
          </w:rPr>
          <w:t xml:space="preserve"> Report on Billed Quantities and Line Charge Revenue (by Type of Charge)</w:t>
        </w:r>
        <w:r w:rsidR="00B06C04">
          <w:rPr>
            <w:webHidden/>
          </w:rPr>
          <w:tab/>
        </w:r>
        <w:r>
          <w:rPr>
            <w:webHidden/>
          </w:rPr>
          <w:fldChar w:fldCharType="begin"/>
        </w:r>
        <w:r w:rsidR="00B06C04">
          <w:rPr>
            <w:webHidden/>
          </w:rPr>
          <w:instrText xml:space="preserve"> PAGEREF _Toc329296385 \h </w:instrText>
        </w:r>
        <w:r>
          <w:rPr>
            <w:webHidden/>
          </w:rPr>
        </w:r>
        <w:r>
          <w:rPr>
            <w:webHidden/>
          </w:rPr>
          <w:fldChar w:fldCharType="separate"/>
        </w:r>
        <w:r w:rsidR="00B06C04">
          <w:rPr>
            <w:webHidden/>
          </w:rPr>
          <w:t>89</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86" w:history="1">
        <w:r w:rsidR="00B06C04" w:rsidRPr="00856019">
          <w:rPr>
            <w:rStyle w:val="Hyperlink"/>
          </w:rPr>
          <w:t>Schedule 8b</w:t>
        </w:r>
        <w:r w:rsidR="00B06C04">
          <w:rPr>
            <w:rFonts w:eastAsiaTheme="minorEastAsia" w:cstheme="minorBidi"/>
            <w:b w:val="0"/>
            <w:caps w:val="0"/>
            <w:sz w:val="22"/>
            <w:szCs w:val="22"/>
            <w:lang w:eastAsia="en-NZ"/>
          </w:rPr>
          <w:tab/>
        </w:r>
        <w:r w:rsidR="00B06C04" w:rsidRPr="00856019">
          <w:rPr>
            <w:rStyle w:val="Hyperlink"/>
          </w:rPr>
          <w:t xml:space="preserve"> Report on Billed Quantities and Line Charge Revenue (by Consumer Type)</w:t>
        </w:r>
        <w:r w:rsidR="00B06C04">
          <w:rPr>
            <w:webHidden/>
          </w:rPr>
          <w:tab/>
        </w:r>
        <w:r>
          <w:rPr>
            <w:webHidden/>
          </w:rPr>
          <w:fldChar w:fldCharType="begin"/>
        </w:r>
        <w:r w:rsidR="00B06C04">
          <w:rPr>
            <w:webHidden/>
          </w:rPr>
          <w:instrText xml:space="preserve"> PAGEREF _Toc329296386 \h </w:instrText>
        </w:r>
        <w:r>
          <w:rPr>
            <w:webHidden/>
          </w:rPr>
        </w:r>
        <w:r>
          <w:rPr>
            <w:webHidden/>
          </w:rPr>
          <w:fldChar w:fldCharType="separate"/>
        </w:r>
        <w:r w:rsidR="00B06C04">
          <w:rPr>
            <w:webHidden/>
          </w:rPr>
          <w:t>91</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87" w:history="1">
        <w:r w:rsidR="00B06C04" w:rsidRPr="00856019">
          <w:rPr>
            <w:rStyle w:val="Hyperlink"/>
          </w:rPr>
          <w:t>Schedule 9a</w:t>
        </w:r>
        <w:r w:rsidR="00B06C04">
          <w:rPr>
            <w:rFonts w:eastAsiaTheme="minorEastAsia" w:cstheme="minorBidi"/>
            <w:b w:val="0"/>
            <w:caps w:val="0"/>
            <w:sz w:val="22"/>
            <w:szCs w:val="22"/>
            <w:lang w:eastAsia="en-NZ"/>
          </w:rPr>
          <w:tab/>
        </w:r>
        <w:r w:rsidR="00B06C04" w:rsidRPr="00856019">
          <w:rPr>
            <w:rStyle w:val="Hyperlink"/>
          </w:rPr>
          <w:t xml:space="preserve"> Asset Register</w:t>
        </w:r>
        <w:r w:rsidR="00B06C04">
          <w:rPr>
            <w:webHidden/>
          </w:rPr>
          <w:tab/>
        </w:r>
        <w:r>
          <w:rPr>
            <w:webHidden/>
          </w:rPr>
          <w:fldChar w:fldCharType="begin"/>
        </w:r>
        <w:r w:rsidR="00B06C04">
          <w:rPr>
            <w:webHidden/>
          </w:rPr>
          <w:instrText xml:space="preserve"> PAGEREF _Toc329296387 \h </w:instrText>
        </w:r>
        <w:r>
          <w:rPr>
            <w:webHidden/>
          </w:rPr>
        </w:r>
        <w:r>
          <w:rPr>
            <w:webHidden/>
          </w:rPr>
          <w:fldChar w:fldCharType="separate"/>
        </w:r>
        <w:r w:rsidR="00B06C04">
          <w:rPr>
            <w:webHidden/>
          </w:rPr>
          <w:t>93</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88" w:history="1">
        <w:r w:rsidR="00B06C04" w:rsidRPr="00856019">
          <w:rPr>
            <w:rStyle w:val="Hyperlink"/>
          </w:rPr>
          <w:t>Schedule 9b</w:t>
        </w:r>
        <w:r w:rsidR="00B06C04">
          <w:rPr>
            <w:rFonts w:eastAsiaTheme="minorEastAsia" w:cstheme="minorBidi"/>
            <w:b w:val="0"/>
            <w:caps w:val="0"/>
            <w:sz w:val="22"/>
            <w:szCs w:val="22"/>
            <w:lang w:eastAsia="en-NZ"/>
          </w:rPr>
          <w:tab/>
        </w:r>
        <w:r w:rsidR="00B06C04" w:rsidRPr="00856019">
          <w:rPr>
            <w:rStyle w:val="Hyperlink"/>
          </w:rPr>
          <w:t xml:space="preserve"> Asset Age Profile</w:t>
        </w:r>
        <w:r w:rsidR="00B06C04">
          <w:rPr>
            <w:webHidden/>
          </w:rPr>
          <w:tab/>
        </w:r>
        <w:r>
          <w:rPr>
            <w:webHidden/>
          </w:rPr>
          <w:fldChar w:fldCharType="begin"/>
        </w:r>
        <w:r w:rsidR="00B06C04">
          <w:rPr>
            <w:webHidden/>
          </w:rPr>
          <w:instrText xml:space="preserve"> PAGEREF _Toc329296388 \h </w:instrText>
        </w:r>
        <w:r>
          <w:rPr>
            <w:webHidden/>
          </w:rPr>
        </w:r>
        <w:r>
          <w:rPr>
            <w:webHidden/>
          </w:rPr>
          <w:fldChar w:fldCharType="separate"/>
        </w:r>
        <w:r w:rsidR="00B06C04">
          <w:rPr>
            <w:webHidden/>
          </w:rPr>
          <w:t>94</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89" w:history="1">
        <w:r w:rsidR="00B06C04" w:rsidRPr="00856019">
          <w:rPr>
            <w:rStyle w:val="Hyperlink"/>
          </w:rPr>
          <w:t>Schedule 9c</w:t>
        </w:r>
        <w:r w:rsidR="00B06C04">
          <w:rPr>
            <w:rFonts w:eastAsiaTheme="minorEastAsia" w:cstheme="minorBidi"/>
            <w:b w:val="0"/>
            <w:caps w:val="0"/>
            <w:sz w:val="22"/>
            <w:szCs w:val="22"/>
            <w:lang w:eastAsia="en-NZ"/>
          </w:rPr>
          <w:tab/>
        </w:r>
        <w:r w:rsidR="00B06C04" w:rsidRPr="00856019">
          <w:rPr>
            <w:rStyle w:val="Hyperlink"/>
          </w:rPr>
          <w:t xml:space="preserve"> Report on Pipeline Data</w:t>
        </w:r>
        <w:r w:rsidR="00B06C04">
          <w:rPr>
            <w:webHidden/>
          </w:rPr>
          <w:tab/>
        </w:r>
        <w:r>
          <w:rPr>
            <w:webHidden/>
          </w:rPr>
          <w:fldChar w:fldCharType="begin"/>
        </w:r>
        <w:r w:rsidR="00B06C04">
          <w:rPr>
            <w:webHidden/>
          </w:rPr>
          <w:instrText xml:space="preserve"> PAGEREF _Toc329296389 \h </w:instrText>
        </w:r>
        <w:r>
          <w:rPr>
            <w:webHidden/>
          </w:rPr>
        </w:r>
        <w:r>
          <w:rPr>
            <w:webHidden/>
          </w:rPr>
          <w:fldChar w:fldCharType="separate"/>
        </w:r>
        <w:r w:rsidR="00B06C04">
          <w:rPr>
            <w:webHidden/>
          </w:rPr>
          <w:t>95</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90" w:history="1">
        <w:r w:rsidR="00B06C04" w:rsidRPr="00856019">
          <w:rPr>
            <w:rStyle w:val="Hyperlink"/>
          </w:rPr>
          <w:t>Schedule 9d</w:t>
        </w:r>
        <w:r w:rsidR="00B06C04">
          <w:rPr>
            <w:rFonts w:eastAsiaTheme="minorEastAsia" w:cstheme="minorBidi"/>
            <w:b w:val="0"/>
            <w:caps w:val="0"/>
            <w:sz w:val="22"/>
            <w:szCs w:val="22"/>
            <w:lang w:eastAsia="en-NZ"/>
          </w:rPr>
          <w:tab/>
        </w:r>
        <w:r w:rsidR="00B06C04" w:rsidRPr="00856019">
          <w:rPr>
            <w:rStyle w:val="Hyperlink"/>
          </w:rPr>
          <w:t xml:space="preserve"> Report on Demand</w:t>
        </w:r>
        <w:r w:rsidR="00B06C04">
          <w:rPr>
            <w:webHidden/>
          </w:rPr>
          <w:tab/>
        </w:r>
        <w:r>
          <w:rPr>
            <w:webHidden/>
          </w:rPr>
          <w:fldChar w:fldCharType="begin"/>
        </w:r>
        <w:r w:rsidR="00B06C04">
          <w:rPr>
            <w:webHidden/>
          </w:rPr>
          <w:instrText xml:space="preserve"> PAGEREF _Toc329296390 \h </w:instrText>
        </w:r>
        <w:r>
          <w:rPr>
            <w:webHidden/>
          </w:rPr>
        </w:r>
        <w:r>
          <w:rPr>
            <w:webHidden/>
          </w:rPr>
          <w:fldChar w:fldCharType="separate"/>
        </w:r>
        <w:r w:rsidR="00B06C04">
          <w:rPr>
            <w:webHidden/>
          </w:rPr>
          <w:t>96</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91" w:history="1">
        <w:r w:rsidR="00B06C04" w:rsidRPr="00856019">
          <w:rPr>
            <w:rStyle w:val="Hyperlink"/>
          </w:rPr>
          <w:t>Schedule 10</w:t>
        </w:r>
        <w:r w:rsidR="00B06C04">
          <w:rPr>
            <w:rFonts w:eastAsiaTheme="minorEastAsia" w:cstheme="minorBidi"/>
            <w:b w:val="0"/>
            <w:caps w:val="0"/>
            <w:sz w:val="22"/>
            <w:szCs w:val="22"/>
            <w:lang w:eastAsia="en-NZ"/>
          </w:rPr>
          <w:tab/>
        </w:r>
        <w:r w:rsidR="00B06C04" w:rsidRPr="00856019">
          <w:rPr>
            <w:rStyle w:val="Hyperlink"/>
          </w:rPr>
          <w:t xml:space="preserve"> Report on Network Reliability and Interruptions</w:t>
        </w:r>
        <w:r w:rsidR="00B06C04">
          <w:rPr>
            <w:webHidden/>
          </w:rPr>
          <w:tab/>
        </w:r>
        <w:r>
          <w:rPr>
            <w:webHidden/>
          </w:rPr>
          <w:fldChar w:fldCharType="begin"/>
        </w:r>
        <w:r w:rsidR="00B06C04">
          <w:rPr>
            <w:webHidden/>
          </w:rPr>
          <w:instrText xml:space="preserve"> PAGEREF _Toc329296391 \h </w:instrText>
        </w:r>
        <w:r>
          <w:rPr>
            <w:webHidden/>
          </w:rPr>
        </w:r>
        <w:r>
          <w:rPr>
            <w:webHidden/>
          </w:rPr>
          <w:fldChar w:fldCharType="separate"/>
        </w:r>
        <w:r w:rsidR="00B06C04">
          <w:rPr>
            <w:webHidden/>
          </w:rPr>
          <w:t>97</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92" w:history="1">
        <w:r w:rsidR="00B06C04" w:rsidRPr="00856019">
          <w:rPr>
            <w:rStyle w:val="Hyperlink"/>
          </w:rPr>
          <w:t>Schedule 10a</w:t>
        </w:r>
        <w:r w:rsidR="00B06C04">
          <w:rPr>
            <w:rFonts w:eastAsiaTheme="minorEastAsia" w:cstheme="minorBidi"/>
            <w:b w:val="0"/>
            <w:caps w:val="0"/>
            <w:sz w:val="22"/>
            <w:szCs w:val="22"/>
            <w:lang w:eastAsia="en-NZ"/>
          </w:rPr>
          <w:tab/>
        </w:r>
        <w:r w:rsidR="00B06C04" w:rsidRPr="00856019">
          <w:rPr>
            <w:rStyle w:val="Hyperlink"/>
          </w:rPr>
          <w:t>Report on Network Integrity</w:t>
        </w:r>
        <w:r w:rsidR="00B06C04">
          <w:rPr>
            <w:webHidden/>
          </w:rPr>
          <w:tab/>
        </w:r>
        <w:r>
          <w:rPr>
            <w:webHidden/>
          </w:rPr>
          <w:fldChar w:fldCharType="begin"/>
        </w:r>
        <w:r w:rsidR="00B06C04">
          <w:rPr>
            <w:webHidden/>
          </w:rPr>
          <w:instrText xml:space="preserve"> PAGEREF _Toc329296392 \h </w:instrText>
        </w:r>
        <w:r>
          <w:rPr>
            <w:webHidden/>
          </w:rPr>
        </w:r>
        <w:r>
          <w:rPr>
            <w:webHidden/>
          </w:rPr>
          <w:fldChar w:fldCharType="separate"/>
        </w:r>
        <w:r w:rsidR="00B06C04">
          <w:rPr>
            <w:webHidden/>
          </w:rPr>
          <w:t>98</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93" w:history="1">
        <w:r w:rsidR="00B06C04" w:rsidRPr="00856019">
          <w:rPr>
            <w:rStyle w:val="Hyperlink"/>
          </w:rPr>
          <w:t>Schedule 11a</w:t>
        </w:r>
        <w:r w:rsidR="00B06C04">
          <w:rPr>
            <w:rFonts w:eastAsiaTheme="minorEastAsia" w:cstheme="minorBidi"/>
            <w:b w:val="0"/>
            <w:caps w:val="0"/>
            <w:sz w:val="22"/>
            <w:szCs w:val="22"/>
            <w:lang w:eastAsia="en-NZ"/>
          </w:rPr>
          <w:tab/>
        </w:r>
        <w:r w:rsidR="00B06C04" w:rsidRPr="00856019">
          <w:rPr>
            <w:rStyle w:val="Hyperlink"/>
          </w:rPr>
          <w:t>Report on Forecast Capital Expenditure</w:t>
        </w:r>
        <w:r w:rsidR="00B06C04">
          <w:rPr>
            <w:webHidden/>
          </w:rPr>
          <w:tab/>
        </w:r>
        <w:r>
          <w:rPr>
            <w:webHidden/>
          </w:rPr>
          <w:fldChar w:fldCharType="begin"/>
        </w:r>
        <w:r w:rsidR="00B06C04">
          <w:rPr>
            <w:webHidden/>
          </w:rPr>
          <w:instrText xml:space="preserve"> PAGEREF _Toc329296393 \h </w:instrText>
        </w:r>
        <w:r>
          <w:rPr>
            <w:webHidden/>
          </w:rPr>
        </w:r>
        <w:r>
          <w:rPr>
            <w:webHidden/>
          </w:rPr>
          <w:fldChar w:fldCharType="separate"/>
        </w:r>
        <w:r w:rsidR="00B06C04">
          <w:rPr>
            <w:webHidden/>
          </w:rPr>
          <w:t>99</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94" w:history="1">
        <w:r w:rsidR="00B06C04" w:rsidRPr="00856019">
          <w:rPr>
            <w:rStyle w:val="Hyperlink"/>
          </w:rPr>
          <w:t>Schedule 11b</w:t>
        </w:r>
        <w:r w:rsidR="00B06C04">
          <w:rPr>
            <w:rFonts w:eastAsiaTheme="minorEastAsia" w:cstheme="minorBidi"/>
            <w:b w:val="0"/>
            <w:caps w:val="0"/>
            <w:sz w:val="22"/>
            <w:szCs w:val="22"/>
            <w:lang w:eastAsia="en-NZ"/>
          </w:rPr>
          <w:tab/>
        </w:r>
        <w:r w:rsidR="00B06C04" w:rsidRPr="00856019">
          <w:rPr>
            <w:rStyle w:val="Hyperlink"/>
          </w:rPr>
          <w:t>Report on Forecast Operational Expenditure</w:t>
        </w:r>
        <w:r w:rsidR="00B06C04">
          <w:rPr>
            <w:webHidden/>
          </w:rPr>
          <w:tab/>
        </w:r>
        <w:r>
          <w:rPr>
            <w:webHidden/>
          </w:rPr>
          <w:fldChar w:fldCharType="begin"/>
        </w:r>
        <w:r w:rsidR="00B06C04">
          <w:rPr>
            <w:webHidden/>
          </w:rPr>
          <w:instrText xml:space="preserve"> PAGEREF _Toc329296394 \h </w:instrText>
        </w:r>
        <w:r>
          <w:rPr>
            <w:webHidden/>
          </w:rPr>
        </w:r>
        <w:r>
          <w:rPr>
            <w:webHidden/>
          </w:rPr>
          <w:fldChar w:fldCharType="separate"/>
        </w:r>
        <w:r w:rsidR="00B06C04">
          <w:rPr>
            <w:webHidden/>
          </w:rPr>
          <w:t>104</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95" w:history="1">
        <w:r w:rsidR="00B06C04" w:rsidRPr="00856019">
          <w:rPr>
            <w:rStyle w:val="Hyperlink"/>
          </w:rPr>
          <w:t>Schedule 12a</w:t>
        </w:r>
        <w:r w:rsidR="00B06C04">
          <w:rPr>
            <w:rFonts w:eastAsiaTheme="minorEastAsia" w:cstheme="minorBidi"/>
            <w:b w:val="0"/>
            <w:caps w:val="0"/>
            <w:sz w:val="22"/>
            <w:szCs w:val="22"/>
            <w:lang w:eastAsia="en-NZ"/>
          </w:rPr>
          <w:tab/>
        </w:r>
        <w:r w:rsidR="00B06C04" w:rsidRPr="00856019">
          <w:rPr>
            <w:rStyle w:val="Hyperlink"/>
          </w:rPr>
          <w:t>Report on Asset Condition</w:t>
        </w:r>
        <w:r w:rsidR="00B06C04">
          <w:rPr>
            <w:webHidden/>
          </w:rPr>
          <w:tab/>
        </w:r>
        <w:r>
          <w:rPr>
            <w:webHidden/>
          </w:rPr>
          <w:fldChar w:fldCharType="begin"/>
        </w:r>
        <w:r w:rsidR="00B06C04">
          <w:rPr>
            <w:webHidden/>
          </w:rPr>
          <w:instrText xml:space="preserve"> PAGEREF _Toc329296395 \h </w:instrText>
        </w:r>
        <w:r>
          <w:rPr>
            <w:webHidden/>
          </w:rPr>
        </w:r>
        <w:r>
          <w:rPr>
            <w:webHidden/>
          </w:rPr>
          <w:fldChar w:fldCharType="separate"/>
        </w:r>
        <w:r w:rsidR="00B06C04">
          <w:rPr>
            <w:webHidden/>
          </w:rPr>
          <w:t>105</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96" w:history="1">
        <w:r w:rsidR="00B06C04" w:rsidRPr="00856019">
          <w:rPr>
            <w:rStyle w:val="Hyperlink"/>
          </w:rPr>
          <w:t>Schedule 12b</w:t>
        </w:r>
        <w:r w:rsidR="00B06C04">
          <w:rPr>
            <w:rFonts w:eastAsiaTheme="minorEastAsia" w:cstheme="minorBidi"/>
            <w:b w:val="0"/>
            <w:caps w:val="0"/>
            <w:sz w:val="22"/>
            <w:szCs w:val="22"/>
            <w:lang w:eastAsia="en-NZ"/>
          </w:rPr>
          <w:tab/>
        </w:r>
        <w:r w:rsidR="00B06C04" w:rsidRPr="00856019">
          <w:rPr>
            <w:rStyle w:val="Hyperlink"/>
          </w:rPr>
          <w:t>Report on Forecast Demand</w:t>
        </w:r>
        <w:r w:rsidR="00B06C04">
          <w:rPr>
            <w:webHidden/>
          </w:rPr>
          <w:tab/>
        </w:r>
        <w:r>
          <w:rPr>
            <w:webHidden/>
          </w:rPr>
          <w:fldChar w:fldCharType="begin"/>
        </w:r>
        <w:r w:rsidR="00B06C04">
          <w:rPr>
            <w:webHidden/>
          </w:rPr>
          <w:instrText xml:space="preserve"> PAGEREF _Toc329296396 \h </w:instrText>
        </w:r>
        <w:r>
          <w:rPr>
            <w:webHidden/>
          </w:rPr>
        </w:r>
        <w:r>
          <w:rPr>
            <w:webHidden/>
          </w:rPr>
          <w:fldChar w:fldCharType="separate"/>
        </w:r>
        <w:r w:rsidR="00B06C04">
          <w:rPr>
            <w:webHidden/>
          </w:rPr>
          <w:t>106</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97" w:history="1">
        <w:r w:rsidR="00B06C04" w:rsidRPr="00856019">
          <w:rPr>
            <w:rStyle w:val="Hyperlink"/>
          </w:rPr>
          <w:t>Schedule 13</w:t>
        </w:r>
        <w:r w:rsidR="00B06C04">
          <w:rPr>
            <w:rFonts w:eastAsiaTheme="minorEastAsia" w:cstheme="minorBidi"/>
            <w:b w:val="0"/>
            <w:caps w:val="0"/>
            <w:sz w:val="22"/>
            <w:szCs w:val="22"/>
            <w:lang w:eastAsia="en-NZ"/>
          </w:rPr>
          <w:tab/>
        </w:r>
        <w:r w:rsidR="00B06C04" w:rsidRPr="00856019">
          <w:rPr>
            <w:rStyle w:val="Hyperlink"/>
          </w:rPr>
          <w:t xml:space="preserve"> Report on Asset Management Maturity</w:t>
        </w:r>
        <w:r w:rsidR="00B06C04">
          <w:rPr>
            <w:webHidden/>
          </w:rPr>
          <w:tab/>
        </w:r>
        <w:r>
          <w:rPr>
            <w:webHidden/>
          </w:rPr>
          <w:fldChar w:fldCharType="begin"/>
        </w:r>
        <w:r w:rsidR="00B06C04">
          <w:rPr>
            <w:webHidden/>
          </w:rPr>
          <w:instrText xml:space="preserve"> PAGEREF _Toc329296397 \h </w:instrText>
        </w:r>
        <w:r>
          <w:rPr>
            <w:webHidden/>
          </w:rPr>
        </w:r>
        <w:r>
          <w:rPr>
            <w:webHidden/>
          </w:rPr>
          <w:fldChar w:fldCharType="separate"/>
        </w:r>
        <w:r w:rsidR="00B06C04">
          <w:rPr>
            <w:webHidden/>
          </w:rPr>
          <w:t>107</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98" w:history="1">
        <w:r w:rsidR="00B06C04" w:rsidRPr="00856019">
          <w:rPr>
            <w:rStyle w:val="Hyperlink"/>
          </w:rPr>
          <w:t>Schedule 14</w:t>
        </w:r>
        <w:r w:rsidR="00B06C04">
          <w:rPr>
            <w:rFonts w:eastAsiaTheme="minorEastAsia" w:cstheme="minorBidi"/>
            <w:b w:val="0"/>
            <w:caps w:val="0"/>
            <w:sz w:val="22"/>
            <w:szCs w:val="22"/>
            <w:lang w:eastAsia="en-NZ"/>
          </w:rPr>
          <w:tab/>
        </w:r>
        <w:r w:rsidR="00B06C04" w:rsidRPr="00856019">
          <w:rPr>
            <w:rStyle w:val="Hyperlink"/>
          </w:rPr>
          <w:t xml:space="preserve"> Mandatory Explanatory Notes</w:t>
        </w:r>
        <w:r w:rsidR="00B06C04">
          <w:rPr>
            <w:webHidden/>
          </w:rPr>
          <w:tab/>
        </w:r>
        <w:r>
          <w:rPr>
            <w:webHidden/>
          </w:rPr>
          <w:fldChar w:fldCharType="begin"/>
        </w:r>
        <w:r w:rsidR="00B06C04">
          <w:rPr>
            <w:webHidden/>
          </w:rPr>
          <w:instrText xml:space="preserve"> PAGEREF _Toc329296398 \h </w:instrText>
        </w:r>
        <w:r>
          <w:rPr>
            <w:webHidden/>
          </w:rPr>
        </w:r>
        <w:r>
          <w:rPr>
            <w:webHidden/>
          </w:rPr>
          <w:fldChar w:fldCharType="separate"/>
        </w:r>
        <w:r w:rsidR="00B06C04">
          <w:rPr>
            <w:webHidden/>
          </w:rPr>
          <w:t>116</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399" w:history="1">
        <w:r w:rsidR="00B06C04" w:rsidRPr="00856019">
          <w:rPr>
            <w:rStyle w:val="Hyperlink"/>
          </w:rPr>
          <w:t>Schedule 14a</w:t>
        </w:r>
        <w:r w:rsidR="00B06C04">
          <w:rPr>
            <w:rFonts w:eastAsiaTheme="minorEastAsia" w:cstheme="minorBidi"/>
            <w:b w:val="0"/>
            <w:caps w:val="0"/>
            <w:sz w:val="22"/>
            <w:szCs w:val="22"/>
            <w:lang w:eastAsia="en-NZ"/>
          </w:rPr>
          <w:tab/>
        </w:r>
        <w:r w:rsidR="00B06C04" w:rsidRPr="00856019">
          <w:rPr>
            <w:rStyle w:val="Hyperlink"/>
          </w:rPr>
          <w:t>Mandatory Explanatory Notes on Forecast Information</w:t>
        </w:r>
        <w:r w:rsidR="00B06C04">
          <w:rPr>
            <w:webHidden/>
          </w:rPr>
          <w:tab/>
        </w:r>
        <w:r>
          <w:rPr>
            <w:webHidden/>
          </w:rPr>
          <w:fldChar w:fldCharType="begin"/>
        </w:r>
        <w:r w:rsidR="00B06C04">
          <w:rPr>
            <w:webHidden/>
          </w:rPr>
          <w:instrText xml:space="preserve"> PAGEREF _Toc329296399 \h </w:instrText>
        </w:r>
        <w:r>
          <w:rPr>
            <w:webHidden/>
          </w:rPr>
        </w:r>
        <w:r>
          <w:rPr>
            <w:webHidden/>
          </w:rPr>
          <w:fldChar w:fldCharType="separate"/>
        </w:r>
        <w:r w:rsidR="00B06C04">
          <w:rPr>
            <w:webHidden/>
          </w:rPr>
          <w:t>122</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400" w:history="1">
        <w:r w:rsidR="00B06C04" w:rsidRPr="00856019">
          <w:rPr>
            <w:rStyle w:val="Hyperlink"/>
          </w:rPr>
          <w:t>Schedule 14b</w:t>
        </w:r>
        <w:r w:rsidR="00B06C04">
          <w:rPr>
            <w:rFonts w:eastAsiaTheme="minorEastAsia" w:cstheme="minorBidi"/>
            <w:b w:val="0"/>
            <w:caps w:val="0"/>
            <w:sz w:val="22"/>
            <w:szCs w:val="22"/>
            <w:lang w:eastAsia="en-NZ"/>
          </w:rPr>
          <w:tab/>
        </w:r>
        <w:r w:rsidR="00B06C04" w:rsidRPr="00856019">
          <w:rPr>
            <w:rStyle w:val="Hyperlink"/>
          </w:rPr>
          <w:t>Explanatory Notes on Transitional Financial Information</w:t>
        </w:r>
        <w:r w:rsidR="00B06C04">
          <w:rPr>
            <w:webHidden/>
          </w:rPr>
          <w:tab/>
        </w:r>
        <w:r>
          <w:rPr>
            <w:webHidden/>
          </w:rPr>
          <w:fldChar w:fldCharType="begin"/>
        </w:r>
        <w:r w:rsidR="00B06C04">
          <w:rPr>
            <w:webHidden/>
          </w:rPr>
          <w:instrText xml:space="preserve"> PAGEREF _Toc329296400 \h </w:instrText>
        </w:r>
        <w:r>
          <w:rPr>
            <w:webHidden/>
          </w:rPr>
        </w:r>
        <w:r>
          <w:rPr>
            <w:webHidden/>
          </w:rPr>
          <w:fldChar w:fldCharType="separate"/>
        </w:r>
        <w:r w:rsidR="00B06C04">
          <w:rPr>
            <w:webHidden/>
          </w:rPr>
          <w:t>123</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401" w:history="1">
        <w:r w:rsidR="00B06C04" w:rsidRPr="00856019">
          <w:rPr>
            <w:rStyle w:val="Hyperlink"/>
          </w:rPr>
          <w:t>Schedule 15</w:t>
        </w:r>
        <w:r w:rsidR="00B06C04">
          <w:rPr>
            <w:rFonts w:eastAsiaTheme="minorEastAsia" w:cstheme="minorBidi"/>
            <w:b w:val="0"/>
            <w:caps w:val="0"/>
            <w:sz w:val="22"/>
            <w:szCs w:val="22"/>
            <w:lang w:eastAsia="en-NZ"/>
          </w:rPr>
          <w:tab/>
        </w:r>
        <w:r w:rsidR="00B06C04" w:rsidRPr="00856019">
          <w:rPr>
            <w:rStyle w:val="Hyperlink"/>
          </w:rPr>
          <w:t xml:space="preserve"> Voluntary Explanatory Notes</w:t>
        </w:r>
        <w:r w:rsidR="00B06C04">
          <w:rPr>
            <w:webHidden/>
          </w:rPr>
          <w:tab/>
        </w:r>
        <w:r>
          <w:rPr>
            <w:webHidden/>
          </w:rPr>
          <w:fldChar w:fldCharType="begin"/>
        </w:r>
        <w:r w:rsidR="00B06C04">
          <w:rPr>
            <w:webHidden/>
          </w:rPr>
          <w:instrText xml:space="preserve"> PAGEREF _Toc329296401 \h </w:instrText>
        </w:r>
        <w:r>
          <w:rPr>
            <w:webHidden/>
          </w:rPr>
        </w:r>
        <w:r>
          <w:rPr>
            <w:webHidden/>
          </w:rPr>
          <w:fldChar w:fldCharType="separate"/>
        </w:r>
        <w:r w:rsidR="00B06C04">
          <w:rPr>
            <w:webHidden/>
          </w:rPr>
          <w:t>124</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402" w:history="1">
        <w:r w:rsidR="00B06C04" w:rsidRPr="00856019">
          <w:rPr>
            <w:rStyle w:val="Hyperlink"/>
          </w:rPr>
          <w:t>Schedule 16</w:t>
        </w:r>
        <w:r w:rsidR="00B06C04">
          <w:rPr>
            <w:rFonts w:eastAsiaTheme="minorEastAsia" w:cstheme="minorBidi"/>
            <w:b w:val="0"/>
            <w:caps w:val="0"/>
            <w:sz w:val="22"/>
            <w:szCs w:val="22"/>
            <w:lang w:eastAsia="en-NZ"/>
          </w:rPr>
          <w:tab/>
        </w:r>
        <w:r w:rsidR="00B06C04" w:rsidRPr="00856019">
          <w:rPr>
            <w:rStyle w:val="Hyperlink"/>
          </w:rPr>
          <w:t xml:space="preserve"> Definitions of Terms used in Schedules 1 to 15</w:t>
        </w:r>
        <w:r w:rsidR="00B06C04">
          <w:rPr>
            <w:webHidden/>
          </w:rPr>
          <w:tab/>
        </w:r>
        <w:r>
          <w:rPr>
            <w:webHidden/>
          </w:rPr>
          <w:fldChar w:fldCharType="begin"/>
        </w:r>
        <w:r w:rsidR="00B06C04">
          <w:rPr>
            <w:webHidden/>
          </w:rPr>
          <w:instrText xml:space="preserve"> PAGEREF _Toc329296402 \h </w:instrText>
        </w:r>
        <w:r>
          <w:rPr>
            <w:webHidden/>
          </w:rPr>
        </w:r>
        <w:r>
          <w:rPr>
            <w:webHidden/>
          </w:rPr>
          <w:fldChar w:fldCharType="separate"/>
        </w:r>
        <w:r w:rsidR="00B06C04">
          <w:rPr>
            <w:webHidden/>
          </w:rPr>
          <w:t>125</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403" w:history="1">
        <w:r w:rsidR="00B06C04" w:rsidRPr="00856019">
          <w:rPr>
            <w:rStyle w:val="Hyperlink"/>
          </w:rPr>
          <w:t>Schedule 17</w:t>
        </w:r>
        <w:r w:rsidR="00B06C04">
          <w:rPr>
            <w:rFonts w:eastAsiaTheme="minorEastAsia" w:cstheme="minorBidi"/>
            <w:b w:val="0"/>
            <w:caps w:val="0"/>
            <w:sz w:val="22"/>
            <w:szCs w:val="22"/>
            <w:lang w:eastAsia="en-NZ"/>
          </w:rPr>
          <w:tab/>
        </w:r>
        <w:r w:rsidR="00B06C04" w:rsidRPr="00856019">
          <w:rPr>
            <w:rStyle w:val="Hyperlink"/>
          </w:rPr>
          <w:t xml:space="preserve"> Certification for Year-beginning Disclosures</w:t>
        </w:r>
        <w:r w:rsidR="00B06C04">
          <w:rPr>
            <w:webHidden/>
          </w:rPr>
          <w:tab/>
        </w:r>
        <w:r>
          <w:rPr>
            <w:webHidden/>
          </w:rPr>
          <w:fldChar w:fldCharType="begin"/>
        </w:r>
        <w:r w:rsidR="00B06C04">
          <w:rPr>
            <w:webHidden/>
          </w:rPr>
          <w:instrText xml:space="preserve"> PAGEREF _Toc329296403 \h </w:instrText>
        </w:r>
        <w:r>
          <w:rPr>
            <w:webHidden/>
          </w:rPr>
        </w:r>
        <w:r>
          <w:rPr>
            <w:webHidden/>
          </w:rPr>
          <w:fldChar w:fldCharType="separate"/>
        </w:r>
        <w:r w:rsidR="00B06C04">
          <w:rPr>
            <w:webHidden/>
          </w:rPr>
          <w:t>145</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404" w:history="1">
        <w:r w:rsidR="00B06C04" w:rsidRPr="00856019">
          <w:rPr>
            <w:rStyle w:val="Hyperlink"/>
          </w:rPr>
          <w:t>Schedule 18</w:t>
        </w:r>
        <w:r w:rsidR="00B06C04">
          <w:rPr>
            <w:rFonts w:eastAsiaTheme="minorEastAsia" w:cstheme="minorBidi"/>
            <w:b w:val="0"/>
            <w:caps w:val="0"/>
            <w:sz w:val="22"/>
            <w:szCs w:val="22"/>
            <w:lang w:eastAsia="en-NZ"/>
          </w:rPr>
          <w:tab/>
        </w:r>
        <w:r w:rsidR="00B06C04" w:rsidRPr="00856019">
          <w:rPr>
            <w:rStyle w:val="Hyperlink"/>
          </w:rPr>
          <w:t xml:space="preserve"> Certification for Year-end Disclosures</w:t>
        </w:r>
        <w:r w:rsidR="00B06C04">
          <w:rPr>
            <w:webHidden/>
          </w:rPr>
          <w:tab/>
        </w:r>
        <w:r>
          <w:rPr>
            <w:webHidden/>
          </w:rPr>
          <w:fldChar w:fldCharType="begin"/>
        </w:r>
        <w:r w:rsidR="00B06C04">
          <w:rPr>
            <w:webHidden/>
          </w:rPr>
          <w:instrText xml:space="preserve"> PAGEREF _Toc329296404 \h </w:instrText>
        </w:r>
        <w:r>
          <w:rPr>
            <w:webHidden/>
          </w:rPr>
        </w:r>
        <w:r>
          <w:rPr>
            <w:webHidden/>
          </w:rPr>
          <w:fldChar w:fldCharType="separate"/>
        </w:r>
        <w:r w:rsidR="00B06C04">
          <w:rPr>
            <w:webHidden/>
          </w:rPr>
          <w:t>146</w:t>
        </w:r>
        <w:r>
          <w:rPr>
            <w:webHidden/>
          </w:rPr>
          <w:fldChar w:fldCharType="end"/>
        </w:r>
      </w:hyperlink>
    </w:p>
    <w:p w:rsidR="00B06C04" w:rsidRDefault="0033518E">
      <w:pPr>
        <w:pStyle w:val="TOC1"/>
        <w:rPr>
          <w:rFonts w:eastAsiaTheme="minorEastAsia" w:cstheme="minorBidi"/>
          <w:b w:val="0"/>
          <w:caps w:val="0"/>
          <w:sz w:val="22"/>
          <w:szCs w:val="22"/>
          <w:lang w:eastAsia="en-NZ"/>
        </w:rPr>
      </w:pPr>
      <w:hyperlink w:anchor="_Toc329296405" w:history="1">
        <w:r w:rsidR="00B06C04" w:rsidRPr="00856019">
          <w:rPr>
            <w:rStyle w:val="Hyperlink"/>
          </w:rPr>
          <w:t>Schedule 19</w:t>
        </w:r>
        <w:r w:rsidR="00B06C04">
          <w:rPr>
            <w:rFonts w:eastAsiaTheme="minorEastAsia" w:cstheme="minorBidi"/>
            <w:b w:val="0"/>
            <w:caps w:val="0"/>
            <w:sz w:val="22"/>
            <w:szCs w:val="22"/>
            <w:lang w:eastAsia="en-NZ"/>
          </w:rPr>
          <w:tab/>
        </w:r>
        <w:r w:rsidR="00B06C04" w:rsidRPr="00856019">
          <w:rPr>
            <w:rStyle w:val="Hyperlink"/>
          </w:rPr>
          <w:t xml:space="preserve"> Certification for Transitional Disclosures</w:t>
        </w:r>
        <w:r w:rsidR="00B06C04">
          <w:rPr>
            <w:webHidden/>
          </w:rPr>
          <w:tab/>
        </w:r>
        <w:r>
          <w:rPr>
            <w:webHidden/>
          </w:rPr>
          <w:fldChar w:fldCharType="begin"/>
        </w:r>
        <w:r w:rsidR="00B06C04">
          <w:rPr>
            <w:webHidden/>
          </w:rPr>
          <w:instrText xml:space="preserve"> PAGEREF _Toc329296405 \h </w:instrText>
        </w:r>
        <w:r>
          <w:rPr>
            <w:webHidden/>
          </w:rPr>
        </w:r>
        <w:r>
          <w:rPr>
            <w:webHidden/>
          </w:rPr>
          <w:fldChar w:fldCharType="separate"/>
        </w:r>
        <w:r w:rsidR="00B06C04">
          <w:rPr>
            <w:webHidden/>
          </w:rPr>
          <w:t>147</w:t>
        </w:r>
        <w:r>
          <w:rPr>
            <w:webHidden/>
          </w:rPr>
          <w:fldChar w:fldCharType="end"/>
        </w:r>
      </w:hyperlink>
    </w:p>
    <w:p w:rsidR="00C80BBC" w:rsidRPr="006441E4" w:rsidRDefault="0033518E" w:rsidP="00C80BBC">
      <w:pPr>
        <w:pStyle w:val="BodyText"/>
        <w:tabs>
          <w:tab w:val="left" w:pos="1418"/>
        </w:tabs>
      </w:pPr>
      <w:r>
        <w:rPr>
          <w:b/>
          <w:caps/>
          <w:noProof/>
        </w:rPr>
        <w:fldChar w:fldCharType="end"/>
      </w:r>
    </w:p>
    <w:p w:rsidR="00C80BBC" w:rsidRPr="006441E4" w:rsidRDefault="00C80BBC" w:rsidP="00C80BBC">
      <w:pPr>
        <w:pStyle w:val="ChapterHeading"/>
        <w:numPr>
          <w:ilvl w:val="0"/>
          <w:numId w:val="0"/>
        </w:numPr>
        <w:tabs>
          <w:tab w:val="left" w:pos="720"/>
        </w:tabs>
        <w:spacing w:before="0" w:after="0"/>
        <w:rPr>
          <w:b w:val="0"/>
          <w:sz w:val="24"/>
          <w:szCs w:val="24"/>
          <w:lang w:eastAsia="en-GB"/>
        </w:rPr>
      </w:pPr>
    </w:p>
    <w:p w:rsidR="000B08C6" w:rsidRPr="006441E4" w:rsidRDefault="000B08C6" w:rsidP="00B200F7">
      <w:pPr>
        <w:pStyle w:val="ChapterHeading"/>
        <w:numPr>
          <w:ilvl w:val="0"/>
          <w:numId w:val="0"/>
        </w:numPr>
        <w:tabs>
          <w:tab w:val="left" w:pos="720"/>
        </w:tabs>
        <w:spacing w:before="0" w:after="0"/>
        <w:jc w:val="center"/>
        <w:rPr>
          <w:sz w:val="24"/>
          <w:szCs w:val="24"/>
          <w:lang w:eastAsia="en-GB"/>
        </w:rPr>
        <w:sectPr w:rsidR="000B08C6" w:rsidRPr="006441E4" w:rsidSect="000A7887">
          <w:headerReference w:type="first" r:id="rId14"/>
          <w:pgSz w:w="11907" w:h="16840" w:code="9"/>
          <w:pgMar w:top="1440" w:right="1440" w:bottom="1440" w:left="1440" w:header="1134" w:footer="431" w:gutter="0"/>
          <w:cols w:space="720"/>
          <w:titlePg/>
        </w:sectPr>
      </w:pPr>
    </w:p>
    <w:p w:rsidR="00B200F7" w:rsidRPr="006441E4" w:rsidRDefault="00B200F7" w:rsidP="00AE0D10">
      <w:pPr>
        <w:spacing w:line="264" w:lineRule="auto"/>
        <w:jc w:val="both"/>
        <w:rPr>
          <w:lang w:eastAsia="en-GB"/>
        </w:rPr>
      </w:pPr>
      <w:r w:rsidRPr="006441E4">
        <w:rPr>
          <w:lang w:eastAsia="en-GB"/>
        </w:rPr>
        <w:t>Pursuant to Part 4 of the Commerce Act 1986, the Commerce Commission makes the following determination:</w:t>
      </w:r>
    </w:p>
    <w:p w:rsidR="00110F6A" w:rsidRPr="00110F6A" w:rsidRDefault="00110F6A" w:rsidP="00AE0D10">
      <w:pPr>
        <w:pStyle w:val="Heading1"/>
        <w:spacing w:line="264" w:lineRule="auto"/>
        <w:jc w:val="center"/>
        <w:rPr>
          <w:b w:val="0"/>
        </w:rPr>
      </w:pPr>
    </w:p>
    <w:p w:rsidR="00F40DAE" w:rsidRDefault="006A237C">
      <w:pPr>
        <w:pStyle w:val="HeadingH2"/>
      </w:pPr>
      <w:bookmarkStart w:id="0" w:name="_Toc329296351"/>
      <w:r w:rsidRPr="006441E4">
        <w:t>GENERAL PROVISIONS</w:t>
      </w:r>
      <w:bookmarkEnd w:id="0"/>
    </w:p>
    <w:p w:rsidR="00F40DAE" w:rsidRDefault="00B200F7">
      <w:pPr>
        <w:pStyle w:val="HeadingH3SectionHeading"/>
      </w:pPr>
      <w:bookmarkStart w:id="1" w:name="_Toc329296352"/>
      <w:r w:rsidRPr="006441E4">
        <w:t>Title</w:t>
      </w:r>
      <w:bookmarkEnd w:id="1"/>
    </w:p>
    <w:p w:rsidR="00F40DAE" w:rsidRDefault="00F86836">
      <w:pPr>
        <w:pStyle w:val="HeadingH4Clausetext"/>
      </w:pPr>
      <w:bookmarkStart w:id="2" w:name="_Toc309811749"/>
      <w:r>
        <w:t>This determination is the Commerce Act (Gas Transmission Services Information Disclosure) Determination 2012.</w:t>
      </w:r>
      <w:bookmarkEnd w:id="2"/>
    </w:p>
    <w:p w:rsidR="00F40DAE" w:rsidRDefault="00B200F7">
      <w:pPr>
        <w:pStyle w:val="HeadingH3SectionHeading"/>
        <w:rPr>
          <w:rFonts w:cs="Arial"/>
          <w:szCs w:val="32"/>
        </w:rPr>
      </w:pPr>
      <w:bookmarkStart w:id="3" w:name="_Toc329296353"/>
      <w:r w:rsidRPr="006441E4">
        <w:t>Commencement</w:t>
      </w:r>
      <w:r w:rsidR="004A44CB" w:rsidRPr="006441E4">
        <w:t xml:space="preserve"> DATE</w:t>
      </w:r>
      <w:bookmarkEnd w:id="3"/>
    </w:p>
    <w:p w:rsidR="00F40DAE" w:rsidRDefault="00B200F7">
      <w:pPr>
        <w:pStyle w:val="HeadingH4Clausetext"/>
        <w:rPr>
          <w:lang w:eastAsia="en-GB"/>
        </w:rPr>
      </w:pPr>
      <w:bookmarkStart w:id="4" w:name="_Toc309811751"/>
      <w:bookmarkStart w:id="5" w:name="_Ref329173799"/>
      <w:r w:rsidRPr="006441E4">
        <w:rPr>
          <w:lang w:eastAsia="en-GB"/>
        </w:rPr>
        <w:t xml:space="preserve">This determination comes into force on </w:t>
      </w:r>
      <w:r w:rsidR="00ED1A70" w:rsidRPr="006441E4">
        <w:rPr>
          <w:lang w:eastAsia="en-GB"/>
        </w:rPr>
        <w:t>[</w:t>
      </w:r>
      <w:r w:rsidR="00ED1A70" w:rsidRPr="006441E4">
        <w:rPr>
          <w:lang w:eastAsia="en-GB"/>
        </w:rPr>
        <w:tab/>
        <w:t>]</w:t>
      </w:r>
      <w:r w:rsidRPr="006441E4">
        <w:rPr>
          <w:lang w:eastAsia="en-GB"/>
        </w:rPr>
        <w:t>.</w:t>
      </w:r>
      <w:bookmarkEnd w:id="4"/>
      <w:bookmarkEnd w:id="5"/>
    </w:p>
    <w:p w:rsidR="00F40DAE" w:rsidRDefault="00B200F7">
      <w:pPr>
        <w:pStyle w:val="HeadingH3SectionHeading"/>
      </w:pPr>
      <w:bookmarkStart w:id="6" w:name="_Toc329296354"/>
      <w:r w:rsidRPr="006441E4">
        <w:t>Application</w:t>
      </w:r>
      <w:bookmarkEnd w:id="6"/>
    </w:p>
    <w:p w:rsidR="00F40DAE" w:rsidRDefault="00B200F7">
      <w:pPr>
        <w:pStyle w:val="HeadingH4Clausetext"/>
        <w:rPr>
          <w:lang w:eastAsia="en-GB"/>
        </w:rPr>
      </w:pPr>
      <w:r w:rsidRPr="006441E4">
        <w:rPr>
          <w:lang w:eastAsia="en-GB"/>
        </w:rPr>
        <w:t xml:space="preserve">This determination applies to </w:t>
      </w:r>
      <w:r w:rsidRPr="006441E4">
        <w:rPr>
          <w:b/>
          <w:lang w:eastAsia="en-GB"/>
        </w:rPr>
        <w:t xml:space="preserve">gas </w:t>
      </w:r>
      <w:r w:rsidR="00746306" w:rsidRPr="006441E4">
        <w:rPr>
          <w:b/>
          <w:lang w:eastAsia="en-GB"/>
        </w:rPr>
        <w:t>transmission businesses</w:t>
      </w:r>
      <w:r w:rsidR="00746306" w:rsidRPr="006441E4">
        <w:rPr>
          <w:lang w:eastAsia="en-GB"/>
        </w:rPr>
        <w:t xml:space="preserve"> </w:t>
      </w:r>
      <w:r w:rsidRPr="006441E4">
        <w:rPr>
          <w:lang w:eastAsia="en-GB"/>
        </w:rPr>
        <w:t xml:space="preserve">as suppliers of regulated goods and services under Part </w:t>
      </w:r>
      <w:r w:rsidR="003E69C4" w:rsidRPr="006441E4">
        <w:rPr>
          <w:lang w:eastAsia="en-GB"/>
        </w:rPr>
        <w:t xml:space="preserve">4 </w:t>
      </w:r>
      <w:r w:rsidRPr="006441E4">
        <w:rPr>
          <w:lang w:eastAsia="en-GB"/>
        </w:rPr>
        <w:t xml:space="preserve">of the </w:t>
      </w:r>
      <w:r w:rsidRPr="006441E4">
        <w:rPr>
          <w:b/>
          <w:lang w:eastAsia="en-GB"/>
        </w:rPr>
        <w:t>Act</w:t>
      </w:r>
      <w:r w:rsidRPr="006441E4">
        <w:rPr>
          <w:lang w:eastAsia="en-GB"/>
        </w:rPr>
        <w:t>.</w:t>
      </w:r>
    </w:p>
    <w:p w:rsidR="00F40DAE" w:rsidRDefault="00B200F7">
      <w:pPr>
        <w:pStyle w:val="HeadingH3SectionHeading"/>
        <w:rPr>
          <w:rFonts w:cs="Arial"/>
          <w:szCs w:val="32"/>
        </w:rPr>
      </w:pPr>
      <w:bookmarkStart w:id="7" w:name="_Ref329163302"/>
      <w:bookmarkStart w:id="8" w:name="_Toc329296355"/>
      <w:r w:rsidRPr="006441E4">
        <w:t>Interpretation</w:t>
      </w:r>
      <w:bookmarkEnd w:id="7"/>
      <w:bookmarkEnd w:id="8"/>
    </w:p>
    <w:p w:rsidR="00F40DAE" w:rsidRDefault="00B200F7">
      <w:pPr>
        <w:pStyle w:val="HeadingH4Clausetext"/>
        <w:rPr>
          <w:lang w:eastAsia="en-GB"/>
        </w:rPr>
      </w:pPr>
      <w:bookmarkStart w:id="9" w:name="_Toc309811755"/>
      <w:r w:rsidRPr="006441E4">
        <w:rPr>
          <w:lang w:eastAsia="en-GB"/>
        </w:rPr>
        <w:t>In this determination, unless the context otherwise requires—</w:t>
      </w:r>
      <w:bookmarkEnd w:id="9"/>
    </w:p>
    <w:p w:rsidR="00F40DAE" w:rsidRDefault="00B200F7">
      <w:pPr>
        <w:pStyle w:val="HeadingH5ClausesubtextL1"/>
        <w:rPr>
          <w:lang w:eastAsia="en-GB"/>
        </w:rPr>
      </w:pPr>
      <w:r w:rsidRPr="006441E4">
        <w:rPr>
          <w:lang w:eastAsia="en-GB"/>
        </w:rPr>
        <w:t xml:space="preserve">Terms in bold type </w:t>
      </w:r>
      <w:r w:rsidR="00372238">
        <w:rPr>
          <w:lang w:eastAsia="en-GB"/>
        </w:rPr>
        <w:t xml:space="preserve">in </w:t>
      </w:r>
      <w:r w:rsidR="00372238" w:rsidRPr="00604256">
        <w:rPr>
          <w:lang w:eastAsia="en-GB"/>
        </w:rPr>
        <w:t>the main body of this determination (this includes the appendices</w:t>
      </w:r>
      <w:r w:rsidR="00372238">
        <w:rPr>
          <w:lang w:eastAsia="en-GB"/>
        </w:rPr>
        <w:t>)</w:t>
      </w:r>
      <w:r w:rsidR="00372238" w:rsidRPr="00604256">
        <w:rPr>
          <w:lang w:eastAsia="en-GB"/>
        </w:rPr>
        <w:t xml:space="preserve"> </w:t>
      </w:r>
      <w:r w:rsidRPr="006441E4">
        <w:rPr>
          <w:lang w:eastAsia="en-GB"/>
        </w:rPr>
        <w:t xml:space="preserve">have the meaning given to those terms in this </w:t>
      </w:r>
      <w:r w:rsidR="00952D23">
        <w:rPr>
          <w:lang w:eastAsia="en-GB"/>
        </w:rPr>
        <w:t>section</w:t>
      </w:r>
      <w:r w:rsidR="008C44E8">
        <w:rPr>
          <w:lang w:eastAsia="en-GB"/>
        </w:rPr>
        <w:t xml:space="preserve"> </w:t>
      </w:r>
      <w:r w:rsidR="0033518E">
        <w:rPr>
          <w:lang w:eastAsia="en-GB"/>
        </w:rPr>
        <w:fldChar w:fldCharType="begin"/>
      </w:r>
      <w:r w:rsidR="008C44E8">
        <w:rPr>
          <w:lang w:eastAsia="en-GB"/>
        </w:rPr>
        <w:instrText xml:space="preserve"> REF _Ref329163302 \r \h </w:instrText>
      </w:r>
      <w:r w:rsidR="0033518E">
        <w:rPr>
          <w:lang w:eastAsia="en-GB"/>
        </w:rPr>
      </w:r>
      <w:r w:rsidR="0033518E">
        <w:rPr>
          <w:lang w:eastAsia="en-GB"/>
        </w:rPr>
        <w:fldChar w:fldCharType="separate"/>
      </w:r>
      <w:r w:rsidR="00B06C04">
        <w:rPr>
          <w:lang w:eastAsia="en-GB"/>
        </w:rPr>
        <w:t>1.4</w:t>
      </w:r>
      <w:r w:rsidR="0033518E">
        <w:rPr>
          <w:lang w:eastAsia="en-GB"/>
        </w:rPr>
        <w:fldChar w:fldCharType="end"/>
      </w:r>
      <w:r w:rsidRPr="006441E4">
        <w:rPr>
          <w:lang w:eastAsia="en-GB"/>
        </w:rPr>
        <w:t xml:space="preserve"> </w:t>
      </w:r>
      <w:r w:rsidR="00AA27C9">
        <w:rPr>
          <w:lang w:eastAsia="en-GB"/>
        </w:rPr>
        <w:t xml:space="preserve">. </w:t>
      </w:r>
      <w:r w:rsidR="00372238">
        <w:rPr>
          <w:lang w:eastAsia="en-GB"/>
        </w:rPr>
        <w:t xml:space="preserve">Terms used </w:t>
      </w:r>
      <w:r w:rsidR="00AA27C9">
        <w:t>in the Schedules are defined in Schedule 16</w:t>
      </w:r>
      <w:r w:rsidRPr="006441E4">
        <w:rPr>
          <w:lang w:eastAsia="en-GB"/>
        </w:rPr>
        <w:t>;</w:t>
      </w:r>
    </w:p>
    <w:p w:rsidR="00F40DAE" w:rsidRDefault="006D2597">
      <w:pPr>
        <w:pStyle w:val="HeadingH5ClausesubtextL1"/>
        <w:rPr>
          <w:lang w:eastAsia="en-GB"/>
        </w:rPr>
      </w:pPr>
      <w:r w:rsidRPr="006441E4">
        <w:rPr>
          <w:lang w:eastAsia="en-GB"/>
        </w:rPr>
        <w:t>T</w:t>
      </w:r>
      <w:r w:rsidR="00B200F7" w:rsidRPr="006441E4">
        <w:rPr>
          <w:lang w:eastAsia="en-GB"/>
        </w:rPr>
        <w:t xml:space="preserve">erms used in this determination that are defined in the </w:t>
      </w:r>
      <w:r w:rsidR="00B200F7" w:rsidRPr="006441E4">
        <w:rPr>
          <w:b/>
          <w:lang w:eastAsia="en-GB"/>
        </w:rPr>
        <w:t>Act</w:t>
      </w:r>
      <w:r w:rsidR="00B200F7" w:rsidRPr="006441E4">
        <w:rPr>
          <w:lang w:eastAsia="en-GB"/>
        </w:rPr>
        <w:t xml:space="preserve"> but not in this determination, have the same meanings as in the </w:t>
      </w:r>
      <w:r w:rsidR="00B200F7" w:rsidRPr="006441E4">
        <w:rPr>
          <w:b/>
          <w:lang w:eastAsia="en-GB"/>
        </w:rPr>
        <w:t>Act</w:t>
      </w:r>
      <w:r w:rsidR="00B200F7" w:rsidRPr="006441E4">
        <w:rPr>
          <w:lang w:eastAsia="en-GB"/>
        </w:rPr>
        <w:t>;</w:t>
      </w:r>
    </w:p>
    <w:p w:rsidR="00F40DAE" w:rsidRDefault="006D2597">
      <w:pPr>
        <w:pStyle w:val="HeadingH5ClausesubtextL1"/>
        <w:rPr>
          <w:lang w:eastAsia="en-GB"/>
        </w:rPr>
      </w:pPr>
      <w:r w:rsidRPr="006441E4">
        <w:rPr>
          <w:lang w:eastAsia="en-GB"/>
        </w:rPr>
        <w:t>T</w:t>
      </w:r>
      <w:r w:rsidR="00B200F7" w:rsidRPr="006441E4">
        <w:rPr>
          <w:lang w:eastAsia="en-GB"/>
        </w:rPr>
        <w:t xml:space="preserve">erms used in this determination that are defined in the </w:t>
      </w:r>
      <w:r w:rsidR="00B200F7" w:rsidRPr="006441E4">
        <w:rPr>
          <w:b/>
          <w:lang w:eastAsia="en-GB"/>
        </w:rPr>
        <w:t>IM determination</w:t>
      </w:r>
      <w:r w:rsidR="00B200F7" w:rsidRPr="006441E4">
        <w:rPr>
          <w:lang w:eastAsia="en-GB"/>
        </w:rPr>
        <w:t xml:space="preserve"> but not in this determination have the same meanings as in the </w:t>
      </w:r>
      <w:r w:rsidR="00B200F7" w:rsidRPr="006441E4">
        <w:rPr>
          <w:b/>
          <w:lang w:eastAsia="en-GB"/>
        </w:rPr>
        <w:t>IM determination</w:t>
      </w:r>
      <w:r w:rsidR="00B200F7" w:rsidRPr="006441E4">
        <w:rPr>
          <w:lang w:eastAsia="en-GB"/>
        </w:rPr>
        <w:t>;</w:t>
      </w:r>
    </w:p>
    <w:p w:rsidR="00F40DAE" w:rsidRDefault="006D2597">
      <w:pPr>
        <w:pStyle w:val="HeadingH5ClausesubtextL1"/>
        <w:rPr>
          <w:lang w:eastAsia="en-GB"/>
        </w:rPr>
      </w:pPr>
      <w:r w:rsidRPr="006441E4">
        <w:rPr>
          <w:lang w:eastAsia="en-GB"/>
        </w:rPr>
        <w:t>A</w:t>
      </w:r>
      <w:r w:rsidR="00B200F7" w:rsidRPr="006441E4">
        <w:rPr>
          <w:lang w:eastAsia="en-GB"/>
        </w:rPr>
        <w:t xml:space="preserve"> word which denotes the singular also denotes the plural and vice versa;</w:t>
      </w:r>
    </w:p>
    <w:p w:rsidR="00F40DAE" w:rsidRDefault="006D2597">
      <w:pPr>
        <w:pStyle w:val="HeadingH5ClausesubtextL1"/>
        <w:rPr>
          <w:lang w:eastAsia="en-GB"/>
        </w:rPr>
      </w:pPr>
      <w:r w:rsidRPr="006441E4">
        <w:rPr>
          <w:lang w:eastAsia="en-GB"/>
        </w:rPr>
        <w:t>A</w:t>
      </w:r>
      <w:r w:rsidR="00B200F7" w:rsidRPr="006441E4">
        <w:rPr>
          <w:lang w:eastAsia="en-GB"/>
        </w:rPr>
        <w:t>n obligation to do something is deemed to include an obligation to cause that thing to be done;</w:t>
      </w:r>
    </w:p>
    <w:p w:rsidR="00F40DAE" w:rsidRDefault="006D2597">
      <w:pPr>
        <w:pStyle w:val="HeadingH5ClausesubtextL1"/>
        <w:rPr>
          <w:lang w:eastAsia="en-GB"/>
        </w:rPr>
      </w:pPr>
      <w:r w:rsidRPr="006441E4">
        <w:rPr>
          <w:lang w:eastAsia="en-GB"/>
        </w:rPr>
        <w:t>F</w:t>
      </w:r>
      <w:r w:rsidR="00B200F7" w:rsidRPr="006441E4">
        <w:rPr>
          <w:lang w:eastAsia="en-GB"/>
        </w:rPr>
        <w:t xml:space="preserve">inancial items must be measured and disclosed in accordance with </w:t>
      </w:r>
      <w:r w:rsidR="00B200F7" w:rsidRPr="006441E4">
        <w:rPr>
          <w:b/>
          <w:lang w:eastAsia="en-GB"/>
        </w:rPr>
        <w:t>GAAP</w:t>
      </w:r>
      <w:r w:rsidR="005D6C0B" w:rsidRPr="006441E4">
        <w:rPr>
          <w:b/>
          <w:lang w:eastAsia="en-GB"/>
        </w:rPr>
        <w:t xml:space="preserve"> </w:t>
      </w:r>
      <w:r w:rsidR="005D6C0B" w:rsidRPr="006441E4">
        <w:rPr>
          <w:lang w:eastAsia="en-GB"/>
        </w:rPr>
        <w:t>unless otherwise required in this Determination</w:t>
      </w:r>
      <w:r w:rsidR="00B200F7" w:rsidRPr="006441E4">
        <w:rPr>
          <w:lang w:eastAsia="en-GB"/>
        </w:rPr>
        <w:t>;</w:t>
      </w:r>
    </w:p>
    <w:p w:rsidR="00F40DAE" w:rsidRDefault="006D2597">
      <w:pPr>
        <w:pStyle w:val="HeadingH5ClausesubtextL1"/>
        <w:rPr>
          <w:lang w:eastAsia="en-GB"/>
        </w:rPr>
      </w:pPr>
      <w:r w:rsidRPr="006441E4">
        <w:rPr>
          <w:lang w:eastAsia="en-GB"/>
        </w:rPr>
        <w:t>N</w:t>
      </w:r>
      <w:r w:rsidR="00B200F7" w:rsidRPr="006441E4">
        <w:rPr>
          <w:lang w:eastAsia="en-GB"/>
        </w:rPr>
        <w:t>on-financial items must be measured and disclosed in accordance with standard industry practice</w:t>
      </w:r>
      <w:r w:rsidR="005D6C0B" w:rsidRPr="006441E4">
        <w:rPr>
          <w:lang w:eastAsia="en-GB"/>
        </w:rPr>
        <w:t xml:space="preserve"> unless otherwise required in this Determination</w:t>
      </w:r>
      <w:r w:rsidR="00B200F7" w:rsidRPr="006441E4">
        <w:rPr>
          <w:lang w:eastAsia="en-GB"/>
        </w:rPr>
        <w:t>.</w:t>
      </w:r>
    </w:p>
    <w:p w:rsidR="00F40DAE" w:rsidRDefault="00B200F7">
      <w:pPr>
        <w:pStyle w:val="HeadingH4Clausetext"/>
        <w:rPr>
          <w:lang w:eastAsia="en-GB"/>
        </w:rPr>
      </w:pPr>
      <w:bookmarkStart w:id="10" w:name="_Toc309811756"/>
      <w:r w:rsidRPr="006441E4">
        <w:rPr>
          <w:lang w:eastAsia="en-GB"/>
        </w:rPr>
        <w:t>I</w:t>
      </w:r>
      <w:r w:rsidR="00621AB7" w:rsidRPr="006441E4">
        <w:rPr>
          <w:lang w:eastAsia="en-GB"/>
        </w:rPr>
        <w:t xml:space="preserve">f there is any inconsistency between the main body of </w:t>
      </w:r>
      <w:r w:rsidRPr="006441E4">
        <w:rPr>
          <w:lang w:eastAsia="en-GB"/>
        </w:rPr>
        <w:t>this determination</w:t>
      </w:r>
      <w:r w:rsidR="00621AB7" w:rsidRPr="006441E4">
        <w:rPr>
          <w:lang w:eastAsia="en-GB"/>
        </w:rPr>
        <w:t xml:space="preserve"> </w:t>
      </w:r>
      <w:r w:rsidR="00E47EC8" w:rsidRPr="006441E4">
        <w:rPr>
          <w:lang w:eastAsia="en-GB"/>
        </w:rPr>
        <w:t xml:space="preserve">(including the Appendices) </w:t>
      </w:r>
      <w:r w:rsidR="00621AB7" w:rsidRPr="006441E4">
        <w:rPr>
          <w:lang w:eastAsia="en-GB"/>
        </w:rPr>
        <w:t>and any schedule to this determination, the main body of this determination prevails.</w:t>
      </w:r>
      <w:bookmarkEnd w:id="10"/>
    </w:p>
    <w:p w:rsidR="00F40DAE" w:rsidRDefault="00621AB7">
      <w:pPr>
        <w:pStyle w:val="HeadingH4Clausetext"/>
        <w:rPr>
          <w:lang w:eastAsia="en-GB"/>
        </w:rPr>
      </w:pPr>
      <w:bookmarkStart w:id="11" w:name="_Toc309811757"/>
      <w:r w:rsidRPr="006441E4">
        <w:rPr>
          <w:lang w:eastAsia="en-GB"/>
        </w:rPr>
        <w:t>In this determination, the words or phrases in bold type bear the following meanings:</w:t>
      </w:r>
      <w:bookmarkEnd w:id="11"/>
    </w:p>
    <w:p w:rsidR="00621AB7" w:rsidRPr="006441E4" w:rsidRDefault="00621AB7" w:rsidP="00AE0D10">
      <w:pPr>
        <w:pStyle w:val="Heading2"/>
        <w:spacing w:before="240" w:after="240" w:line="264" w:lineRule="auto"/>
        <w:jc w:val="center"/>
        <w:rPr>
          <w:lang w:eastAsia="en-GB"/>
        </w:rPr>
      </w:pPr>
      <w:r w:rsidRPr="006441E4">
        <w:rPr>
          <w:lang w:eastAsia="en-GB"/>
        </w:rPr>
        <w:t>A</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05253E" w:rsidRPr="000A1CAB" w:rsidTr="00A03DC6">
        <w:tc>
          <w:tcPr>
            <w:tcW w:w="3510" w:type="dxa"/>
          </w:tcPr>
          <w:p w:rsidR="0005253E" w:rsidRPr="000A1CAB" w:rsidRDefault="0005253E" w:rsidP="00AE0D10">
            <w:pPr>
              <w:pStyle w:val="BodyText"/>
              <w:spacing w:line="264" w:lineRule="auto"/>
              <w:rPr>
                <w:rFonts w:cs="Arial"/>
                <w:b/>
                <w:bCs/>
                <w:lang w:eastAsia="en-NZ"/>
              </w:rPr>
            </w:pPr>
            <w:r w:rsidRPr="000A1CAB">
              <w:rPr>
                <w:rFonts w:cs="Arial"/>
                <w:b/>
                <w:bCs/>
                <w:lang w:eastAsia="en-NZ"/>
              </w:rPr>
              <w:t>Act</w:t>
            </w:r>
          </w:p>
        </w:tc>
        <w:tc>
          <w:tcPr>
            <w:tcW w:w="4882" w:type="dxa"/>
          </w:tcPr>
          <w:p w:rsidR="0005253E" w:rsidRPr="000A1CAB" w:rsidRDefault="0005253E" w:rsidP="00AE0D10">
            <w:pPr>
              <w:pStyle w:val="BodyText"/>
              <w:spacing w:line="264" w:lineRule="auto"/>
              <w:rPr>
                <w:rFonts w:cs="Arial"/>
                <w:lang w:eastAsia="en-NZ"/>
              </w:rPr>
            </w:pPr>
            <w:r w:rsidRPr="000A1CAB">
              <w:rPr>
                <w:rFonts w:cs="Arial"/>
                <w:lang w:eastAsia="en-NZ"/>
              </w:rPr>
              <w:t>means the Commerce Act 1986</w:t>
            </w:r>
          </w:p>
        </w:tc>
      </w:tr>
      <w:tr w:rsidR="00153936" w:rsidRPr="000A1CAB" w:rsidTr="00A03DC6">
        <w:tc>
          <w:tcPr>
            <w:tcW w:w="3510" w:type="dxa"/>
          </w:tcPr>
          <w:p w:rsidR="00153936" w:rsidRPr="000A1CAB" w:rsidRDefault="00153936" w:rsidP="00A03DC6">
            <w:pPr>
              <w:pStyle w:val="BodyText"/>
              <w:rPr>
                <w:rFonts w:cs="Arial"/>
                <w:b/>
                <w:bCs/>
                <w:lang w:eastAsia="en-NZ"/>
              </w:rPr>
            </w:pPr>
            <w:r w:rsidRPr="000A1CAB">
              <w:rPr>
                <w:rFonts w:cs="Arial"/>
                <w:b/>
                <w:bCs/>
                <w:lang w:eastAsia="en-NZ"/>
              </w:rPr>
              <w:t>Allocated works under construction</w:t>
            </w:r>
          </w:p>
        </w:tc>
        <w:tc>
          <w:tcPr>
            <w:tcW w:w="4882" w:type="dxa"/>
          </w:tcPr>
          <w:p w:rsidR="00153936" w:rsidRPr="000A1CAB" w:rsidRDefault="00153936" w:rsidP="00153936">
            <w:pPr>
              <w:pStyle w:val="EquationsL2"/>
              <w:ind w:left="34" w:firstLine="0"/>
              <w:rPr>
                <w:rFonts w:cs="Arial"/>
                <w:lang w:eastAsia="en-NZ"/>
              </w:rPr>
            </w:pPr>
            <w:r w:rsidRPr="000A1CAB">
              <w:rPr>
                <w:rFonts w:cs="Arial"/>
                <w:lang w:eastAsia="en-NZ"/>
              </w:rPr>
              <w:t xml:space="preserve">means, for the components of the </w:t>
            </w:r>
            <w:r w:rsidRPr="000A1CAB">
              <w:rPr>
                <w:rFonts w:cs="Arial"/>
                <w:b/>
                <w:lang w:eastAsia="en-NZ"/>
              </w:rPr>
              <w:t>works under construction</w:t>
            </w:r>
            <w:r w:rsidRPr="000A1CAB">
              <w:rPr>
                <w:rFonts w:cs="Arial"/>
                <w:lang w:eastAsia="en-NZ"/>
              </w:rPr>
              <w:t xml:space="preserve"> roll-forward, the </w:t>
            </w:r>
            <w:r w:rsidRPr="000A1CAB">
              <w:rPr>
                <w:rFonts w:cs="Arial"/>
                <w:b/>
                <w:lang w:eastAsia="en-NZ"/>
              </w:rPr>
              <w:t>works under construction</w:t>
            </w:r>
            <w:r w:rsidRPr="000A1CAB">
              <w:rPr>
                <w:rFonts w:cs="Arial"/>
                <w:lang w:eastAsia="en-NZ"/>
              </w:rPr>
              <w:t xml:space="preserve"> values after the application of clause 2.1.1 of the </w:t>
            </w:r>
            <w:r w:rsidRPr="000A1CAB">
              <w:rPr>
                <w:rFonts w:cs="Arial"/>
                <w:b/>
                <w:bCs/>
                <w:lang w:eastAsia="en-NZ"/>
              </w:rPr>
              <w:t>IM determination</w:t>
            </w:r>
          </w:p>
        </w:tc>
      </w:tr>
      <w:tr w:rsidR="00153936" w:rsidRPr="000A1CAB" w:rsidTr="00A03DC6">
        <w:tc>
          <w:tcPr>
            <w:tcW w:w="3510" w:type="dxa"/>
          </w:tcPr>
          <w:p w:rsidR="00153936" w:rsidRPr="000A1CAB" w:rsidRDefault="00153936" w:rsidP="00A03DC6">
            <w:pPr>
              <w:pStyle w:val="BodyText"/>
              <w:rPr>
                <w:rFonts w:cs="Arial"/>
                <w:b/>
                <w:bCs/>
                <w:lang w:eastAsia="en-NZ"/>
              </w:rPr>
            </w:pPr>
            <w:r w:rsidRPr="000A1CAB">
              <w:rPr>
                <w:rFonts w:cs="Arial"/>
                <w:b/>
                <w:bCs/>
                <w:lang w:eastAsia="en-NZ"/>
              </w:rPr>
              <w:t>Allocation methodology type</w:t>
            </w:r>
          </w:p>
        </w:tc>
        <w:tc>
          <w:tcPr>
            <w:tcW w:w="4882" w:type="dxa"/>
          </w:tcPr>
          <w:p w:rsidR="00153936" w:rsidRPr="000A1CAB" w:rsidRDefault="00153936" w:rsidP="00B6332E">
            <w:pPr>
              <w:pStyle w:val="EquationsL2"/>
              <w:ind w:left="34" w:firstLine="0"/>
              <w:rPr>
                <w:rFonts w:cs="Arial"/>
                <w:lang w:eastAsia="en-NZ"/>
              </w:rPr>
            </w:pPr>
            <w:r w:rsidRPr="000A1CAB">
              <w:rPr>
                <w:rFonts w:cs="Arial"/>
                <w:lang w:eastAsia="en-NZ"/>
              </w:rPr>
              <w:t>has the meaning set out in the</w:t>
            </w:r>
            <w:r w:rsidRPr="000A1CAB">
              <w:rPr>
                <w:rFonts w:cs="Arial"/>
                <w:b/>
                <w:bCs/>
                <w:lang w:eastAsia="en-NZ"/>
              </w:rPr>
              <w:t xml:space="preserve"> IM determination</w:t>
            </w:r>
          </w:p>
        </w:tc>
      </w:tr>
      <w:tr w:rsidR="00153936" w:rsidRPr="000A1CAB" w:rsidTr="00A03DC6">
        <w:tc>
          <w:tcPr>
            <w:tcW w:w="3510" w:type="dxa"/>
          </w:tcPr>
          <w:p w:rsidR="00153936" w:rsidRPr="000A1CAB" w:rsidRDefault="00153936" w:rsidP="00A03DC6">
            <w:pPr>
              <w:pStyle w:val="BodyText"/>
              <w:rPr>
                <w:rFonts w:cs="Arial"/>
                <w:b/>
                <w:bCs/>
                <w:lang w:eastAsia="en-NZ"/>
              </w:rPr>
            </w:pPr>
            <w:r w:rsidRPr="000A1CAB">
              <w:rPr>
                <w:rFonts w:cs="Arial"/>
                <w:b/>
                <w:bCs/>
                <w:lang w:eastAsia="en-NZ"/>
              </w:rPr>
              <w:t>Allocator</w:t>
            </w:r>
          </w:p>
        </w:tc>
        <w:tc>
          <w:tcPr>
            <w:tcW w:w="4882" w:type="dxa"/>
          </w:tcPr>
          <w:p w:rsidR="00153936" w:rsidRPr="000A1CAB" w:rsidRDefault="00153936" w:rsidP="0005253E">
            <w:pPr>
              <w:pStyle w:val="EquationsL2"/>
              <w:ind w:left="34" w:firstLine="0"/>
              <w:rPr>
                <w:rFonts w:cs="Arial"/>
                <w:lang w:eastAsia="en-NZ"/>
              </w:rPr>
            </w:pPr>
            <w:r w:rsidRPr="000A1CAB">
              <w:rPr>
                <w:rFonts w:cs="Arial"/>
                <w:lang w:eastAsia="en-NZ"/>
              </w:rPr>
              <w:t xml:space="preserve">means the measure used to allocate </w:t>
            </w:r>
            <w:r w:rsidRPr="000A1CAB">
              <w:rPr>
                <w:rFonts w:cs="Arial"/>
                <w:b/>
                <w:lang w:eastAsia="en-NZ"/>
              </w:rPr>
              <w:t>operating costs</w:t>
            </w:r>
            <w:r w:rsidRPr="000A1CAB">
              <w:rPr>
                <w:rFonts w:cs="Arial"/>
                <w:lang w:eastAsia="en-NZ"/>
              </w:rPr>
              <w:t xml:space="preserve"> or </w:t>
            </w:r>
            <w:r w:rsidRPr="000A1CAB">
              <w:rPr>
                <w:rFonts w:cs="Arial"/>
                <w:b/>
                <w:lang w:eastAsia="en-NZ"/>
              </w:rPr>
              <w:t>regulated service asset values</w:t>
            </w:r>
            <w:r w:rsidRPr="000A1CAB">
              <w:rPr>
                <w:rFonts w:cs="Arial"/>
                <w:lang w:eastAsia="en-NZ"/>
              </w:rPr>
              <w:t xml:space="preserve"> that are </w:t>
            </w:r>
            <w:r w:rsidRPr="000A1CAB">
              <w:rPr>
                <w:rFonts w:cs="Arial"/>
                <w:b/>
                <w:lang w:eastAsia="en-NZ"/>
              </w:rPr>
              <w:t xml:space="preserve">not directly attributable </w:t>
            </w:r>
            <w:r w:rsidRPr="000A1CAB">
              <w:rPr>
                <w:rFonts w:cs="Arial"/>
                <w:lang w:eastAsia="en-NZ"/>
              </w:rPr>
              <w:t>as set out in clause 2.1.3 or clause 2.1.5 of the</w:t>
            </w:r>
            <w:r w:rsidRPr="000A1CAB">
              <w:rPr>
                <w:rFonts w:cs="Arial"/>
                <w:b/>
                <w:lang w:eastAsia="en-NZ"/>
              </w:rPr>
              <w:t xml:space="preserve"> IM determination</w:t>
            </w:r>
          </w:p>
        </w:tc>
      </w:tr>
      <w:tr w:rsidR="008B2B63" w:rsidRPr="000A1CAB" w:rsidTr="00A03DC6">
        <w:tc>
          <w:tcPr>
            <w:tcW w:w="3510" w:type="dxa"/>
          </w:tcPr>
          <w:p w:rsidR="008B2B63" w:rsidRPr="000A1CAB" w:rsidRDefault="008B2B63" w:rsidP="00A03DC6">
            <w:pPr>
              <w:pStyle w:val="BodyText"/>
              <w:rPr>
                <w:rFonts w:cs="Arial"/>
                <w:b/>
                <w:bCs/>
                <w:lang w:eastAsia="en-NZ"/>
              </w:rPr>
            </w:pPr>
            <w:r w:rsidRPr="000A1CAB">
              <w:rPr>
                <w:rStyle w:val="Emphasis-Bold"/>
              </w:rPr>
              <w:t>AMP</w:t>
            </w:r>
          </w:p>
        </w:tc>
        <w:tc>
          <w:tcPr>
            <w:tcW w:w="4882" w:type="dxa"/>
          </w:tcPr>
          <w:p w:rsidR="008B2B63" w:rsidRPr="000A1CAB" w:rsidRDefault="008B2B63" w:rsidP="00153936">
            <w:pPr>
              <w:pStyle w:val="EquationsL2"/>
              <w:ind w:left="34" w:firstLine="0"/>
              <w:rPr>
                <w:rFonts w:cs="Arial"/>
                <w:lang w:eastAsia="en-NZ"/>
              </w:rPr>
            </w:pPr>
            <w:r w:rsidRPr="000A1CAB">
              <w:t xml:space="preserve">means </w:t>
            </w:r>
            <w:r w:rsidR="00F86836" w:rsidRPr="000A1CAB">
              <w:rPr>
                <w:b/>
              </w:rPr>
              <w:t>asset management plan</w:t>
            </w:r>
          </w:p>
        </w:tc>
      </w:tr>
      <w:tr w:rsidR="008B2B63" w:rsidRPr="000A1CAB" w:rsidTr="00A03DC6">
        <w:tc>
          <w:tcPr>
            <w:tcW w:w="3510" w:type="dxa"/>
          </w:tcPr>
          <w:p w:rsidR="008B2B63" w:rsidRPr="000A1CAB" w:rsidRDefault="008B2B63" w:rsidP="00A03DC6">
            <w:pPr>
              <w:pStyle w:val="BodyText"/>
              <w:rPr>
                <w:rFonts w:cs="Arial"/>
                <w:b/>
                <w:bCs/>
                <w:lang w:eastAsia="en-NZ"/>
              </w:rPr>
            </w:pPr>
            <w:r w:rsidRPr="000A1CAB">
              <w:rPr>
                <w:rStyle w:val="Emphasis-Bold"/>
              </w:rPr>
              <w:t>AMP planning period</w:t>
            </w:r>
          </w:p>
        </w:tc>
        <w:tc>
          <w:tcPr>
            <w:tcW w:w="4882" w:type="dxa"/>
          </w:tcPr>
          <w:p w:rsidR="008B2B63" w:rsidRPr="000A1CAB" w:rsidRDefault="008B2B63" w:rsidP="00241494">
            <w:pPr>
              <w:pStyle w:val="Clausetextunnumbered"/>
              <w:rPr>
                <w:rFonts w:cs="Arial"/>
                <w:sz w:val="24"/>
                <w:szCs w:val="24"/>
                <w:lang w:eastAsia="en-NZ"/>
              </w:rPr>
            </w:pPr>
            <w:r w:rsidRPr="000A1CAB">
              <w:rPr>
                <w:sz w:val="24"/>
                <w:szCs w:val="24"/>
              </w:rPr>
              <w:t xml:space="preserve">has the meaning specified in </w:t>
            </w:r>
            <w:proofErr w:type="spellStart"/>
            <w:r w:rsidR="00E47EC8" w:rsidRPr="000A1CAB">
              <w:rPr>
                <w:sz w:val="24"/>
                <w:szCs w:val="24"/>
              </w:rPr>
              <w:t>sub</w:t>
            </w:r>
            <w:r w:rsidR="005F2584" w:rsidRPr="000A1CAB">
              <w:rPr>
                <w:sz w:val="24"/>
                <w:szCs w:val="24"/>
              </w:rPr>
              <w:t>clause</w:t>
            </w:r>
            <w:proofErr w:type="spellEnd"/>
            <w:r w:rsidR="005F2584" w:rsidRPr="000A1CAB">
              <w:rPr>
                <w:sz w:val="24"/>
                <w:szCs w:val="24"/>
              </w:rPr>
              <w:t xml:space="preserve"> </w:t>
            </w:r>
            <w:fldSimple w:instr=" REF _Ref329164058 \r \h  \* MERGEFORMAT ">
              <w:r w:rsidR="00B06C04" w:rsidRPr="00B06C04">
                <w:rPr>
                  <w:sz w:val="24"/>
                  <w:szCs w:val="24"/>
                </w:rPr>
                <w:t>1.3.4</w:t>
              </w:r>
            </w:fldSimple>
            <w:r w:rsidR="005F2584" w:rsidRPr="000A1CAB">
              <w:rPr>
                <w:sz w:val="24"/>
                <w:szCs w:val="24"/>
              </w:rPr>
              <w:t xml:space="preserve"> of Appendix A</w:t>
            </w:r>
            <w:r w:rsidRPr="000A1CAB">
              <w:rPr>
                <w:sz w:val="24"/>
                <w:szCs w:val="24"/>
              </w:rPr>
              <w:t xml:space="preserve"> </w:t>
            </w:r>
            <w:r w:rsidR="005F2584" w:rsidRPr="000A1CAB">
              <w:rPr>
                <w:sz w:val="24"/>
                <w:szCs w:val="24"/>
              </w:rPr>
              <w:t xml:space="preserve">to </w:t>
            </w:r>
            <w:r w:rsidRPr="000A1CAB">
              <w:rPr>
                <w:sz w:val="24"/>
                <w:szCs w:val="24"/>
              </w:rPr>
              <w:t>this determination</w:t>
            </w:r>
          </w:p>
        </w:tc>
      </w:tr>
      <w:tr w:rsidR="008B2B63" w:rsidRPr="000A1CAB" w:rsidTr="00A03DC6">
        <w:tc>
          <w:tcPr>
            <w:tcW w:w="3510" w:type="dxa"/>
          </w:tcPr>
          <w:p w:rsidR="008B2B63" w:rsidRPr="000A1CAB" w:rsidRDefault="008B2B63" w:rsidP="00DA7EC5">
            <w:pPr>
              <w:pStyle w:val="BodyText"/>
              <w:rPr>
                <w:rFonts w:cs="Arial"/>
                <w:b/>
                <w:bCs/>
                <w:lang w:eastAsia="en-NZ"/>
              </w:rPr>
            </w:pPr>
            <w:r w:rsidRPr="000A1CAB">
              <w:rPr>
                <w:rStyle w:val="Emphasis-Bold"/>
              </w:rPr>
              <w:t xml:space="preserve">AMP </w:t>
            </w:r>
            <w:r w:rsidR="00DA7EC5" w:rsidRPr="000A1CAB">
              <w:rPr>
                <w:rStyle w:val="Emphasis-Bold"/>
              </w:rPr>
              <w:t>u</w:t>
            </w:r>
            <w:r w:rsidRPr="000A1CAB">
              <w:rPr>
                <w:rStyle w:val="Emphasis-Bold"/>
              </w:rPr>
              <w:t>pdate</w:t>
            </w:r>
          </w:p>
        </w:tc>
        <w:tc>
          <w:tcPr>
            <w:tcW w:w="4882" w:type="dxa"/>
          </w:tcPr>
          <w:p w:rsidR="008B2B63" w:rsidRPr="000A1CAB" w:rsidRDefault="008B2B63" w:rsidP="00952D23">
            <w:pPr>
              <w:pStyle w:val="EquationsL2"/>
              <w:ind w:left="34" w:firstLine="0"/>
              <w:rPr>
                <w:rFonts w:cs="Arial"/>
                <w:lang w:eastAsia="en-NZ"/>
              </w:rPr>
            </w:pPr>
            <w:r w:rsidRPr="000A1CAB">
              <w:t xml:space="preserve">has the meaning specified in </w:t>
            </w:r>
            <w:r w:rsidR="00DA7EC5" w:rsidRPr="000A1CAB">
              <w:t>c</w:t>
            </w:r>
            <w:r w:rsidR="005F2584" w:rsidRPr="000A1CAB">
              <w:t xml:space="preserve">lause </w:t>
            </w:r>
            <w:fldSimple w:instr=" REF _Ref311134677 \r \h  \* MERGEFORMAT ">
              <w:r w:rsidR="00B06C04">
                <w:t>2.6.4</w:t>
              </w:r>
            </w:fldSimple>
            <w:r w:rsidR="00E47EC8" w:rsidRPr="000A1CAB">
              <w:t xml:space="preserve"> </w:t>
            </w:r>
            <w:r w:rsidR="00DA7EC5" w:rsidRPr="000A1CAB">
              <w:t>of</w:t>
            </w:r>
            <w:r w:rsidRPr="000A1CAB">
              <w:t xml:space="preserve"> this determination</w:t>
            </w:r>
          </w:p>
        </w:tc>
      </w:tr>
      <w:tr w:rsidR="00A977F3" w:rsidRPr="000A1CAB" w:rsidTr="002F7192">
        <w:tc>
          <w:tcPr>
            <w:tcW w:w="3510" w:type="dxa"/>
          </w:tcPr>
          <w:p w:rsidR="00A977F3" w:rsidRPr="000A1CAB" w:rsidRDefault="00A977F3" w:rsidP="002F7192">
            <w:pPr>
              <w:pStyle w:val="BodyText"/>
              <w:spacing w:line="264" w:lineRule="auto"/>
              <w:rPr>
                <w:rFonts w:cs="Arial"/>
                <w:b/>
                <w:bCs/>
                <w:lang w:eastAsia="en-NZ"/>
              </w:rPr>
            </w:pPr>
            <w:r w:rsidRPr="000A1CAB">
              <w:rPr>
                <w:rStyle w:val="Emphasis-Bold"/>
              </w:rPr>
              <w:t>Asset management plan</w:t>
            </w:r>
            <w:r w:rsidRPr="000A1CAB">
              <w:t xml:space="preserve"> </w:t>
            </w:r>
          </w:p>
        </w:tc>
        <w:tc>
          <w:tcPr>
            <w:tcW w:w="4882" w:type="dxa"/>
          </w:tcPr>
          <w:p w:rsidR="00A977F3" w:rsidRPr="000A1CAB" w:rsidRDefault="00A977F3" w:rsidP="00952D23">
            <w:pPr>
              <w:pStyle w:val="ListParagraph"/>
              <w:spacing w:line="264" w:lineRule="auto"/>
              <w:ind w:left="34"/>
              <w:rPr>
                <w:rFonts w:cs="Arial"/>
                <w:lang w:eastAsia="en-NZ"/>
              </w:rPr>
            </w:pPr>
            <w:r w:rsidRPr="000A1CAB">
              <w:t xml:space="preserve">has the meaning specified in clause </w:t>
            </w:r>
            <w:fldSimple w:instr=" REF _Ref311133930 \r \h  \* MERGEFORMAT ">
              <w:r w:rsidR="00B06C04">
                <w:t>2.6.1</w:t>
              </w:r>
            </w:fldSimple>
            <w:r w:rsidRPr="000A1CAB">
              <w:t xml:space="preserve"> of this determination</w:t>
            </w:r>
          </w:p>
        </w:tc>
      </w:tr>
      <w:tr w:rsidR="00A977F3" w:rsidRPr="000A1CAB" w:rsidTr="002F7192">
        <w:tc>
          <w:tcPr>
            <w:tcW w:w="3510" w:type="dxa"/>
          </w:tcPr>
          <w:p w:rsidR="00A977F3" w:rsidRPr="000A1CAB" w:rsidRDefault="00A977F3" w:rsidP="002F7192">
            <w:pPr>
              <w:pStyle w:val="BodyText"/>
              <w:spacing w:line="264" w:lineRule="auto"/>
              <w:rPr>
                <w:rFonts w:cs="Arial"/>
                <w:b/>
                <w:bCs/>
                <w:lang w:eastAsia="en-NZ"/>
              </w:rPr>
            </w:pPr>
            <w:r w:rsidRPr="000A1CAB">
              <w:rPr>
                <w:b/>
              </w:rPr>
              <w:t>Asset relocations</w:t>
            </w:r>
          </w:p>
        </w:tc>
        <w:tc>
          <w:tcPr>
            <w:tcW w:w="4882" w:type="dxa"/>
          </w:tcPr>
          <w:p w:rsidR="00A977F3" w:rsidRPr="000A1CAB" w:rsidRDefault="002C3815" w:rsidP="00A977F3">
            <w:proofErr w:type="gramStart"/>
            <w:r w:rsidRPr="000A1CAB">
              <w:t>in</w:t>
            </w:r>
            <w:proofErr w:type="gramEnd"/>
            <w:r w:rsidRPr="000A1CAB">
              <w:t xml:space="preserve"> relation to expenditure, means </w:t>
            </w:r>
            <w:r w:rsidRPr="000A1CAB">
              <w:rPr>
                <w:b/>
              </w:rPr>
              <w:t>gross capital expenditure</w:t>
            </w:r>
            <w:r w:rsidRPr="000A1CAB">
              <w:t xml:space="preserve"> where the </w:t>
            </w:r>
            <w:r w:rsidRPr="000A1CAB">
              <w:rPr>
                <w:b/>
              </w:rPr>
              <w:t>primary driver</w:t>
            </w:r>
            <w:r w:rsidRPr="000A1CAB">
              <w:t xml:space="preserve"> is the need to relocate assets due to third party requests, such as for the purpose of allowing road widening or similar needs. This expenditure category includes </w:t>
            </w:r>
            <w:r w:rsidRPr="000A1CAB">
              <w:rPr>
                <w:b/>
              </w:rPr>
              <w:t>gross capital expenditure</w:t>
            </w:r>
            <w:r w:rsidRPr="000A1CAB">
              <w:t xml:space="preserve"> relating to the undergrounding of previously aboveground assets at the request of a third party.</w:t>
            </w:r>
          </w:p>
        </w:tc>
      </w:tr>
      <w:tr w:rsidR="002C3815" w:rsidRPr="000A1CAB" w:rsidTr="002F7192">
        <w:tc>
          <w:tcPr>
            <w:tcW w:w="3510" w:type="dxa"/>
          </w:tcPr>
          <w:p w:rsidR="002C3815" w:rsidRPr="000A1CAB" w:rsidRDefault="002C3815" w:rsidP="002F7192">
            <w:pPr>
              <w:pStyle w:val="BodyText"/>
              <w:spacing w:line="264" w:lineRule="auto"/>
              <w:rPr>
                <w:b/>
              </w:rPr>
            </w:pPr>
            <w:r w:rsidRPr="000A1CAB">
              <w:rPr>
                <w:b/>
              </w:rPr>
              <w:t>Asset replacement and renewal</w:t>
            </w:r>
          </w:p>
        </w:tc>
        <w:tc>
          <w:tcPr>
            <w:tcW w:w="4882" w:type="dxa"/>
          </w:tcPr>
          <w:p w:rsidR="002C3815" w:rsidRPr="000A1CAB" w:rsidRDefault="002C3815" w:rsidP="005A23C3">
            <w:pPr>
              <w:pStyle w:val="ListParagraph"/>
              <w:spacing w:line="264" w:lineRule="auto"/>
              <w:ind w:left="34"/>
            </w:pPr>
            <w:r w:rsidRPr="000A1CAB">
              <w:t>means:</w:t>
            </w:r>
          </w:p>
          <w:p w:rsidR="002C3815" w:rsidRPr="000A1CAB" w:rsidRDefault="002C3815" w:rsidP="002C3815">
            <w:pPr>
              <w:pStyle w:val="ListParagraph"/>
              <w:numPr>
                <w:ilvl w:val="0"/>
                <w:numId w:val="15"/>
              </w:numPr>
              <w:spacing w:line="264" w:lineRule="auto"/>
              <w:ind w:left="459" w:hanging="425"/>
            </w:pPr>
            <w:r w:rsidRPr="000A1CAB">
              <w:rPr>
                <w:rFonts w:cs="Arial"/>
                <w:lang w:eastAsia="en-NZ"/>
              </w:rPr>
              <w:t xml:space="preserve">in relation to capital expenditure, </w:t>
            </w:r>
            <w:r w:rsidRPr="000A1CAB">
              <w:rPr>
                <w:rFonts w:cs="Arial"/>
                <w:b/>
                <w:lang w:eastAsia="en-NZ"/>
              </w:rPr>
              <w:t>gross capital expenditure</w:t>
            </w:r>
            <w:r w:rsidRPr="000A1CAB">
              <w:rPr>
                <w:rFonts w:cs="Arial"/>
                <w:lang w:eastAsia="en-NZ"/>
              </w:rPr>
              <w:t xml:space="preserve"> </w:t>
            </w:r>
          </w:p>
          <w:p w:rsidR="002C3815" w:rsidRPr="000A1CAB" w:rsidRDefault="002C3815" w:rsidP="002C3815">
            <w:pPr>
              <w:pStyle w:val="ListParagraph"/>
              <w:numPr>
                <w:ilvl w:val="0"/>
                <w:numId w:val="15"/>
              </w:numPr>
              <w:spacing w:line="264" w:lineRule="auto"/>
              <w:ind w:left="459" w:hanging="425"/>
              <w:rPr>
                <w:rFonts w:cs="Arial"/>
                <w:lang w:eastAsia="en-NZ"/>
              </w:rPr>
            </w:pPr>
            <w:r w:rsidRPr="000A1CAB">
              <w:rPr>
                <w:rFonts w:cs="Arial"/>
                <w:lang w:eastAsia="en-NZ"/>
              </w:rPr>
              <w:t xml:space="preserve">In relation to operational expenditure, </w:t>
            </w:r>
            <w:r w:rsidRPr="000A1CAB">
              <w:rPr>
                <w:rFonts w:cs="Arial"/>
                <w:b/>
                <w:lang w:eastAsia="en-NZ"/>
              </w:rPr>
              <w:t>operational expenditure</w:t>
            </w:r>
          </w:p>
          <w:p w:rsidR="002C3815" w:rsidRPr="000A1CAB" w:rsidRDefault="002C3815" w:rsidP="002C3815">
            <w:pPr>
              <w:pStyle w:val="ListParagraph"/>
              <w:spacing w:line="264" w:lineRule="auto"/>
              <w:ind w:left="34"/>
            </w:pPr>
            <w:r w:rsidRPr="000A1CAB">
              <w:t xml:space="preserve">where the </w:t>
            </w:r>
            <w:r w:rsidRPr="000A1CAB">
              <w:rPr>
                <w:b/>
              </w:rPr>
              <w:t>primary driver</w:t>
            </w:r>
            <w:r w:rsidRPr="000A1CAB">
              <w:t xml:space="preserve"> is the need to maintain network asset integrity so as to maintain current security and/or quality of supply standards and includes expenditure as a result of:</w:t>
            </w:r>
          </w:p>
          <w:p w:rsidR="002C3815" w:rsidRPr="000A1CAB" w:rsidRDefault="002C3815" w:rsidP="002C3815">
            <w:pPr>
              <w:pStyle w:val="Tablebullet"/>
              <w:numPr>
                <w:ilvl w:val="0"/>
                <w:numId w:val="63"/>
              </w:numPr>
              <w:tabs>
                <w:tab w:val="clear" w:pos="284"/>
                <w:tab w:val="num" w:pos="317"/>
              </w:tabs>
              <w:spacing w:after="120"/>
              <w:ind w:left="317"/>
              <w:rPr>
                <w:szCs w:val="24"/>
              </w:rPr>
            </w:pPr>
            <w:r w:rsidRPr="000A1CAB">
              <w:rPr>
                <w:szCs w:val="24"/>
              </w:rPr>
              <w:t xml:space="preserve">the progressive physical deterioration of the condition of </w:t>
            </w:r>
            <w:r w:rsidRPr="000A1CAB">
              <w:rPr>
                <w:b/>
                <w:szCs w:val="24"/>
              </w:rPr>
              <w:t>network</w:t>
            </w:r>
            <w:r w:rsidRPr="000A1CAB">
              <w:rPr>
                <w:szCs w:val="24"/>
              </w:rPr>
              <w:t xml:space="preserve"> assets or their immediate surrounds; </w:t>
            </w:r>
          </w:p>
          <w:p w:rsidR="002C3815" w:rsidRPr="000A1CAB" w:rsidRDefault="002C3815" w:rsidP="002C3815">
            <w:pPr>
              <w:pStyle w:val="Tablebullet"/>
              <w:numPr>
                <w:ilvl w:val="0"/>
                <w:numId w:val="63"/>
              </w:numPr>
              <w:tabs>
                <w:tab w:val="clear" w:pos="284"/>
                <w:tab w:val="num" w:pos="317"/>
              </w:tabs>
              <w:spacing w:after="120"/>
              <w:ind w:left="317"/>
              <w:rPr>
                <w:szCs w:val="24"/>
              </w:rPr>
            </w:pPr>
            <w:r w:rsidRPr="000A1CAB">
              <w:rPr>
                <w:szCs w:val="24"/>
              </w:rPr>
              <w:t xml:space="preserve">the obsolescence of </w:t>
            </w:r>
            <w:r w:rsidRPr="000A1CAB">
              <w:rPr>
                <w:b/>
                <w:szCs w:val="24"/>
              </w:rPr>
              <w:t xml:space="preserve">network </w:t>
            </w:r>
            <w:r w:rsidRPr="000A1CAB">
              <w:rPr>
                <w:szCs w:val="24"/>
              </w:rPr>
              <w:t>assets;</w:t>
            </w:r>
          </w:p>
          <w:p w:rsidR="002C3815" w:rsidRPr="000A1CAB" w:rsidRDefault="002C3815" w:rsidP="002C3815">
            <w:pPr>
              <w:pStyle w:val="Tablebullet"/>
              <w:numPr>
                <w:ilvl w:val="0"/>
                <w:numId w:val="63"/>
              </w:numPr>
              <w:tabs>
                <w:tab w:val="clear" w:pos="284"/>
                <w:tab w:val="num" w:pos="317"/>
              </w:tabs>
              <w:spacing w:after="120"/>
              <w:ind w:left="317"/>
              <w:rPr>
                <w:szCs w:val="24"/>
              </w:rPr>
            </w:pPr>
            <w:r w:rsidRPr="000A1CAB">
              <w:rPr>
                <w:szCs w:val="24"/>
              </w:rPr>
              <w:t>preventative replacement programmes, consistent with asset life-cycle management policies; or</w:t>
            </w:r>
          </w:p>
          <w:p w:rsidR="002C3815" w:rsidRPr="000A1CAB" w:rsidRDefault="002C3815" w:rsidP="002C3815">
            <w:pPr>
              <w:pStyle w:val="Tablebullet"/>
              <w:numPr>
                <w:ilvl w:val="0"/>
                <w:numId w:val="63"/>
              </w:numPr>
              <w:tabs>
                <w:tab w:val="clear" w:pos="284"/>
                <w:tab w:val="num" w:pos="317"/>
              </w:tabs>
              <w:spacing w:after="120"/>
              <w:ind w:left="317"/>
              <w:rPr>
                <w:szCs w:val="24"/>
              </w:rPr>
            </w:pPr>
            <w:proofErr w:type="gramStart"/>
            <w:r w:rsidRPr="000A1CAB">
              <w:rPr>
                <w:szCs w:val="24"/>
              </w:rPr>
              <w:t>the</w:t>
            </w:r>
            <w:proofErr w:type="gramEnd"/>
            <w:r w:rsidRPr="000A1CAB">
              <w:rPr>
                <w:szCs w:val="24"/>
              </w:rPr>
              <w:t xml:space="preserve"> need to ensure the ongoing physical security of the </w:t>
            </w:r>
            <w:r w:rsidRPr="000A1CAB">
              <w:rPr>
                <w:b/>
                <w:szCs w:val="24"/>
              </w:rPr>
              <w:t>network</w:t>
            </w:r>
            <w:r w:rsidRPr="000A1CAB">
              <w:rPr>
                <w:szCs w:val="24"/>
              </w:rPr>
              <w:t xml:space="preserve"> assets.</w:t>
            </w:r>
          </w:p>
        </w:tc>
      </w:tr>
      <w:tr w:rsidR="002C3815" w:rsidRPr="000A1CAB" w:rsidTr="002F7192">
        <w:tc>
          <w:tcPr>
            <w:tcW w:w="3510" w:type="dxa"/>
          </w:tcPr>
          <w:p w:rsidR="002C3815" w:rsidRPr="000A1CAB" w:rsidRDefault="002C3815" w:rsidP="002F7192">
            <w:pPr>
              <w:pStyle w:val="BodyText"/>
              <w:spacing w:line="264" w:lineRule="auto"/>
              <w:rPr>
                <w:rFonts w:cs="Arial"/>
                <w:b/>
                <w:bCs/>
                <w:lang w:eastAsia="en-NZ"/>
              </w:rPr>
            </w:pPr>
            <w:r w:rsidRPr="000A1CAB">
              <w:rPr>
                <w:rFonts w:cs="Arial"/>
                <w:b/>
                <w:bCs/>
                <w:lang w:eastAsia="en-NZ"/>
              </w:rPr>
              <w:t>Assets acquired from a related party</w:t>
            </w:r>
          </w:p>
        </w:tc>
        <w:tc>
          <w:tcPr>
            <w:tcW w:w="4882" w:type="dxa"/>
          </w:tcPr>
          <w:p w:rsidR="002C3815" w:rsidRPr="000A1CAB" w:rsidRDefault="002C3815" w:rsidP="002F7192">
            <w:pPr>
              <w:pStyle w:val="ListParagraph"/>
              <w:spacing w:line="264" w:lineRule="auto"/>
              <w:ind w:left="34"/>
              <w:rPr>
                <w:rFonts w:cs="Arial"/>
                <w:lang w:eastAsia="en-NZ"/>
              </w:rPr>
            </w:pPr>
            <w:r w:rsidRPr="000A1CAB">
              <w:rPr>
                <w:rFonts w:cs="Arial"/>
                <w:lang w:eastAsia="en-NZ"/>
              </w:rPr>
              <w:t>means:</w:t>
            </w:r>
          </w:p>
          <w:p w:rsidR="002C3815" w:rsidRPr="000A1CAB" w:rsidRDefault="002C3815" w:rsidP="00440341">
            <w:pPr>
              <w:pStyle w:val="ListParagraph"/>
              <w:numPr>
                <w:ilvl w:val="0"/>
                <w:numId w:val="15"/>
              </w:numPr>
              <w:spacing w:line="264" w:lineRule="auto"/>
              <w:ind w:left="459" w:hanging="425"/>
              <w:rPr>
                <w:rFonts w:cs="Arial"/>
                <w:lang w:eastAsia="en-NZ"/>
              </w:rPr>
            </w:pPr>
            <w:r w:rsidRPr="000A1CAB">
              <w:rPr>
                <w:rFonts w:cs="Arial"/>
                <w:lang w:eastAsia="en-NZ"/>
              </w:rPr>
              <w:t xml:space="preserve">in relation to the </w:t>
            </w:r>
            <w:r w:rsidRPr="000A1CAB">
              <w:rPr>
                <w:rFonts w:cs="Arial"/>
                <w:b/>
                <w:bCs/>
                <w:lang w:eastAsia="en-NZ"/>
              </w:rPr>
              <w:t>unallocated RAB</w:t>
            </w:r>
            <w:r w:rsidRPr="000A1CAB">
              <w:rPr>
                <w:rFonts w:cs="Arial"/>
                <w:lang w:eastAsia="en-NZ"/>
              </w:rPr>
              <w:t>, the sum of value of assets acquired from a</w:t>
            </w:r>
            <w:r w:rsidRPr="000A1CAB">
              <w:rPr>
                <w:rFonts w:cs="Arial"/>
                <w:b/>
                <w:bCs/>
                <w:lang w:eastAsia="en-NZ"/>
              </w:rPr>
              <w:t xml:space="preserve"> related party </w:t>
            </w:r>
            <w:r w:rsidRPr="000A1CAB">
              <w:rPr>
                <w:rFonts w:cs="Arial"/>
                <w:lang w:eastAsia="en-NZ"/>
              </w:rPr>
              <w:t xml:space="preserve">as determined in accordance with clauses 2.2.11(1)(f) and (g) of the </w:t>
            </w:r>
            <w:r w:rsidRPr="000A1CAB">
              <w:rPr>
                <w:rFonts w:cs="Arial"/>
                <w:b/>
                <w:lang w:eastAsia="en-NZ"/>
              </w:rPr>
              <w:t>IM determination</w:t>
            </w:r>
            <w:r w:rsidRPr="000A1CAB">
              <w:rPr>
                <w:rFonts w:cs="Arial"/>
                <w:lang w:eastAsia="en-NZ"/>
              </w:rPr>
              <w:t>;</w:t>
            </w:r>
          </w:p>
          <w:p w:rsidR="002C3815" w:rsidRPr="000A1CAB" w:rsidRDefault="002C3815" w:rsidP="00440341">
            <w:pPr>
              <w:pStyle w:val="ListParagraph"/>
              <w:numPr>
                <w:ilvl w:val="0"/>
                <w:numId w:val="15"/>
              </w:numPr>
              <w:spacing w:line="264" w:lineRule="auto"/>
              <w:ind w:left="459" w:hanging="425"/>
              <w:rPr>
                <w:rFonts w:cs="Arial"/>
                <w:lang w:eastAsia="en-NZ"/>
              </w:rPr>
            </w:pPr>
            <w:r w:rsidRPr="000A1CAB">
              <w:rPr>
                <w:rFonts w:cs="Arial"/>
                <w:lang w:eastAsia="en-NZ"/>
              </w:rPr>
              <w:t xml:space="preserve">in relation to the </w:t>
            </w:r>
            <w:r w:rsidRPr="000A1CAB">
              <w:rPr>
                <w:rFonts w:cs="Arial"/>
                <w:b/>
                <w:bCs/>
                <w:lang w:eastAsia="en-NZ"/>
              </w:rPr>
              <w:t>RAB</w:t>
            </w:r>
            <w:r w:rsidRPr="000A1CAB">
              <w:rPr>
                <w:rFonts w:cs="Arial"/>
                <w:bCs/>
                <w:lang w:eastAsia="en-NZ"/>
              </w:rPr>
              <w:t>,</w:t>
            </w:r>
            <w:r w:rsidRPr="000A1CAB">
              <w:rPr>
                <w:rFonts w:cs="Arial"/>
                <w:lang w:eastAsia="en-NZ"/>
              </w:rPr>
              <w:t xml:space="preserve"> means the sum of value of the assets (as determined in accordance with paragraph (a)) which is allocated to the </w:t>
            </w:r>
            <w:r w:rsidRPr="000A1CAB">
              <w:rPr>
                <w:rFonts w:cs="Arial"/>
                <w:b/>
                <w:lang w:eastAsia="en-NZ"/>
              </w:rPr>
              <w:t>gas transmission services</w:t>
            </w:r>
            <w:r w:rsidRPr="000A1CAB">
              <w:rPr>
                <w:rFonts w:cs="Arial"/>
                <w:lang w:eastAsia="en-NZ"/>
              </w:rPr>
              <w:t xml:space="preserve"> in accordance with clause 2.1.1 of the </w:t>
            </w:r>
            <w:r w:rsidRPr="000A1CAB">
              <w:rPr>
                <w:rFonts w:cs="Arial"/>
                <w:b/>
                <w:bCs/>
                <w:lang w:eastAsia="en-NZ"/>
              </w:rPr>
              <w:t>IM determination</w:t>
            </w:r>
          </w:p>
        </w:tc>
      </w:tr>
      <w:tr w:rsidR="002C3815" w:rsidRPr="000A1CAB" w:rsidTr="002F7192">
        <w:tc>
          <w:tcPr>
            <w:tcW w:w="3510" w:type="dxa"/>
          </w:tcPr>
          <w:p w:rsidR="002C3815" w:rsidRPr="000A1CAB" w:rsidRDefault="002C3815" w:rsidP="002F7192">
            <w:pPr>
              <w:pStyle w:val="BodyText"/>
              <w:spacing w:line="264" w:lineRule="auto"/>
              <w:rPr>
                <w:b/>
              </w:rPr>
            </w:pPr>
            <w:r w:rsidRPr="000A1CAB">
              <w:rPr>
                <w:rFonts w:cs="Arial"/>
                <w:b/>
                <w:bCs/>
                <w:lang w:eastAsia="en-NZ"/>
              </w:rPr>
              <w:t>Assets commissioned</w:t>
            </w:r>
          </w:p>
        </w:tc>
        <w:tc>
          <w:tcPr>
            <w:tcW w:w="4882" w:type="dxa"/>
          </w:tcPr>
          <w:p w:rsidR="002C3815" w:rsidRPr="000A1CAB" w:rsidRDefault="002C3815" w:rsidP="002F7192">
            <w:pPr>
              <w:pStyle w:val="ListParagraph"/>
              <w:spacing w:line="264" w:lineRule="auto"/>
              <w:ind w:left="34"/>
              <w:rPr>
                <w:rFonts w:cs="Arial"/>
                <w:lang w:eastAsia="en-NZ"/>
              </w:rPr>
            </w:pPr>
            <w:r w:rsidRPr="000A1CAB">
              <w:rPr>
                <w:rFonts w:cs="Arial"/>
                <w:lang w:eastAsia="en-NZ"/>
              </w:rPr>
              <w:t>means:</w:t>
            </w:r>
          </w:p>
          <w:p w:rsidR="002C3815" w:rsidRPr="000A1CAB" w:rsidRDefault="002C3815" w:rsidP="00440341">
            <w:pPr>
              <w:pStyle w:val="ListParagraph"/>
              <w:numPr>
                <w:ilvl w:val="0"/>
                <w:numId w:val="16"/>
              </w:numPr>
              <w:spacing w:line="264" w:lineRule="auto"/>
              <w:ind w:left="459" w:hanging="425"/>
            </w:pPr>
            <w:r w:rsidRPr="000A1CAB">
              <w:rPr>
                <w:rFonts w:cs="Arial"/>
                <w:lang w:eastAsia="en-NZ"/>
              </w:rPr>
              <w:t xml:space="preserve">in relation to the </w:t>
            </w:r>
            <w:r w:rsidRPr="000A1CAB">
              <w:rPr>
                <w:rFonts w:cs="Arial"/>
                <w:b/>
                <w:bCs/>
                <w:lang w:eastAsia="en-NZ"/>
              </w:rPr>
              <w:t>unallocated RAB</w:t>
            </w:r>
            <w:r w:rsidRPr="000A1CAB">
              <w:rPr>
                <w:rFonts w:cs="Arial"/>
                <w:lang w:eastAsia="en-NZ"/>
              </w:rPr>
              <w:t xml:space="preserve"> or </w:t>
            </w:r>
            <w:r w:rsidRPr="000A1CAB">
              <w:rPr>
                <w:rFonts w:cs="Arial"/>
                <w:b/>
                <w:bCs/>
                <w:lang w:eastAsia="en-NZ"/>
              </w:rPr>
              <w:t>works under construction</w:t>
            </w:r>
            <w:r w:rsidRPr="000A1CAB">
              <w:rPr>
                <w:rFonts w:cs="Arial"/>
                <w:lang w:eastAsia="en-NZ"/>
              </w:rPr>
              <w:t xml:space="preserve">, the sum of value of </w:t>
            </w:r>
            <w:r w:rsidRPr="000A1CAB">
              <w:rPr>
                <w:rFonts w:cs="Arial"/>
                <w:b/>
                <w:lang w:eastAsia="en-NZ"/>
              </w:rPr>
              <w:t>commissioned</w:t>
            </w:r>
            <w:r w:rsidRPr="000A1CAB">
              <w:rPr>
                <w:rFonts w:cs="Arial"/>
                <w:lang w:eastAsia="en-NZ"/>
              </w:rPr>
              <w:t xml:space="preserve"> assets as determined in accordance with clause 2.2.11 of the </w:t>
            </w:r>
            <w:r w:rsidRPr="000A1CAB">
              <w:rPr>
                <w:rFonts w:cs="Arial"/>
                <w:b/>
                <w:bCs/>
                <w:lang w:eastAsia="en-NZ"/>
              </w:rPr>
              <w:t>IM determination</w:t>
            </w:r>
            <w:r w:rsidRPr="000A1CAB">
              <w:rPr>
                <w:rFonts w:cs="Arial"/>
                <w:lang w:eastAsia="en-NZ"/>
              </w:rPr>
              <w:t>;</w:t>
            </w:r>
          </w:p>
          <w:p w:rsidR="002C3815" w:rsidRPr="000A1CAB" w:rsidRDefault="002C3815" w:rsidP="00440341">
            <w:pPr>
              <w:pStyle w:val="ListParagraph"/>
              <w:numPr>
                <w:ilvl w:val="0"/>
                <w:numId w:val="16"/>
              </w:numPr>
              <w:spacing w:line="264" w:lineRule="auto"/>
              <w:ind w:left="459" w:hanging="425"/>
            </w:pPr>
            <w:r w:rsidRPr="000A1CAB">
              <w:rPr>
                <w:rFonts w:cs="Arial"/>
                <w:lang w:eastAsia="en-NZ"/>
              </w:rPr>
              <w:t xml:space="preserve">in relation to the </w:t>
            </w:r>
            <w:r w:rsidRPr="000A1CAB">
              <w:rPr>
                <w:rFonts w:cs="Arial"/>
                <w:b/>
                <w:bCs/>
                <w:lang w:eastAsia="en-NZ"/>
              </w:rPr>
              <w:t>RAB</w:t>
            </w:r>
            <w:r w:rsidRPr="000A1CAB">
              <w:rPr>
                <w:rFonts w:cs="Arial"/>
                <w:bCs/>
                <w:lang w:eastAsia="en-NZ"/>
              </w:rPr>
              <w:t>,</w:t>
            </w:r>
            <w:r w:rsidRPr="000A1CAB">
              <w:rPr>
                <w:rFonts w:cs="Arial"/>
                <w:lang w:eastAsia="en-NZ"/>
              </w:rPr>
              <w:t xml:space="preserve"> the value of the assets (as determined in accordance with paragraph (a)) which is allocated to the </w:t>
            </w:r>
            <w:r w:rsidRPr="000A1CAB">
              <w:rPr>
                <w:rFonts w:cs="Arial"/>
                <w:b/>
                <w:lang w:eastAsia="en-NZ"/>
              </w:rPr>
              <w:t>gas transmission services</w:t>
            </w:r>
            <w:r w:rsidRPr="000A1CAB">
              <w:rPr>
                <w:rFonts w:cs="Arial"/>
                <w:b/>
                <w:bCs/>
                <w:lang w:eastAsia="en-NZ"/>
              </w:rPr>
              <w:t xml:space="preserve"> </w:t>
            </w:r>
            <w:r w:rsidRPr="000A1CAB">
              <w:rPr>
                <w:rFonts w:cs="Arial"/>
                <w:lang w:eastAsia="en-NZ"/>
              </w:rPr>
              <w:t xml:space="preserve">in accordance with clause 2.1.1 of the </w:t>
            </w:r>
            <w:r w:rsidRPr="000A1CAB">
              <w:rPr>
                <w:rFonts w:cs="Arial"/>
                <w:b/>
                <w:bCs/>
                <w:lang w:eastAsia="en-NZ"/>
              </w:rPr>
              <w:t>IM determination</w:t>
            </w:r>
            <w:r w:rsidRPr="000A1CAB">
              <w:rPr>
                <w:rFonts w:cs="Arial"/>
                <w:lang w:eastAsia="en-NZ"/>
              </w:rPr>
              <w:t>;</w:t>
            </w:r>
          </w:p>
          <w:p w:rsidR="002C3815" w:rsidRPr="000A1CAB" w:rsidRDefault="002C3815" w:rsidP="00440341">
            <w:pPr>
              <w:pStyle w:val="ListParagraph"/>
              <w:numPr>
                <w:ilvl w:val="0"/>
                <w:numId w:val="16"/>
              </w:numPr>
              <w:spacing w:line="264" w:lineRule="auto"/>
              <w:ind w:left="459" w:hanging="425"/>
            </w:pPr>
            <w:r w:rsidRPr="000A1CAB">
              <w:rPr>
                <w:rFonts w:cs="Arial"/>
                <w:lang w:eastAsia="en-NZ"/>
              </w:rPr>
              <w:t xml:space="preserve">in relation to forecast information, a forecast of the value of the assets (as determined in accordance with paragraph (b)) for a future </w:t>
            </w:r>
            <w:r w:rsidRPr="000A1CAB">
              <w:rPr>
                <w:rFonts w:cs="Arial"/>
                <w:b/>
                <w:bCs/>
                <w:lang w:eastAsia="en-NZ"/>
              </w:rPr>
              <w:t>disclosure year</w:t>
            </w:r>
          </w:p>
        </w:tc>
      </w:tr>
      <w:tr w:rsidR="002C3815" w:rsidRPr="000A1CAB" w:rsidTr="00A03DC6">
        <w:tc>
          <w:tcPr>
            <w:tcW w:w="3510" w:type="dxa"/>
          </w:tcPr>
          <w:p w:rsidR="002C3815" w:rsidRPr="000A1CAB" w:rsidRDefault="002C3815" w:rsidP="00AE0D10">
            <w:pPr>
              <w:pStyle w:val="BodyText"/>
              <w:spacing w:line="264" w:lineRule="auto"/>
              <w:rPr>
                <w:b/>
              </w:rPr>
            </w:pPr>
            <w:r w:rsidRPr="000A1CAB">
              <w:rPr>
                <w:b/>
              </w:rPr>
              <w:t>Atypical</w:t>
            </w:r>
          </w:p>
        </w:tc>
        <w:tc>
          <w:tcPr>
            <w:tcW w:w="4882" w:type="dxa"/>
          </w:tcPr>
          <w:p w:rsidR="002C3815" w:rsidRPr="000A1CAB" w:rsidRDefault="002C3815" w:rsidP="00170E7F">
            <w:pPr>
              <w:spacing w:line="264" w:lineRule="auto"/>
            </w:pPr>
            <w:r w:rsidRPr="000A1CAB">
              <w:t>means ‘one off’ or ‘exceptional’ costs incurred often as a result of events outside management control</w:t>
            </w:r>
          </w:p>
        </w:tc>
      </w:tr>
      <w:tr w:rsidR="002C3815" w:rsidRPr="000A1CAB" w:rsidTr="00A03DC6">
        <w:tc>
          <w:tcPr>
            <w:tcW w:w="3510" w:type="dxa"/>
          </w:tcPr>
          <w:p w:rsidR="002C3815" w:rsidRPr="000A1CAB" w:rsidRDefault="002C3815" w:rsidP="00AE0D10">
            <w:pPr>
              <w:pStyle w:val="BodyText"/>
              <w:spacing w:line="264" w:lineRule="auto"/>
              <w:rPr>
                <w:rFonts w:cs="Arial"/>
                <w:b/>
                <w:bCs/>
                <w:lang w:eastAsia="en-NZ"/>
              </w:rPr>
            </w:pPr>
            <w:r w:rsidRPr="000A1CAB">
              <w:rPr>
                <w:b/>
              </w:rPr>
              <w:t>Audited disclosure information</w:t>
            </w:r>
          </w:p>
        </w:tc>
        <w:tc>
          <w:tcPr>
            <w:tcW w:w="4882" w:type="dxa"/>
          </w:tcPr>
          <w:p w:rsidR="002C3815" w:rsidRPr="000A1CAB" w:rsidRDefault="002C3815" w:rsidP="00D91BE1">
            <w:pPr>
              <w:spacing w:line="264" w:lineRule="auto"/>
              <w:rPr>
                <w:rFonts w:cs="Arial"/>
                <w:lang w:eastAsia="en-NZ"/>
              </w:rPr>
            </w:pPr>
            <w:r w:rsidRPr="000A1CAB">
              <w:t xml:space="preserve">means information disclosed under any of clauses </w:t>
            </w:r>
            <w:fldSimple w:instr=" REF _Ref279613342 \r \h  \* MERGEFORMAT ">
              <w:r w:rsidR="00B06C04">
                <w:t>2.3.1</w:t>
              </w:r>
            </w:fldSimple>
            <w:r w:rsidRPr="000A1CAB">
              <w:t xml:space="preserve"> and </w:t>
            </w:r>
            <w:fldSimple w:instr=" REF _Ref328953470 \r \h  \* MERGEFORMAT ">
              <w:r w:rsidR="00B06C04">
                <w:t>2.3.2</w:t>
              </w:r>
            </w:fldSimple>
            <w:r w:rsidRPr="000A1CAB">
              <w:t xml:space="preserve"> in section </w:t>
            </w:r>
            <w:fldSimple w:instr=" REF _Ref329179791 \r \h  \* MERGEFORMAT ">
              <w:r w:rsidR="00B06C04">
                <w:t>2.3</w:t>
              </w:r>
            </w:fldSimple>
            <w:r w:rsidRPr="000A1CAB">
              <w:t xml:space="preserve">, clause </w:t>
            </w:r>
            <w:fldSimple w:instr=" REF _Ref329173172 \r \h  \* MERGEFORMAT ">
              <w:r w:rsidR="00B06C04">
                <w:t>2.4.18</w:t>
              </w:r>
            </w:fldSimple>
            <w:r w:rsidRPr="000A1CAB">
              <w:t xml:space="preserve"> in section </w:t>
            </w:r>
            <w:fldSimple w:instr=" REF _Ref329265874 \r \h  \* MERGEFORMAT ">
              <w:r w:rsidR="00B06C04">
                <w:t>2.4</w:t>
              </w:r>
            </w:fldSimple>
            <w:r w:rsidRPr="000A1CAB">
              <w:t xml:space="preserve">, clause </w:t>
            </w:r>
            <w:fldSimple w:instr=" REF _Ref329178711 \r \h  \* MERGEFORMAT ">
              <w:r w:rsidR="00B06C04">
                <w:t>2.5.1</w:t>
              </w:r>
            </w:fldSimple>
            <w:r w:rsidRPr="000A1CAB">
              <w:t xml:space="preserve"> of section </w:t>
            </w:r>
            <w:fldSimple w:instr=" REF _Ref329265991 \r \h  \* MERGEFORMAT ">
              <w:r w:rsidR="00B06C04">
                <w:t>2.5</w:t>
              </w:r>
            </w:fldSimple>
            <w:r w:rsidRPr="000A1CAB">
              <w:t xml:space="preserve"> clause </w:t>
            </w:r>
            <w:r w:rsidR="0033518E">
              <w:fldChar w:fldCharType="begin"/>
            </w:r>
            <w:r w:rsidR="00D91BE1">
              <w:instrText xml:space="preserve"> REF _Ref328811155 \w \h </w:instrText>
            </w:r>
            <w:r w:rsidR="0033518E">
              <w:fldChar w:fldCharType="separate"/>
            </w:r>
            <w:r w:rsidR="00B06C04">
              <w:t>2.7.1</w:t>
            </w:r>
            <w:r w:rsidR="0033518E">
              <w:fldChar w:fldCharType="end"/>
            </w:r>
            <w:r w:rsidR="00D91BE1">
              <w:t xml:space="preserve"> </w:t>
            </w:r>
            <w:r w:rsidRPr="000A1CAB">
              <w:t xml:space="preserve">in section </w:t>
            </w:r>
            <w:fldSimple w:instr=" REF _Ref329266253 \r \h  \* MERGEFORMAT ">
              <w:r w:rsidR="00B06C04">
                <w:t>2.7</w:t>
              </w:r>
            </w:fldSimple>
            <w:r w:rsidRPr="000A1CAB">
              <w:t xml:space="preserve"> and </w:t>
            </w:r>
            <w:fldSimple w:instr=" REF _Ref279613542 \r \h  \* MERGEFORMAT ">
              <w:r w:rsidR="00B06C04">
                <w:t>2.12.1</w:t>
              </w:r>
            </w:fldSimple>
            <w:r w:rsidRPr="000A1CAB">
              <w:t xml:space="preserve"> of section </w:t>
            </w:r>
            <w:fldSimple w:instr=" REF _Ref329176011 \r \h  \* MERGEFORMAT ">
              <w:r w:rsidR="00B06C04">
                <w:t>2.12</w:t>
              </w:r>
            </w:fldSimple>
            <w:r w:rsidRPr="000A1CAB">
              <w:t xml:space="preserve"> of this determination.</w:t>
            </w:r>
          </w:p>
        </w:tc>
      </w:tr>
    </w:tbl>
    <w:p w:rsidR="003E69C4" w:rsidRPr="006441E4" w:rsidRDefault="003E69C4" w:rsidP="00AE0D10">
      <w:pPr>
        <w:pStyle w:val="Heading2"/>
        <w:spacing w:before="240" w:after="240" w:line="264" w:lineRule="auto"/>
        <w:jc w:val="center"/>
        <w:rPr>
          <w:lang w:eastAsia="en-GB"/>
        </w:rPr>
      </w:pPr>
      <w:r w:rsidRPr="006441E4">
        <w:rPr>
          <w:lang w:eastAsia="en-GB"/>
        </w:rPr>
        <w:t>B</w:t>
      </w:r>
    </w:p>
    <w:p w:rsidR="003E69C4" w:rsidRPr="006441E4" w:rsidRDefault="003E69C4" w:rsidP="00AE0D10">
      <w:pPr>
        <w:pStyle w:val="Heading2"/>
        <w:spacing w:before="240" w:after="240" w:line="264" w:lineRule="auto"/>
        <w:jc w:val="center"/>
        <w:rPr>
          <w:lang w:eastAsia="en-GB"/>
        </w:rPr>
      </w:pPr>
      <w:r w:rsidRPr="006441E4">
        <w:rPr>
          <w:lang w:eastAsia="en-GB"/>
        </w:rPr>
        <w:t>C</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377CB6" w:rsidRPr="000A1CAB" w:rsidTr="00A03DC6">
        <w:tc>
          <w:tcPr>
            <w:tcW w:w="3510" w:type="dxa"/>
          </w:tcPr>
          <w:p w:rsidR="00377CB6" w:rsidRPr="000A1CAB" w:rsidRDefault="00377CB6" w:rsidP="00AE0D10">
            <w:pPr>
              <w:pStyle w:val="BodyText"/>
              <w:spacing w:line="264" w:lineRule="auto"/>
              <w:rPr>
                <w:b/>
              </w:rPr>
            </w:pPr>
            <w:r w:rsidRPr="000A1CAB">
              <w:rPr>
                <w:rFonts w:cs="Arial"/>
                <w:b/>
                <w:bCs/>
                <w:lang w:eastAsia="en-NZ"/>
              </w:rPr>
              <w:t>Capital contributions</w:t>
            </w:r>
          </w:p>
        </w:tc>
        <w:tc>
          <w:tcPr>
            <w:tcW w:w="4882" w:type="dxa"/>
          </w:tcPr>
          <w:p w:rsidR="00377CB6" w:rsidRPr="000A1CAB" w:rsidRDefault="00377CB6" w:rsidP="0043525C">
            <w:pPr>
              <w:spacing w:line="264" w:lineRule="auto"/>
            </w:pPr>
            <w:r w:rsidRPr="000A1CAB">
              <w:rPr>
                <w:rFonts w:cs="Arial"/>
                <w:lang w:eastAsia="en-NZ"/>
              </w:rPr>
              <w:t>has the meaning set out in the</w:t>
            </w:r>
            <w:r w:rsidRPr="000A1CAB">
              <w:rPr>
                <w:rFonts w:cs="Arial"/>
                <w:b/>
                <w:bCs/>
                <w:lang w:eastAsia="en-NZ"/>
              </w:rPr>
              <w:t xml:space="preserve"> IM determination</w:t>
            </w:r>
          </w:p>
        </w:tc>
      </w:tr>
      <w:tr w:rsidR="00377CB6" w:rsidRPr="000A1CAB" w:rsidTr="00A03DC6">
        <w:tc>
          <w:tcPr>
            <w:tcW w:w="3510" w:type="dxa"/>
          </w:tcPr>
          <w:p w:rsidR="00377CB6" w:rsidRPr="000A1CAB" w:rsidRDefault="00377CB6" w:rsidP="00AE0D10">
            <w:pPr>
              <w:pStyle w:val="BodyText"/>
              <w:spacing w:line="264" w:lineRule="auto"/>
              <w:rPr>
                <w:rFonts w:cs="Arial"/>
                <w:b/>
                <w:bCs/>
                <w:lang w:eastAsia="en-NZ"/>
              </w:rPr>
            </w:pPr>
            <w:r w:rsidRPr="000A1CAB">
              <w:rPr>
                <w:rFonts w:cs="Arial"/>
                <w:b/>
                <w:bCs/>
                <w:lang w:eastAsia="en-NZ"/>
              </w:rPr>
              <w:t>Capital expenditure</w:t>
            </w:r>
          </w:p>
        </w:tc>
        <w:tc>
          <w:tcPr>
            <w:tcW w:w="4882" w:type="dxa"/>
          </w:tcPr>
          <w:p w:rsidR="00377CB6" w:rsidRPr="000A1CAB" w:rsidRDefault="00377CB6" w:rsidP="00AE0D10">
            <w:pPr>
              <w:spacing w:line="264" w:lineRule="auto"/>
              <w:rPr>
                <w:rFonts w:cs="Arial"/>
                <w:lang w:eastAsia="en-NZ"/>
              </w:rPr>
            </w:pPr>
            <w:r w:rsidRPr="000A1CAB">
              <w:rPr>
                <w:rFonts w:cs="Arial"/>
                <w:lang w:eastAsia="en-NZ"/>
              </w:rPr>
              <w:t>means:</w:t>
            </w:r>
          </w:p>
          <w:p w:rsidR="005F2584" w:rsidRPr="000A1CAB" w:rsidRDefault="00377CB6" w:rsidP="00440341">
            <w:pPr>
              <w:pStyle w:val="ListParagraph"/>
              <w:numPr>
                <w:ilvl w:val="0"/>
                <w:numId w:val="18"/>
              </w:numPr>
              <w:spacing w:line="264" w:lineRule="auto"/>
              <w:ind w:left="459" w:hanging="425"/>
              <w:rPr>
                <w:rFonts w:cs="Arial"/>
                <w:lang w:eastAsia="en-NZ"/>
              </w:rPr>
            </w:pPr>
            <w:r w:rsidRPr="000A1CAB">
              <w:rPr>
                <w:rFonts w:cs="Arial"/>
                <w:lang w:eastAsia="en-NZ"/>
              </w:rPr>
              <w:t xml:space="preserve">in relation to the </w:t>
            </w:r>
            <w:r w:rsidRPr="000A1CAB">
              <w:rPr>
                <w:rFonts w:cs="Arial"/>
                <w:b/>
                <w:bCs/>
                <w:lang w:eastAsia="en-NZ"/>
              </w:rPr>
              <w:t>unallocated</w:t>
            </w:r>
            <w:r w:rsidRPr="000A1CAB">
              <w:rPr>
                <w:rFonts w:cs="Arial"/>
                <w:lang w:eastAsia="en-NZ"/>
              </w:rPr>
              <w:t xml:space="preserve"> </w:t>
            </w:r>
            <w:r w:rsidRPr="000A1CAB">
              <w:rPr>
                <w:rFonts w:cs="Arial"/>
                <w:b/>
                <w:bCs/>
                <w:lang w:eastAsia="en-NZ"/>
              </w:rPr>
              <w:t>works under construction</w:t>
            </w:r>
            <w:r w:rsidRPr="000A1CAB">
              <w:rPr>
                <w:rFonts w:cs="Arial"/>
                <w:lang w:eastAsia="en-NZ"/>
              </w:rPr>
              <w:t>, costs:</w:t>
            </w:r>
          </w:p>
          <w:p w:rsidR="005F2584" w:rsidRPr="000A1CAB" w:rsidRDefault="00377CB6" w:rsidP="00440341">
            <w:pPr>
              <w:pStyle w:val="ListParagraph"/>
              <w:numPr>
                <w:ilvl w:val="1"/>
                <w:numId w:val="18"/>
              </w:numPr>
              <w:spacing w:line="264" w:lineRule="auto"/>
              <w:ind w:left="884" w:hanging="425"/>
              <w:rPr>
                <w:rFonts w:cs="Arial"/>
                <w:lang w:eastAsia="en-NZ"/>
              </w:rPr>
            </w:pPr>
            <w:r w:rsidRPr="000A1CAB">
              <w:rPr>
                <w:rFonts w:cs="Arial"/>
                <w:lang w:eastAsia="en-NZ"/>
              </w:rPr>
              <w:t xml:space="preserve">incurred in the acquisition or development of an asset during the </w:t>
            </w:r>
            <w:r w:rsidRPr="000A1CAB">
              <w:rPr>
                <w:rFonts w:cs="Arial"/>
                <w:b/>
                <w:bCs/>
                <w:lang w:eastAsia="en-NZ"/>
              </w:rPr>
              <w:t>disclosure year</w:t>
            </w:r>
            <w:r w:rsidRPr="000A1CAB">
              <w:rPr>
                <w:rFonts w:cs="Arial"/>
                <w:lang w:eastAsia="en-NZ"/>
              </w:rPr>
              <w:t xml:space="preserve"> that is, or is intended to be, </w:t>
            </w:r>
            <w:r w:rsidRPr="000A1CAB">
              <w:rPr>
                <w:rFonts w:cs="Arial"/>
                <w:b/>
                <w:bCs/>
                <w:lang w:eastAsia="en-NZ"/>
              </w:rPr>
              <w:t>commissioned</w:t>
            </w:r>
            <w:r w:rsidR="00197BFD" w:rsidRPr="000A1CAB">
              <w:rPr>
                <w:rFonts w:cs="Arial"/>
                <w:bCs/>
                <w:lang w:eastAsia="en-NZ"/>
              </w:rPr>
              <w:t>;</w:t>
            </w:r>
            <w:r w:rsidRPr="000A1CAB">
              <w:rPr>
                <w:rFonts w:cs="Arial"/>
                <w:lang w:eastAsia="en-NZ"/>
              </w:rPr>
              <w:t xml:space="preserve"> and</w:t>
            </w:r>
          </w:p>
          <w:p w:rsidR="005F2584" w:rsidRPr="000A1CAB" w:rsidRDefault="00377CB6" w:rsidP="00440341">
            <w:pPr>
              <w:pStyle w:val="ListParagraph"/>
              <w:numPr>
                <w:ilvl w:val="1"/>
                <w:numId w:val="18"/>
              </w:numPr>
              <w:spacing w:line="264" w:lineRule="auto"/>
              <w:ind w:left="884" w:hanging="425"/>
              <w:rPr>
                <w:rFonts w:cs="Arial"/>
                <w:lang w:eastAsia="en-NZ"/>
              </w:rPr>
            </w:pPr>
            <w:r w:rsidRPr="000A1CAB">
              <w:rPr>
                <w:rFonts w:cs="Arial"/>
                <w:lang w:eastAsia="en-NZ"/>
              </w:rPr>
              <w:t xml:space="preserve">that are included or are intended to be included in the value of </w:t>
            </w:r>
            <w:r w:rsidRPr="000A1CAB">
              <w:rPr>
                <w:rFonts w:cs="Arial"/>
                <w:b/>
                <w:bCs/>
                <w:lang w:eastAsia="en-NZ"/>
              </w:rPr>
              <w:t>assets commissioned</w:t>
            </w:r>
            <w:r w:rsidRPr="000A1CAB">
              <w:rPr>
                <w:rFonts w:cs="Arial"/>
                <w:lang w:eastAsia="en-NZ"/>
              </w:rPr>
              <w:t xml:space="preserve"> relating to the </w:t>
            </w:r>
            <w:r w:rsidRPr="000A1CAB">
              <w:rPr>
                <w:rFonts w:cs="Arial"/>
                <w:b/>
                <w:bCs/>
                <w:lang w:eastAsia="en-NZ"/>
              </w:rPr>
              <w:t>unallocated RAB</w:t>
            </w:r>
            <w:r w:rsidRPr="000A1CAB">
              <w:rPr>
                <w:rFonts w:cs="Arial"/>
                <w:lang w:eastAsia="en-NZ"/>
              </w:rPr>
              <w:t>;</w:t>
            </w:r>
          </w:p>
          <w:p w:rsidR="005F2584" w:rsidRPr="000A1CAB" w:rsidRDefault="00377CB6" w:rsidP="00440341">
            <w:pPr>
              <w:pStyle w:val="ListParagraph"/>
              <w:numPr>
                <w:ilvl w:val="0"/>
                <w:numId w:val="18"/>
              </w:numPr>
              <w:spacing w:line="264" w:lineRule="auto"/>
              <w:ind w:left="459" w:hanging="425"/>
              <w:rPr>
                <w:rFonts w:cs="Arial"/>
                <w:lang w:eastAsia="en-NZ"/>
              </w:rPr>
            </w:pPr>
            <w:r w:rsidRPr="000A1CAB">
              <w:rPr>
                <w:rFonts w:cs="Arial"/>
                <w:lang w:eastAsia="en-NZ"/>
              </w:rPr>
              <w:t xml:space="preserve">in relation to the report on </w:t>
            </w:r>
            <w:r w:rsidRPr="000A1CAB">
              <w:rPr>
                <w:rFonts w:cs="Arial"/>
                <w:b/>
                <w:lang w:eastAsia="en-NZ"/>
              </w:rPr>
              <w:t>related party transactions</w:t>
            </w:r>
            <w:r w:rsidRPr="000A1CAB">
              <w:rPr>
                <w:rFonts w:cs="Arial"/>
                <w:lang w:eastAsia="en-NZ"/>
              </w:rPr>
              <w:t>, costs:</w:t>
            </w:r>
          </w:p>
          <w:p w:rsidR="00377CB6" w:rsidRPr="000A1CAB" w:rsidRDefault="00377CB6" w:rsidP="00AE0D10">
            <w:pPr>
              <w:spacing w:line="264" w:lineRule="auto"/>
              <w:ind w:left="884" w:hanging="425"/>
              <w:rPr>
                <w:rFonts w:cs="Arial"/>
                <w:lang w:eastAsia="en-NZ"/>
              </w:rPr>
            </w:pPr>
            <w:r w:rsidRPr="000A1CAB">
              <w:rPr>
                <w:rFonts w:cs="Arial"/>
                <w:lang w:eastAsia="en-NZ"/>
              </w:rPr>
              <w:t>(</w:t>
            </w:r>
            <w:proofErr w:type="spellStart"/>
            <w:r w:rsidRPr="000A1CAB">
              <w:rPr>
                <w:rFonts w:cs="Arial"/>
                <w:lang w:eastAsia="en-NZ"/>
              </w:rPr>
              <w:t>i</w:t>
            </w:r>
            <w:proofErr w:type="spellEnd"/>
            <w:r w:rsidRPr="000A1CAB">
              <w:rPr>
                <w:rFonts w:cs="Arial"/>
                <w:lang w:eastAsia="en-NZ"/>
              </w:rPr>
              <w:t xml:space="preserve">) </w:t>
            </w:r>
            <w:r w:rsidR="00DE6E39" w:rsidRPr="000A1CAB">
              <w:rPr>
                <w:rFonts w:cs="Arial"/>
                <w:lang w:eastAsia="en-NZ"/>
              </w:rPr>
              <w:tab/>
            </w:r>
            <w:r w:rsidRPr="000A1CAB">
              <w:rPr>
                <w:rFonts w:cs="Arial"/>
                <w:lang w:eastAsia="en-NZ"/>
              </w:rPr>
              <w:t xml:space="preserve">incurred in the acquisition or development of an asset during the </w:t>
            </w:r>
            <w:r w:rsidRPr="000A1CAB">
              <w:rPr>
                <w:rFonts w:cs="Arial"/>
                <w:b/>
                <w:lang w:eastAsia="en-NZ"/>
              </w:rPr>
              <w:t>disclosure year</w:t>
            </w:r>
            <w:r w:rsidRPr="000A1CAB">
              <w:rPr>
                <w:rFonts w:cs="Arial"/>
                <w:lang w:eastAsia="en-NZ"/>
              </w:rPr>
              <w:t xml:space="preserve"> that is, or is intended to be, </w:t>
            </w:r>
            <w:r w:rsidRPr="000A1CAB">
              <w:rPr>
                <w:rFonts w:cs="Arial"/>
                <w:b/>
                <w:lang w:eastAsia="en-NZ"/>
              </w:rPr>
              <w:t>commissioned</w:t>
            </w:r>
            <w:r w:rsidRPr="000A1CAB">
              <w:rPr>
                <w:rFonts w:cs="Arial"/>
                <w:lang w:eastAsia="en-NZ"/>
              </w:rPr>
              <w:t>; and</w:t>
            </w:r>
          </w:p>
          <w:p w:rsidR="00377CB6" w:rsidRPr="000A1CAB" w:rsidRDefault="00377CB6" w:rsidP="00AE0D10">
            <w:pPr>
              <w:spacing w:line="264" w:lineRule="auto"/>
              <w:ind w:left="884" w:hanging="425"/>
              <w:rPr>
                <w:rFonts w:cs="Arial"/>
                <w:lang w:eastAsia="en-NZ"/>
              </w:rPr>
            </w:pPr>
            <w:r w:rsidRPr="000A1CAB">
              <w:rPr>
                <w:rFonts w:cs="Arial"/>
                <w:lang w:eastAsia="en-NZ"/>
              </w:rPr>
              <w:t>(ii)</w:t>
            </w:r>
            <w:r w:rsidR="00DE6E39" w:rsidRPr="000A1CAB">
              <w:rPr>
                <w:rFonts w:cs="Arial"/>
                <w:lang w:eastAsia="en-NZ"/>
              </w:rPr>
              <w:tab/>
            </w:r>
            <w:r w:rsidRPr="000A1CAB">
              <w:rPr>
                <w:rFonts w:cs="Arial"/>
                <w:lang w:eastAsia="en-NZ"/>
              </w:rPr>
              <w:t xml:space="preserve"> that are included or are intended to be included in the value of assets </w:t>
            </w:r>
            <w:r w:rsidRPr="000A1CAB">
              <w:rPr>
                <w:rFonts w:cs="Arial"/>
                <w:b/>
                <w:lang w:eastAsia="en-NZ"/>
              </w:rPr>
              <w:t>commissioned</w:t>
            </w:r>
            <w:r w:rsidRPr="000A1CAB">
              <w:rPr>
                <w:rFonts w:cs="Arial"/>
                <w:lang w:eastAsia="en-NZ"/>
              </w:rPr>
              <w:t xml:space="preserve"> relating to the </w:t>
            </w:r>
            <w:r w:rsidRPr="000A1CAB">
              <w:rPr>
                <w:rFonts w:cs="Arial"/>
                <w:b/>
                <w:lang w:eastAsia="en-NZ"/>
              </w:rPr>
              <w:t>RAB</w:t>
            </w:r>
            <w:r w:rsidRPr="000A1CAB">
              <w:rPr>
                <w:rFonts w:cs="Arial"/>
                <w:lang w:eastAsia="en-NZ"/>
              </w:rPr>
              <w:t>; and</w:t>
            </w:r>
          </w:p>
          <w:p w:rsidR="00377CB6" w:rsidRPr="000A1CAB" w:rsidRDefault="00377CB6" w:rsidP="00AE0D10">
            <w:pPr>
              <w:spacing w:line="264" w:lineRule="auto"/>
              <w:ind w:left="884" w:hanging="425"/>
              <w:rPr>
                <w:rFonts w:cs="Arial"/>
                <w:lang w:eastAsia="en-NZ"/>
              </w:rPr>
            </w:pPr>
            <w:r w:rsidRPr="000A1CAB">
              <w:rPr>
                <w:rFonts w:cs="Arial"/>
                <w:lang w:eastAsia="en-NZ"/>
              </w:rPr>
              <w:t xml:space="preserve">(iii) </w:t>
            </w:r>
            <w:r w:rsidR="00DE6E39" w:rsidRPr="000A1CAB">
              <w:rPr>
                <w:rFonts w:cs="Arial"/>
                <w:lang w:eastAsia="en-NZ"/>
              </w:rPr>
              <w:tab/>
            </w:r>
            <w:r w:rsidRPr="000A1CAB">
              <w:rPr>
                <w:rFonts w:cs="Arial"/>
                <w:lang w:eastAsia="en-NZ"/>
              </w:rPr>
              <w:t xml:space="preserve">that are as a result of </w:t>
            </w:r>
            <w:r w:rsidRPr="000A1CAB">
              <w:rPr>
                <w:rFonts w:cs="Arial"/>
                <w:b/>
                <w:lang w:eastAsia="en-NZ"/>
              </w:rPr>
              <w:t>related party transactions</w:t>
            </w:r>
            <w:r w:rsidRPr="000A1CAB">
              <w:rPr>
                <w:rFonts w:cs="Arial"/>
                <w:lang w:eastAsia="en-NZ"/>
              </w:rPr>
              <w:t>;</w:t>
            </w:r>
          </w:p>
          <w:p w:rsidR="005F2584" w:rsidRPr="000A1CAB" w:rsidRDefault="00377CB6" w:rsidP="00440341">
            <w:pPr>
              <w:pStyle w:val="ListParagraph"/>
              <w:numPr>
                <w:ilvl w:val="0"/>
                <w:numId w:val="18"/>
              </w:numPr>
              <w:spacing w:line="264" w:lineRule="auto"/>
              <w:ind w:left="459" w:hanging="425"/>
              <w:rPr>
                <w:rFonts w:cs="Arial"/>
                <w:lang w:eastAsia="en-NZ"/>
              </w:rPr>
            </w:pPr>
            <w:r w:rsidRPr="000A1CAB">
              <w:rPr>
                <w:rFonts w:cs="Arial"/>
                <w:lang w:eastAsia="en-NZ"/>
              </w:rPr>
              <w:t>in all other instances, costs:</w:t>
            </w:r>
          </w:p>
          <w:p w:rsidR="005F2584" w:rsidRPr="000A1CAB" w:rsidRDefault="00377CB6" w:rsidP="00440341">
            <w:pPr>
              <w:pStyle w:val="ListParagraph"/>
              <w:numPr>
                <w:ilvl w:val="1"/>
                <w:numId w:val="18"/>
              </w:numPr>
              <w:spacing w:line="264" w:lineRule="auto"/>
              <w:ind w:left="884" w:hanging="425"/>
              <w:rPr>
                <w:rFonts w:cs="Arial"/>
                <w:lang w:eastAsia="en-NZ"/>
              </w:rPr>
            </w:pPr>
            <w:r w:rsidRPr="000A1CAB">
              <w:rPr>
                <w:rFonts w:cs="Arial"/>
                <w:lang w:eastAsia="en-NZ"/>
              </w:rPr>
              <w:t xml:space="preserve">incurred or forecast to be incurred in the acquisition or development of an asset during the </w:t>
            </w:r>
            <w:r w:rsidRPr="000A1CAB">
              <w:rPr>
                <w:rFonts w:cs="Arial"/>
                <w:b/>
                <w:bCs/>
                <w:lang w:eastAsia="en-NZ"/>
              </w:rPr>
              <w:t xml:space="preserve">disclosure year </w:t>
            </w:r>
            <w:r w:rsidRPr="000A1CAB">
              <w:rPr>
                <w:rFonts w:cs="Arial"/>
                <w:lang w:eastAsia="en-NZ"/>
              </w:rPr>
              <w:t xml:space="preserve">that is, or is intended to be, </w:t>
            </w:r>
            <w:r w:rsidRPr="000A1CAB">
              <w:rPr>
                <w:rFonts w:cs="Arial"/>
                <w:b/>
                <w:bCs/>
                <w:lang w:eastAsia="en-NZ"/>
              </w:rPr>
              <w:t>commissioned</w:t>
            </w:r>
            <w:r w:rsidR="00197BFD" w:rsidRPr="000A1CAB">
              <w:rPr>
                <w:rFonts w:cs="Arial"/>
                <w:bCs/>
                <w:lang w:eastAsia="en-NZ"/>
              </w:rPr>
              <w:t>;</w:t>
            </w:r>
            <w:r w:rsidRPr="000A1CAB">
              <w:rPr>
                <w:rFonts w:cs="Arial"/>
                <w:lang w:eastAsia="en-NZ"/>
              </w:rPr>
              <w:t xml:space="preserve"> and</w:t>
            </w:r>
          </w:p>
          <w:p w:rsidR="005F2584" w:rsidRPr="000A1CAB" w:rsidRDefault="00377CB6" w:rsidP="00440341">
            <w:pPr>
              <w:pStyle w:val="ListParagraph"/>
              <w:numPr>
                <w:ilvl w:val="1"/>
                <w:numId w:val="18"/>
              </w:numPr>
              <w:spacing w:line="264" w:lineRule="auto"/>
              <w:ind w:left="884" w:hanging="425"/>
              <w:rPr>
                <w:rFonts w:cs="Arial"/>
                <w:lang w:eastAsia="en-NZ"/>
              </w:rPr>
            </w:pPr>
            <w:r w:rsidRPr="000A1CAB">
              <w:rPr>
                <w:rFonts w:cs="Arial"/>
                <w:lang w:eastAsia="en-NZ"/>
              </w:rPr>
              <w:t xml:space="preserve">that are included or are intended to be included in the value of </w:t>
            </w:r>
            <w:r w:rsidRPr="000A1CAB">
              <w:rPr>
                <w:rFonts w:cs="Arial"/>
                <w:b/>
                <w:bCs/>
                <w:lang w:eastAsia="en-NZ"/>
              </w:rPr>
              <w:t>assets commissioned</w:t>
            </w:r>
            <w:r w:rsidRPr="000A1CAB">
              <w:rPr>
                <w:rFonts w:cs="Arial"/>
                <w:lang w:eastAsia="en-NZ"/>
              </w:rPr>
              <w:t xml:space="preserve"> relating to the </w:t>
            </w:r>
            <w:r w:rsidRPr="000A1CAB">
              <w:rPr>
                <w:rFonts w:cs="Arial"/>
                <w:b/>
                <w:bCs/>
                <w:lang w:eastAsia="en-NZ"/>
              </w:rPr>
              <w:t>RAB</w:t>
            </w:r>
          </w:p>
        </w:tc>
      </w:tr>
      <w:tr w:rsidR="00F823DB" w:rsidRPr="000A1CAB" w:rsidTr="00A03DC6">
        <w:tc>
          <w:tcPr>
            <w:tcW w:w="3510" w:type="dxa"/>
          </w:tcPr>
          <w:p w:rsidR="00F823DB" w:rsidRPr="000A1CAB" w:rsidRDefault="00F823DB" w:rsidP="00AE0D10">
            <w:pPr>
              <w:pStyle w:val="BodyText"/>
              <w:spacing w:line="264" w:lineRule="auto"/>
              <w:rPr>
                <w:rFonts w:cs="Arial"/>
                <w:b/>
                <w:bCs/>
                <w:lang w:eastAsia="en-NZ"/>
              </w:rPr>
            </w:pPr>
            <w:r w:rsidRPr="000A1CAB">
              <w:rPr>
                <w:rFonts w:cs="Arial"/>
                <w:b/>
                <w:bCs/>
                <w:lang w:eastAsia="en-NZ"/>
              </w:rPr>
              <w:t>Commencement date</w:t>
            </w:r>
          </w:p>
        </w:tc>
        <w:tc>
          <w:tcPr>
            <w:tcW w:w="4882" w:type="dxa"/>
          </w:tcPr>
          <w:p w:rsidR="00F823DB" w:rsidRPr="000A1CAB" w:rsidRDefault="00F823DB" w:rsidP="00241494">
            <w:pPr>
              <w:tabs>
                <w:tab w:val="left" w:pos="4045"/>
              </w:tabs>
              <w:spacing w:line="264" w:lineRule="auto"/>
              <w:ind w:left="34"/>
              <w:rPr>
                <w:rFonts w:cs="Arial"/>
                <w:lang w:eastAsia="en-NZ"/>
              </w:rPr>
            </w:pPr>
            <w:r w:rsidRPr="000A1CAB">
              <w:rPr>
                <w:rFonts w:cs="Arial"/>
                <w:lang w:eastAsia="en-NZ"/>
              </w:rPr>
              <w:t xml:space="preserve">means the date specified in clause </w:t>
            </w:r>
            <w:fldSimple w:instr=" REF _Ref329173799 \r \h  \* MERGEFORMAT ">
              <w:r w:rsidR="00B06C04" w:rsidRPr="00B06C04">
                <w:rPr>
                  <w:rFonts w:cs="Arial"/>
                  <w:lang w:eastAsia="en-NZ"/>
                </w:rPr>
                <w:t>1.2.1</w:t>
              </w:r>
            </w:fldSimple>
            <w:r w:rsidRPr="000A1CAB">
              <w:rPr>
                <w:rFonts w:cs="Arial"/>
                <w:lang w:eastAsia="en-NZ"/>
              </w:rPr>
              <w:t xml:space="preserve"> of this determination</w:t>
            </w:r>
          </w:p>
        </w:tc>
      </w:tr>
      <w:tr w:rsidR="00F823DB" w:rsidRPr="000A1CAB" w:rsidTr="00A03DC6">
        <w:tc>
          <w:tcPr>
            <w:tcW w:w="3510" w:type="dxa"/>
          </w:tcPr>
          <w:p w:rsidR="00F823DB" w:rsidRPr="000A1CAB" w:rsidRDefault="00F823DB" w:rsidP="00AE0D10">
            <w:pPr>
              <w:pStyle w:val="BodyText"/>
              <w:spacing w:line="264" w:lineRule="auto"/>
              <w:rPr>
                <w:rFonts w:cs="Arial"/>
                <w:b/>
                <w:bCs/>
                <w:lang w:eastAsia="en-NZ"/>
              </w:rPr>
            </w:pPr>
            <w:r w:rsidRPr="000A1CAB">
              <w:rPr>
                <w:rFonts w:cs="Arial"/>
                <w:b/>
                <w:bCs/>
                <w:lang w:eastAsia="en-NZ"/>
              </w:rPr>
              <w:t>Commission</w:t>
            </w:r>
          </w:p>
        </w:tc>
        <w:tc>
          <w:tcPr>
            <w:tcW w:w="4882" w:type="dxa"/>
          </w:tcPr>
          <w:p w:rsidR="00F823DB" w:rsidRPr="000A1CAB" w:rsidRDefault="00F823DB" w:rsidP="00602D86">
            <w:pPr>
              <w:tabs>
                <w:tab w:val="left" w:pos="4045"/>
              </w:tabs>
              <w:spacing w:line="264" w:lineRule="auto"/>
              <w:ind w:left="34"/>
              <w:rPr>
                <w:rFonts w:cs="Arial"/>
                <w:lang w:eastAsia="en-NZ"/>
              </w:rPr>
            </w:pPr>
            <w:r w:rsidRPr="000A1CAB">
              <w:rPr>
                <w:rFonts w:cs="Arial"/>
                <w:lang w:eastAsia="en-NZ"/>
              </w:rPr>
              <w:t>means the Commerce Commission</w:t>
            </w:r>
          </w:p>
        </w:tc>
      </w:tr>
      <w:tr w:rsidR="00F823DB" w:rsidRPr="000A1CAB" w:rsidTr="00A03DC6">
        <w:tc>
          <w:tcPr>
            <w:tcW w:w="3510" w:type="dxa"/>
          </w:tcPr>
          <w:p w:rsidR="00F823DB" w:rsidRPr="000A1CAB" w:rsidRDefault="00F823DB" w:rsidP="00AE0D10">
            <w:pPr>
              <w:pStyle w:val="BodyText"/>
              <w:spacing w:line="264" w:lineRule="auto"/>
              <w:rPr>
                <w:rFonts w:cs="Arial"/>
                <w:b/>
                <w:bCs/>
                <w:lang w:eastAsia="en-NZ"/>
              </w:rPr>
            </w:pPr>
            <w:r w:rsidRPr="000A1CAB">
              <w:rPr>
                <w:rFonts w:cs="Arial"/>
                <w:b/>
                <w:bCs/>
                <w:lang w:eastAsia="en-NZ"/>
              </w:rPr>
              <w:t>Commissioned</w:t>
            </w:r>
          </w:p>
        </w:tc>
        <w:tc>
          <w:tcPr>
            <w:tcW w:w="4882" w:type="dxa"/>
          </w:tcPr>
          <w:p w:rsidR="00F823DB" w:rsidRPr="000A1CAB" w:rsidRDefault="00F823DB" w:rsidP="00AE0D10">
            <w:pPr>
              <w:tabs>
                <w:tab w:val="left" w:pos="4045"/>
              </w:tabs>
              <w:spacing w:line="264" w:lineRule="auto"/>
              <w:ind w:left="34"/>
              <w:rPr>
                <w:rFonts w:cs="Arial"/>
                <w:lang w:eastAsia="en-NZ"/>
              </w:rPr>
            </w:pPr>
            <w:r w:rsidRPr="000A1CAB">
              <w:rPr>
                <w:rFonts w:cs="Arial"/>
                <w:lang w:eastAsia="en-NZ"/>
              </w:rPr>
              <w:t xml:space="preserve">has the meaning set out in the </w:t>
            </w:r>
            <w:r w:rsidRPr="000A1CAB">
              <w:rPr>
                <w:rFonts w:cs="Arial"/>
                <w:b/>
                <w:bCs/>
                <w:lang w:eastAsia="en-NZ"/>
              </w:rPr>
              <w:t>IM determination</w:t>
            </w:r>
          </w:p>
        </w:tc>
      </w:tr>
      <w:tr w:rsidR="00F823DB" w:rsidRPr="000A1CAB" w:rsidTr="008B1098">
        <w:tc>
          <w:tcPr>
            <w:tcW w:w="3510" w:type="dxa"/>
          </w:tcPr>
          <w:p w:rsidR="00F823DB" w:rsidRPr="000A1CAB" w:rsidRDefault="00F823DB" w:rsidP="00AE0D10">
            <w:pPr>
              <w:pStyle w:val="BodyText"/>
              <w:spacing w:line="264" w:lineRule="auto"/>
              <w:rPr>
                <w:rFonts w:cs="Arial"/>
                <w:b/>
                <w:bCs/>
                <w:lang w:eastAsia="en-NZ"/>
              </w:rPr>
            </w:pPr>
            <w:r w:rsidRPr="000A1CAB">
              <w:rPr>
                <w:rStyle w:val="Emphasis-Bold"/>
              </w:rPr>
              <w:t>Compressors</w:t>
            </w:r>
          </w:p>
        </w:tc>
        <w:tc>
          <w:tcPr>
            <w:tcW w:w="4882" w:type="dxa"/>
          </w:tcPr>
          <w:p w:rsidR="00F823DB" w:rsidRPr="000A1CAB" w:rsidRDefault="00F823DB" w:rsidP="00602D86">
            <w:pPr>
              <w:tabs>
                <w:tab w:val="left" w:pos="4045"/>
              </w:tabs>
              <w:spacing w:line="264" w:lineRule="auto"/>
              <w:rPr>
                <w:rFonts w:cs="Arial"/>
                <w:lang w:eastAsia="en-NZ"/>
              </w:rPr>
            </w:pPr>
            <w:r w:rsidRPr="000A1CAB">
              <w:rPr>
                <w:color w:val="000000"/>
                <w:lang w:val="en-US"/>
              </w:rPr>
              <w:t>means [TBC by technical consultation]</w:t>
            </w:r>
          </w:p>
        </w:tc>
      </w:tr>
      <w:tr w:rsidR="002C3815" w:rsidRPr="000A1CAB" w:rsidTr="008B1098">
        <w:tc>
          <w:tcPr>
            <w:tcW w:w="3510" w:type="dxa"/>
          </w:tcPr>
          <w:p w:rsidR="002C3815" w:rsidRPr="000A1CAB" w:rsidRDefault="002C3815" w:rsidP="00AE0D10">
            <w:pPr>
              <w:pStyle w:val="BodyText"/>
              <w:spacing w:line="264" w:lineRule="auto"/>
              <w:rPr>
                <w:rFonts w:cs="Arial"/>
                <w:b/>
                <w:bCs/>
                <w:lang w:eastAsia="en-NZ"/>
              </w:rPr>
            </w:pPr>
            <w:r w:rsidRPr="000A1CAB">
              <w:rPr>
                <w:rStyle w:val="Emphasis-Bold"/>
              </w:rPr>
              <w:t>Compressor stations</w:t>
            </w:r>
          </w:p>
        </w:tc>
        <w:tc>
          <w:tcPr>
            <w:tcW w:w="4882" w:type="dxa"/>
          </w:tcPr>
          <w:p w:rsidR="002C3815" w:rsidRPr="000A1CAB" w:rsidRDefault="002C3815" w:rsidP="005A23C3">
            <w:pPr>
              <w:pStyle w:val="BodyText"/>
              <w:rPr>
                <w:lang w:val="en-AU"/>
              </w:rPr>
            </w:pPr>
            <w:r w:rsidRPr="000A1CAB">
              <w:rPr>
                <w:lang w:val="en-AU"/>
              </w:rPr>
              <w:t xml:space="preserve">means a </w:t>
            </w:r>
            <w:r w:rsidRPr="000A1CAB">
              <w:rPr>
                <w:b/>
                <w:lang w:val="en-AU"/>
              </w:rPr>
              <w:t xml:space="preserve">station </w:t>
            </w:r>
            <w:r w:rsidRPr="000A1CAB">
              <w:rPr>
                <w:lang w:val="en-AU"/>
              </w:rPr>
              <w:t xml:space="preserve">where a compressor is used to increase the pressure of gas flowing in the </w:t>
            </w:r>
            <w:r w:rsidRPr="000A1CAB">
              <w:rPr>
                <w:b/>
                <w:lang w:val="en-AU"/>
              </w:rPr>
              <w:t>pipe</w:t>
            </w:r>
          </w:p>
        </w:tc>
      </w:tr>
      <w:tr w:rsidR="00F823DB" w:rsidRPr="000A1CAB" w:rsidTr="008B1098">
        <w:tc>
          <w:tcPr>
            <w:tcW w:w="3510" w:type="dxa"/>
          </w:tcPr>
          <w:p w:rsidR="00F823DB" w:rsidRPr="000A1CAB" w:rsidRDefault="00F823DB" w:rsidP="00241494">
            <w:pPr>
              <w:pStyle w:val="Clausetextunnumbered"/>
              <w:rPr>
                <w:rStyle w:val="Emphasis-Bold"/>
                <w:b w:val="0"/>
                <w:bCs w:val="0"/>
                <w:sz w:val="24"/>
                <w:szCs w:val="24"/>
              </w:rPr>
            </w:pPr>
            <w:r w:rsidRPr="000A1CAB">
              <w:rPr>
                <w:rStyle w:val="Emphasis-Bold"/>
                <w:sz w:val="24"/>
                <w:szCs w:val="24"/>
              </w:rPr>
              <w:t>Connection point</w:t>
            </w:r>
            <w:r w:rsidRPr="000A1CAB">
              <w:rPr>
                <w:sz w:val="24"/>
                <w:szCs w:val="24"/>
              </w:rPr>
              <w:t xml:space="preserve"> </w:t>
            </w:r>
          </w:p>
        </w:tc>
        <w:tc>
          <w:tcPr>
            <w:tcW w:w="4882" w:type="dxa"/>
          </w:tcPr>
          <w:p w:rsidR="00F823DB" w:rsidRPr="000A1CAB" w:rsidRDefault="00F823DB" w:rsidP="00AE0D10">
            <w:pPr>
              <w:tabs>
                <w:tab w:val="left" w:pos="4045"/>
              </w:tabs>
              <w:spacing w:line="264" w:lineRule="auto"/>
              <w:rPr>
                <w:rFonts w:cs="Arial"/>
                <w:lang w:eastAsia="en-NZ"/>
              </w:rPr>
            </w:pPr>
            <w:r w:rsidRPr="000A1CAB">
              <w:rPr>
                <w:rFonts w:cs="Arial"/>
                <w:lang w:eastAsia="en-NZ"/>
              </w:rPr>
              <w:t>means a welded connection</w:t>
            </w:r>
          </w:p>
        </w:tc>
      </w:tr>
      <w:tr w:rsidR="00F823DB" w:rsidRPr="000A1CAB" w:rsidTr="00A03DC6">
        <w:tc>
          <w:tcPr>
            <w:tcW w:w="3510" w:type="dxa"/>
          </w:tcPr>
          <w:p w:rsidR="00F823DB" w:rsidRPr="000A1CAB" w:rsidRDefault="00F823DB" w:rsidP="00AE0D10">
            <w:pPr>
              <w:pStyle w:val="BodyText"/>
              <w:spacing w:line="264" w:lineRule="auto"/>
              <w:rPr>
                <w:rFonts w:cs="Arial"/>
                <w:b/>
                <w:bCs/>
                <w:lang w:eastAsia="en-NZ"/>
              </w:rPr>
            </w:pPr>
            <w:r w:rsidRPr="000A1CAB">
              <w:rPr>
                <w:b/>
                <w:bCs/>
              </w:rPr>
              <w:t>Consumer</w:t>
            </w:r>
          </w:p>
        </w:tc>
        <w:tc>
          <w:tcPr>
            <w:tcW w:w="4882" w:type="dxa"/>
          </w:tcPr>
          <w:p w:rsidR="00F823DB" w:rsidRPr="000A1CAB" w:rsidRDefault="00F823DB" w:rsidP="00AD73AE">
            <w:pPr>
              <w:tabs>
                <w:tab w:val="left" w:pos="4045"/>
              </w:tabs>
              <w:spacing w:line="264" w:lineRule="auto"/>
              <w:ind w:left="34"/>
              <w:rPr>
                <w:rFonts w:cs="Arial"/>
                <w:lang w:eastAsia="en-NZ"/>
              </w:rPr>
            </w:pPr>
            <w:r w:rsidRPr="000A1CAB">
              <w:t>means a person that consumes or acquires gas transmission services</w:t>
            </w:r>
          </w:p>
        </w:tc>
      </w:tr>
      <w:tr w:rsidR="00F823DB" w:rsidRPr="000A1CAB" w:rsidTr="00A03DC6">
        <w:tc>
          <w:tcPr>
            <w:tcW w:w="3510" w:type="dxa"/>
          </w:tcPr>
          <w:p w:rsidR="00F823DB" w:rsidRPr="000A1CAB" w:rsidRDefault="00F823DB" w:rsidP="00AE0D10">
            <w:pPr>
              <w:pStyle w:val="BodyText"/>
              <w:spacing w:line="264" w:lineRule="auto"/>
              <w:rPr>
                <w:b/>
                <w:bCs/>
              </w:rPr>
            </w:pPr>
            <w:r w:rsidRPr="000A1CAB">
              <w:rPr>
                <w:b/>
                <w:bCs/>
              </w:rPr>
              <w:t>Consumer group</w:t>
            </w:r>
          </w:p>
        </w:tc>
        <w:tc>
          <w:tcPr>
            <w:tcW w:w="4882" w:type="dxa"/>
          </w:tcPr>
          <w:p w:rsidR="00F823DB" w:rsidRPr="000A1CAB" w:rsidRDefault="00F823DB" w:rsidP="0043525C">
            <w:pPr>
              <w:rPr>
                <w:rFonts w:cs="Arial"/>
                <w:lang w:eastAsia="en-NZ"/>
              </w:rPr>
            </w:pPr>
            <w:r w:rsidRPr="000A1CAB">
              <w:t xml:space="preserve">means the category of </w:t>
            </w:r>
            <w:r w:rsidRPr="000A1CAB">
              <w:rPr>
                <w:b/>
                <w:bCs/>
              </w:rPr>
              <w:t>consumer</w:t>
            </w:r>
            <w:r w:rsidR="00F278A4" w:rsidRPr="000A1CAB">
              <w:rPr>
                <w:b/>
                <w:bCs/>
              </w:rPr>
              <w:t>s</w:t>
            </w:r>
            <w:r w:rsidRPr="000A1CAB">
              <w:t xml:space="preserve"> used by the </w:t>
            </w:r>
            <w:r w:rsidRPr="000A1CAB">
              <w:rPr>
                <w:b/>
              </w:rPr>
              <w:t xml:space="preserve">GTB </w:t>
            </w:r>
            <w:r w:rsidRPr="000A1CAB">
              <w:t xml:space="preserve">for the purposes of setting </w:t>
            </w:r>
            <w:r w:rsidRPr="000A1CAB">
              <w:rPr>
                <w:b/>
              </w:rPr>
              <w:t>prices</w:t>
            </w:r>
            <w:r w:rsidRPr="000A1CAB">
              <w:t xml:space="preserve"> </w:t>
            </w:r>
          </w:p>
        </w:tc>
      </w:tr>
      <w:tr w:rsidR="00F823DB" w:rsidRPr="000A1CAB" w:rsidTr="00A03DC6">
        <w:tc>
          <w:tcPr>
            <w:tcW w:w="3510" w:type="dxa"/>
          </w:tcPr>
          <w:p w:rsidR="00F823DB" w:rsidRPr="000A1CAB" w:rsidRDefault="00F823DB" w:rsidP="00AE0D10">
            <w:pPr>
              <w:pStyle w:val="BodyText"/>
              <w:spacing w:line="264" w:lineRule="auto"/>
              <w:rPr>
                <w:rFonts w:cs="Arial"/>
                <w:b/>
                <w:bCs/>
                <w:lang w:eastAsia="en-NZ"/>
              </w:rPr>
            </w:pPr>
            <w:r w:rsidRPr="000A1CAB">
              <w:rPr>
                <w:rFonts w:cs="Arial"/>
                <w:b/>
                <w:bCs/>
                <w:lang w:eastAsia="en-NZ"/>
              </w:rPr>
              <w:t>Contract</w:t>
            </w:r>
          </w:p>
        </w:tc>
        <w:tc>
          <w:tcPr>
            <w:tcW w:w="4882" w:type="dxa"/>
          </w:tcPr>
          <w:p w:rsidR="00F823DB" w:rsidRPr="000A1CAB" w:rsidRDefault="00F823DB" w:rsidP="0043525C">
            <w:pPr>
              <w:tabs>
                <w:tab w:val="left" w:pos="4045"/>
              </w:tabs>
              <w:spacing w:line="264" w:lineRule="auto"/>
              <w:ind w:left="34"/>
              <w:rPr>
                <w:rFonts w:cs="Arial"/>
                <w:lang w:eastAsia="en-NZ"/>
              </w:rPr>
            </w:pPr>
            <w:r w:rsidRPr="000A1CAB">
              <w:rPr>
                <w:rFonts w:cs="Arial"/>
                <w:lang w:eastAsia="en-NZ"/>
              </w:rPr>
              <w:t>means a contract for the supply of goods or services (or both) whether or not the contract, or any part of the contract, is in writing and, for the avoidance of doubt, includes-</w:t>
            </w:r>
          </w:p>
          <w:p w:rsidR="00F823DB" w:rsidRPr="000A1CAB" w:rsidRDefault="00F823DB" w:rsidP="00440341">
            <w:pPr>
              <w:pStyle w:val="ListParagraph"/>
              <w:numPr>
                <w:ilvl w:val="0"/>
                <w:numId w:val="38"/>
              </w:numPr>
              <w:tabs>
                <w:tab w:val="left" w:pos="4045"/>
              </w:tabs>
              <w:spacing w:line="264" w:lineRule="auto"/>
              <w:rPr>
                <w:rFonts w:cs="Arial"/>
                <w:lang w:eastAsia="en-NZ"/>
              </w:rPr>
            </w:pPr>
            <w:r w:rsidRPr="000A1CAB">
              <w:rPr>
                <w:rFonts w:cs="Arial"/>
                <w:lang w:eastAsia="en-NZ"/>
              </w:rPr>
              <w:t>a contract under which goods or services (or both) are being supplied, although some or all of the terms and conditions in relation to the supply of those goods or services have not been settled; and</w:t>
            </w:r>
          </w:p>
          <w:p w:rsidR="00F823DB" w:rsidRPr="000A1CAB" w:rsidRDefault="00F823DB" w:rsidP="00440341">
            <w:pPr>
              <w:pStyle w:val="ListParagraph"/>
              <w:numPr>
                <w:ilvl w:val="0"/>
                <w:numId w:val="38"/>
              </w:numPr>
              <w:tabs>
                <w:tab w:val="left" w:pos="4045"/>
              </w:tabs>
              <w:spacing w:line="264" w:lineRule="auto"/>
              <w:rPr>
                <w:rFonts w:cs="Arial"/>
                <w:lang w:eastAsia="en-NZ"/>
              </w:rPr>
            </w:pPr>
            <w:r w:rsidRPr="000A1CAB">
              <w:rPr>
                <w:rFonts w:cs="Arial"/>
                <w:lang w:eastAsia="en-NZ"/>
              </w:rPr>
              <w:t>any operating agreement, side letter, or documentation that influences, adjusts or amends the terms and conditions of the contract</w:t>
            </w:r>
          </w:p>
        </w:tc>
      </w:tr>
      <w:tr w:rsidR="002C3815" w:rsidRPr="000A1CAB" w:rsidTr="00A03DC6">
        <w:tc>
          <w:tcPr>
            <w:tcW w:w="3510" w:type="dxa"/>
          </w:tcPr>
          <w:p w:rsidR="002C3815" w:rsidRPr="000A1CAB" w:rsidRDefault="002C3815" w:rsidP="00AE0D10">
            <w:pPr>
              <w:pStyle w:val="BodyText"/>
              <w:spacing w:line="264" w:lineRule="auto"/>
              <w:rPr>
                <w:rFonts w:cs="Arial"/>
                <w:b/>
                <w:bCs/>
                <w:lang w:eastAsia="en-NZ"/>
              </w:rPr>
            </w:pPr>
            <w:r w:rsidRPr="000A1CAB">
              <w:rPr>
                <w:rFonts w:cs="Arial"/>
                <w:b/>
                <w:bCs/>
                <w:lang w:eastAsia="en-NZ"/>
              </w:rPr>
              <w:t>Customer connection</w:t>
            </w:r>
          </w:p>
        </w:tc>
        <w:tc>
          <w:tcPr>
            <w:tcW w:w="4882" w:type="dxa"/>
          </w:tcPr>
          <w:p w:rsidR="002C3815" w:rsidRPr="000A1CAB" w:rsidRDefault="002C3815" w:rsidP="005A23C3">
            <w:pPr>
              <w:pStyle w:val="BodyText"/>
            </w:pPr>
            <w:r w:rsidRPr="000A1CAB">
              <w:t xml:space="preserve">In relation to expenditure, means </w:t>
            </w:r>
            <w:r w:rsidRPr="000A1CAB">
              <w:rPr>
                <w:b/>
              </w:rPr>
              <w:t>gross capital expenditure</w:t>
            </w:r>
            <w:r w:rsidRPr="000A1CAB">
              <w:t xml:space="preserve"> where the primary driver is the establishment of a new customer connection point or alterations to an existing customer connection point. This expenditure category includes </w:t>
            </w:r>
            <w:r w:rsidRPr="000A1CAB">
              <w:rPr>
                <w:b/>
              </w:rPr>
              <w:t>gross capital expenditure</w:t>
            </w:r>
            <w:r w:rsidRPr="000A1CAB">
              <w:t xml:space="preserve"> relating to: </w:t>
            </w:r>
          </w:p>
          <w:p w:rsidR="002C3815" w:rsidRPr="000A1CAB" w:rsidRDefault="002C3815" w:rsidP="002C3815">
            <w:pPr>
              <w:pStyle w:val="Tablebullet"/>
              <w:numPr>
                <w:ilvl w:val="0"/>
                <w:numId w:val="63"/>
              </w:numPr>
              <w:spacing w:after="120"/>
              <w:rPr>
                <w:szCs w:val="24"/>
              </w:rPr>
            </w:pPr>
            <w:r w:rsidRPr="000A1CAB">
              <w:rPr>
                <w:szCs w:val="24"/>
              </w:rPr>
              <w:t xml:space="preserve">connection assets and/or parts of the </w:t>
            </w:r>
            <w:r w:rsidRPr="000A1CAB">
              <w:rPr>
                <w:bCs/>
                <w:szCs w:val="24"/>
              </w:rPr>
              <w:t>network</w:t>
            </w:r>
            <w:r w:rsidRPr="000A1CAB">
              <w:rPr>
                <w:szCs w:val="24"/>
              </w:rPr>
              <w:t xml:space="preserve"> for which the expenditure is recoverable in total, or in part, by a contribution from the customer requesting the new or altered connection point; and</w:t>
            </w:r>
          </w:p>
          <w:p w:rsidR="002C3815" w:rsidRPr="000A1CAB" w:rsidRDefault="002C3815" w:rsidP="002C3815">
            <w:pPr>
              <w:pStyle w:val="Tablebullet"/>
              <w:numPr>
                <w:ilvl w:val="0"/>
                <w:numId w:val="63"/>
              </w:numPr>
              <w:spacing w:after="120"/>
              <w:rPr>
                <w:szCs w:val="24"/>
              </w:rPr>
            </w:pPr>
            <w:proofErr w:type="gramStart"/>
            <w:r w:rsidRPr="000A1CAB">
              <w:rPr>
                <w:szCs w:val="24"/>
              </w:rPr>
              <w:t>both</w:t>
            </w:r>
            <w:proofErr w:type="gramEnd"/>
            <w:r w:rsidRPr="000A1CAB">
              <w:rPr>
                <w:szCs w:val="24"/>
              </w:rPr>
              <w:t xml:space="preserve"> gas injection and </w:t>
            </w:r>
            <w:proofErr w:type="spellStart"/>
            <w:r w:rsidRPr="000A1CAB">
              <w:rPr>
                <w:szCs w:val="24"/>
              </w:rPr>
              <w:t>offtake</w:t>
            </w:r>
            <w:proofErr w:type="spellEnd"/>
            <w:r w:rsidRPr="000A1CAB">
              <w:rPr>
                <w:szCs w:val="24"/>
              </w:rPr>
              <w:t xml:space="preserve"> points of connection.</w:t>
            </w:r>
          </w:p>
        </w:tc>
      </w:tr>
      <w:tr w:rsidR="00F823DB" w:rsidRPr="000A1CAB" w:rsidTr="00A03DC6">
        <w:tc>
          <w:tcPr>
            <w:tcW w:w="3510" w:type="dxa"/>
          </w:tcPr>
          <w:p w:rsidR="00F823DB" w:rsidRPr="000A1CAB" w:rsidRDefault="00F823DB" w:rsidP="00AE0D10">
            <w:pPr>
              <w:pStyle w:val="BodyText"/>
              <w:spacing w:line="264" w:lineRule="auto"/>
              <w:rPr>
                <w:rFonts w:cs="Arial"/>
                <w:b/>
                <w:bCs/>
                <w:lang w:eastAsia="en-NZ"/>
              </w:rPr>
            </w:pPr>
            <w:r w:rsidRPr="000A1CAB">
              <w:rPr>
                <w:rFonts w:cs="Arial"/>
                <w:b/>
                <w:bCs/>
                <w:lang w:eastAsia="en-NZ"/>
              </w:rPr>
              <w:t>CY, CY-X or CY+X</w:t>
            </w:r>
          </w:p>
        </w:tc>
        <w:tc>
          <w:tcPr>
            <w:tcW w:w="4882" w:type="dxa"/>
          </w:tcPr>
          <w:p w:rsidR="00F823DB" w:rsidRPr="000A1CAB" w:rsidRDefault="00F823DB" w:rsidP="00AE0D10">
            <w:pPr>
              <w:tabs>
                <w:tab w:val="left" w:pos="4045"/>
              </w:tabs>
              <w:spacing w:line="264" w:lineRule="auto"/>
              <w:ind w:left="459" w:hanging="459"/>
              <w:rPr>
                <w:rFonts w:cs="Arial"/>
                <w:lang w:eastAsia="en-NZ"/>
              </w:rPr>
            </w:pPr>
            <w:r w:rsidRPr="000A1CAB">
              <w:rPr>
                <w:rFonts w:cs="Arial"/>
                <w:lang w:eastAsia="en-NZ"/>
              </w:rPr>
              <w:t>means</w:t>
            </w:r>
          </w:p>
          <w:p w:rsidR="00F823DB" w:rsidRPr="000A1CAB" w:rsidRDefault="00F823DB" w:rsidP="00AE0D10">
            <w:pPr>
              <w:tabs>
                <w:tab w:val="left" w:pos="4045"/>
              </w:tabs>
              <w:spacing w:line="264" w:lineRule="auto"/>
              <w:ind w:left="459" w:hanging="459"/>
              <w:rPr>
                <w:rFonts w:cs="Arial"/>
                <w:lang w:eastAsia="en-NZ"/>
              </w:rPr>
            </w:pPr>
            <w:r w:rsidRPr="000A1CAB">
              <w:rPr>
                <w:rFonts w:cs="Arial"/>
                <w:lang w:eastAsia="en-NZ"/>
              </w:rPr>
              <w:t>(a)</w:t>
            </w:r>
            <w:r w:rsidRPr="000A1CAB">
              <w:rPr>
                <w:rFonts w:cs="Arial"/>
                <w:lang w:eastAsia="en-NZ"/>
              </w:rPr>
              <w:tab/>
              <w:t xml:space="preserve">the </w:t>
            </w:r>
            <w:r w:rsidRPr="000A1CAB">
              <w:rPr>
                <w:rFonts w:cs="Arial"/>
                <w:b/>
                <w:bCs/>
                <w:lang w:eastAsia="en-NZ"/>
              </w:rPr>
              <w:t>disclosure year</w:t>
            </w:r>
            <w:r w:rsidRPr="000A1CAB">
              <w:rPr>
                <w:rFonts w:cs="Arial"/>
                <w:lang w:eastAsia="en-NZ"/>
              </w:rPr>
              <w:t xml:space="preserve"> or</w:t>
            </w:r>
          </w:p>
          <w:p w:rsidR="00F823DB" w:rsidRPr="000A1CAB" w:rsidRDefault="00F823DB" w:rsidP="00AE0D10">
            <w:pPr>
              <w:tabs>
                <w:tab w:val="left" w:pos="4045"/>
              </w:tabs>
              <w:spacing w:line="264" w:lineRule="auto"/>
              <w:ind w:left="459" w:hanging="459"/>
              <w:rPr>
                <w:rFonts w:cs="Arial"/>
                <w:lang w:eastAsia="en-NZ"/>
              </w:rPr>
            </w:pPr>
            <w:r w:rsidRPr="000A1CAB">
              <w:rPr>
                <w:rFonts w:cs="Arial"/>
                <w:lang w:eastAsia="en-NZ"/>
              </w:rPr>
              <w:t>(b)</w:t>
            </w:r>
            <w:r w:rsidRPr="000A1CAB">
              <w:rPr>
                <w:rFonts w:cs="Arial"/>
                <w:lang w:eastAsia="en-NZ"/>
              </w:rPr>
              <w:tab/>
              <w:t xml:space="preserve">where a '-' precedes 'X', the </w:t>
            </w:r>
            <w:proofErr w:type="spellStart"/>
            <w:r w:rsidRPr="000A1CAB">
              <w:rPr>
                <w:rFonts w:cs="Arial"/>
                <w:lang w:eastAsia="en-NZ"/>
              </w:rPr>
              <w:t>Xth</w:t>
            </w:r>
            <w:proofErr w:type="spellEnd"/>
            <w:r w:rsidRPr="000A1CAB">
              <w:rPr>
                <w:rFonts w:cs="Arial"/>
                <w:lang w:eastAsia="en-NZ"/>
              </w:rPr>
              <w:t xml:space="preserve"> year preceding the</w:t>
            </w:r>
            <w:r w:rsidRPr="000A1CAB">
              <w:rPr>
                <w:rFonts w:cs="Arial"/>
                <w:b/>
                <w:bCs/>
                <w:lang w:eastAsia="en-NZ"/>
              </w:rPr>
              <w:t xml:space="preserve"> disclosure year</w:t>
            </w:r>
            <w:r w:rsidRPr="000A1CAB">
              <w:rPr>
                <w:rFonts w:cs="Arial"/>
                <w:lang w:eastAsia="en-NZ"/>
              </w:rPr>
              <w:t xml:space="preserve"> or</w:t>
            </w:r>
          </w:p>
          <w:p w:rsidR="00F823DB" w:rsidRPr="000A1CAB" w:rsidRDefault="00F823DB" w:rsidP="002F7192">
            <w:pPr>
              <w:tabs>
                <w:tab w:val="left" w:pos="4045"/>
              </w:tabs>
              <w:spacing w:line="264" w:lineRule="auto"/>
              <w:ind w:left="459" w:hanging="459"/>
            </w:pPr>
            <w:r w:rsidRPr="000A1CAB">
              <w:rPr>
                <w:rFonts w:cs="Arial"/>
                <w:lang w:eastAsia="en-NZ"/>
              </w:rPr>
              <w:t>(c)</w:t>
            </w:r>
            <w:r w:rsidRPr="000A1CAB">
              <w:rPr>
                <w:rFonts w:cs="Arial"/>
                <w:lang w:eastAsia="en-NZ"/>
              </w:rPr>
              <w:tab/>
              <w:t xml:space="preserve">where a '+' precedes the 'X', the </w:t>
            </w:r>
            <w:proofErr w:type="spellStart"/>
            <w:r w:rsidRPr="000A1CAB">
              <w:rPr>
                <w:rFonts w:cs="Arial"/>
                <w:lang w:eastAsia="en-NZ"/>
              </w:rPr>
              <w:t>Xth</w:t>
            </w:r>
            <w:proofErr w:type="spellEnd"/>
            <w:r w:rsidRPr="000A1CAB">
              <w:rPr>
                <w:rFonts w:cs="Arial"/>
                <w:lang w:eastAsia="en-NZ"/>
              </w:rPr>
              <w:t xml:space="preserve"> year following the </w:t>
            </w:r>
            <w:r w:rsidRPr="000A1CAB">
              <w:rPr>
                <w:rFonts w:cs="Arial"/>
                <w:b/>
                <w:bCs/>
                <w:lang w:eastAsia="en-NZ"/>
              </w:rPr>
              <w:t>disclosure year</w:t>
            </w:r>
          </w:p>
        </w:tc>
      </w:tr>
    </w:tbl>
    <w:p w:rsidR="003E69C4" w:rsidRPr="006441E4" w:rsidRDefault="003E69C4" w:rsidP="00AE0D10">
      <w:pPr>
        <w:pStyle w:val="Heading2"/>
        <w:spacing w:before="240" w:after="240" w:line="264" w:lineRule="auto"/>
        <w:jc w:val="center"/>
        <w:rPr>
          <w:lang w:eastAsia="en-GB"/>
        </w:rPr>
      </w:pPr>
      <w:r w:rsidRPr="006441E4">
        <w:rPr>
          <w:lang w:eastAsia="en-GB"/>
        </w:rPr>
        <w:t>D</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96387E" w:rsidRPr="000A1CAB" w:rsidTr="00A03DC6">
        <w:tc>
          <w:tcPr>
            <w:tcW w:w="3510" w:type="dxa"/>
          </w:tcPr>
          <w:p w:rsidR="0096387E" w:rsidRPr="000A1CAB" w:rsidRDefault="0096387E" w:rsidP="00AE0D10">
            <w:pPr>
              <w:pStyle w:val="BodyText"/>
              <w:spacing w:line="264" w:lineRule="auto"/>
              <w:rPr>
                <w:rFonts w:cs="Arial"/>
                <w:b/>
                <w:bCs/>
                <w:lang w:eastAsia="en-NZ"/>
              </w:rPr>
            </w:pPr>
            <w:r w:rsidRPr="000A1CAB">
              <w:rPr>
                <w:b/>
              </w:rPr>
              <w:t>Direct billing</w:t>
            </w:r>
          </w:p>
        </w:tc>
        <w:tc>
          <w:tcPr>
            <w:tcW w:w="4882" w:type="dxa"/>
          </w:tcPr>
          <w:p w:rsidR="0096387E" w:rsidRPr="000A1CAB" w:rsidRDefault="0096387E" w:rsidP="004D1973">
            <w:pPr>
              <w:pStyle w:val="BodyText"/>
            </w:pPr>
            <w:proofErr w:type="gramStart"/>
            <w:r w:rsidRPr="000A1CAB">
              <w:t>in</w:t>
            </w:r>
            <w:proofErr w:type="gramEnd"/>
            <w:r w:rsidRPr="000A1CAB">
              <w:t xml:space="preserve"> relation to expenditure, means </w:t>
            </w:r>
            <w:r w:rsidRPr="000A1CAB">
              <w:rPr>
                <w:b/>
              </w:rPr>
              <w:t>operational expenditure</w:t>
            </w:r>
            <w:r w:rsidRPr="000A1CAB">
              <w:t xml:space="preserve"> associated with directly billing end consumers and recovering payments due. This includes billing services, credit and debtor management, associated customer call centres, and customer account management</w:t>
            </w:r>
          </w:p>
        </w:tc>
      </w:tr>
      <w:tr w:rsidR="00F823DB" w:rsidRPr="000A1CAB" w:rsidTr="00A03DC6">
        <w:tc>
          <w:tcPr>
            <w:tcW w:w="3510" w:type="dxa"/>
          </w:tcPr>
          <w:p w:rsidR="00F823DB" w:rsidRPr="000A1CAB" w:rsidRDefault="00F823DB" w:rsidP="00AE0D10">
            <w:pPr>
              <w:pStyle w:val="BodyText"/>
              <w:spacing w:line="264" w:lineRule="auto"/>
              <w:rPr>
                <w:rFonts w:cs="Arial"/>
                <w:b/>
                <w:bCs/>
                <w:lang w:eastAsia="en-NZ"/>
              </w:rPr>
            </w:pPr>
            <w:r w:rsidRPr="000A1CAB">
              <w:rPr>
                <w:rFonts w:cs="Arial"/>
                <w:b/>
                <w:bCs/>
                <w:lang w:eastAsia="en-NZ"/>
              </w:rPr>
              <w:t>Director</w:t>
            </w:r>
          </w:p>
        </w:tc>
        <w:tc>
          <w:tcPr>
            <w:tcW w:w="4882" w:type="dxa"/>
          </w:tcPr>
          <w:p w:rsidR="00F823DB" w:rsidRPr="000A1CAB" w:rsidRDefault="00F823DB" w:rsidP="0022316F">
            <w:pPr>
              <w:tabs>
                <w:tab w:val="left" w:pos="4045"/>
              </w:tabs>
              <w:spacing w:line="264" w:lineRule="auto"/>
              <w:rPr>
                <w:rFonts w:cs="Arial"/>
                <w:lang w:eastAsia="en-NZ"/>
              </w:rPr>
            </w:pPr>
            <w:r w:rsidRPr="000A1CAB">
              <w:t xml:space="preserve">has the meaning set out in the </w:t>
            </w:r>
            <w:r w:rsidRPr="000A1CAB">
              <w:rPr>
                <w:b/>
              </w:rPr>
              <w:t>IM determination</w:t>
            </w:r>
          </w:p>
        </w:tc>
      </w:tr>
      <w:tr w:rsidR="004F46FF" w:rsidRPr="000A1CAB" w:rsidTr="00A03DC6">
        <w:tc>
          <w:tcPr>
            <w:tcW w:w="3510" w:type="dxa"/>
          </w:tcPr>
          <w:p w:rsidR="004F46FF" w:rsidRPr="000A1CAB" w:rsidRDefault="004F46FF" w:rsidP="00AE0D10">
            <w:pPr>
              <w:pStyle w:val="BodyText"/>
              <w:spacing w:line="264" w:lineRule="auto"/>
              <w:rPr>
                <w:b/>
              </w:rPr>
            </w:pPr>
            <w:r w:rsidRPr="000A1CAB">
              <w:rPr>
                <w:rFonts w:cs="Arial"/>
                <w:b/>
                <w:bCs/>
                <w:lang w:eastAsia="en-NZ"/>
              </w:rPr>
              <w:t>Directly attributable</w:t>
            </w:r>
          </w:p>
        </w:tc>
        <w:tc>
          <w:tcPr>
            <w:tcW w:w="4882" w:type="dxa"/>
          </w:tcPr>
          <w:p w:rsidR="005F2584" w:rsidRPr="000A1CAB" w:rsidRDefault="004F46FF" w:rsidP="0022316F">
            <w:pPr>
              <w:tabs>
                <w:tab w:val="left" w:pos="4045"/>
              </w:tabs>
              <w:spacing w:line="264" w:lineRule="auto"/>
            </w:pPr>
            <w:r w:rsidRPr="000A1CAB">
              <w:rPr>
                <w:rFonts w:cs="Arial"/>
                <w:lang w:eastAsia="en-NZ"/>
              </w:rPr>
              <w:t>has the meaning set out in the</w:t>
            </w:r>
            <w:r w:rsidRPr="000A1CAB">
              <w:rPr>
                <w:rFonts w:cs="Arial"/>
                <w:b/>
                <w:bCs/>
                <w:lang w:eastAsia="en-NZ"/>
              </w:rPr>
              <w:t xml:space="preserve"> IM determination</w:t>
            </w:r>
          </w:p>
        </w:tc>
      </w:tr>
      <w:tr w:rsidR="004F46FF" w:rsidRPr="000A1CAB" w:rsidTr="00A03DC6">
        <w:tc>
          <w:tcPr>
            <w:tcW w:w="3510" w:type="dxa"/>
          </w:tcPr>
          <w:p w:rsidR="004F46FF" w:rsidRPr="000A1CAB" w:rsidRDefault="004F46FF" w:rsidP="00AE0D10">
            <w:pPr>
              <w:pStyle w:val="BodyText"/>
              <w:spacing w:line="264" w:lineRule="auto"/>
              <w:rPr>
                <w:rFonts w:cs="Arial"/>
                <w:b/>
                <w:bCs/>
                <w:lang w:eastAsia="en-NZ"/>
              </w:rPr>
            </w:pPr>
            <w:r w:rsidRPr="000A1CAB">
              <w:rPr>
                <w:rFonts w:cs="Arial"/>
                <w:b/>
                <w:bCs/>
                <w:lang w:eastAsia="en-NZ"/>
              </w:rPr>
              <w:t>Disclosure year</w:t>
            </w:r>
          </w:p>
        </w:tc>
        <w:tc>
          <w:tcPr>
            <w:tcW w:w="4882" w:type="dxa"/>
          </w:tcPr>
          <w:p w:rsidR="00110F6A" w:rsidRPr="000A1CAB" w:rsidRDefault="004F46FF" w:rsidP="00031D0C">
            <w:pPr>
              <w:tabs>
                <w:tab w:val="left" w:pos="4045"/>
              </w:tabs>
              <w:spacing w:line="264" w:lineRule="auto"/>
              <w:ind w:left="34"/>
            </w:pPr>
            <w:r w:rsidRPr="000A1CAB">
              <w:t>means</w:t>
            </w:r>
          </w:p>
          <w:p w:rsidR="00110F6A" w:rsidRPr="000A1CAB" w:rsidRDefault="00DD4FBE" w:rsidP="00440341">
            <w:pPr>
              <w:pStyle w:val="BodyText"/>
              <w:numPr>
                <w:ilvl w:val="0"/>
                <w:numId w:val="21"/>
              </w:numPr>
              <w:spacing w:after="120" w:line="276" w:lineRule="auto"/>
            </w:pPr>
            <w:r w:rsidRPr="000A1CAB">
              <w:t>for Vector</w:t>
            </w:r>
            <w:r w:rsidR="00CC79EF" w:rsidRPr="000A1CAB">
              <w:t xml:space="preserve"> Limite</w:t>
            </w:r>
            <w:r w:rsidR="00842B5E" w:rsidRPr="000A1CAB">
              <w:t>d</w:t>
            </w:r>
            <w:r w:rsidRPr="000A1CAB">
              <w:t xml:space="preserve">, </w:t>
            </w:r>
            <w:r w:rsidR="004F46FF" w:rsidRPr="000A1CAB">
              <w:t xml:space="preserve">the 12 month period ending on 30 </w:t>
            </w:r>
            <w:r w:rsidRPr="000A1CAB">
              <w:t xml:space="preserve">June </w:t>
            </w:r>
            <w:r w:rsidR="004F46FF" w:rsidRPr="000A1CAB">
              <w:t xml:space="preserve">of the year the disclosure relates or if the term </w:t>
            </w:r>
            <w:r w:rsidR="00F86836" w:rsidRPr="000A1CAB">
              <w:t>disclosure year</w:t>
            </w:r>
            <w:r w:rsidR="004F46FF" w:rsidRPr="000A1CAB">
              <w:t xml:space="preserve"> is proceeded by a year, the 12 month period ended on 30 </w:t>
            </w:r>
            <w:r w:rsidRPr="000A1CAB">
              <w:t xml:space="preserve">June </w:t>
            </w:r>
            <w:r w:rsidR="004F46FF" w:rsidRPr="000A1CAB">
              <w:t>of that year</w:t>
            </w:r>
          </w:p>
          <w:p w:rsidR="00F40DAE" w:rsidRPr="000A1CAB" w:rsidRDefault="00DD4FBE" w:rsidP="00440341">
            <w:pPr>
              <w:pStyle w:val="BodyText"/>
              <w:numPr>
                <w:ilvl w:val="0"/>
                <w:numId w:val="21"/>
              </w:numPr>
              <w:spacing w:after="120" w:line="276" w:lineRule="auto"/>
              <w:rPr>
                <w:b/>
              </w:rPr>
            </w:pPr>
            <w:proofErr w:type="gramStart"/>
            <w:r w:rsidRPr="000A1CAB">
              <w:t>for</w:t>
            </w:r>
            <w:proofErr w:type="gramEnd"/>
            <w:r w:rsidRPr="000A1CAB">
              <w:t xml:space="preserve"> M</w:t>
            </w:r>
            <w:r w:rsidR="00CC79EF" w:rsidRPr="000A1CAB">
              <w:t xml:space="preserve">aui </w:t>
            </w:r>
            <w:r w:rsidRPr="000A1CAB">
              <w:t>D</w:t>
            </w:r>
            <w:r w:rsidR="00CC79EF" w:rsidRPr="000A1CAB">
              <w:t xml:space="preserve">evelopment </w:t>
            </w:r>
            <w:r w:rsidRPr="000A1CAB">
              <w:t>L</w:t>
            </w:r>
            <w:r w:rsidR="00CC79EF" w:rsidRPr="000A1CAB">
              <w:t>imited</w:t>
            </w:r>
            <w:r w:rsidRPr="000A1CAB">
              <w:t xml:space="preserve">, the 12 month period ending on 31 December of the year the disclosure relates or if the term </w:t>
            </w:r>
            <w:r w:rsidR="00F86836" w:rsidRPr="000A1CAB">
              <w:t>disclosure year</w:t>
            </w:r>
            <w:r w:rsidRPr="000A1CAB">
              <w:t xml:space="preserve"> is proceeded by a year, the 12 month period ended on 31 December of that year.</w:t>
            </w:r>
          </w:p>
        </w:tc>
      </w:tr>
      <w:tr w:rsidR="00F823DB" w:rsidRPr="000A1CAB" w:rsidDel="00CC79EF" w:rsidTr="00A03DC6">
        <w:tc>
          <w:tcPr>
            <w:tcW w:w="3510" w:type="dxa"/>
          </w:tcPr>
          <w:p w:rsidR="00F823DB" w:rsidRPr="000A1CAB" w:rsidDel="00CC79EF" w:rsidRDefault="00F823DB" w:rsidP="00AE0D10">
            <w:pPr>
              <w:pStyle w:val="BodyText"/>
              <w:spacing w:line="264" w:lineRule="auto"/>
              <w:rPr>
                <w:rFonts w:cs="Arial"/>
                <w:b/>
                <w:bCs/>
                <w:lang w:eastAsia="en-NZ"/>
              </w:rPr>
            </w:pPr>
            <w:r w:rsidRPr="000A1CAB">
              <w:rPr>
                <w:rFonts w:cs="Arial"/>
                <w:b/>
                <w:bCs/>
                <w:lang w:eastAsia="en-NZ"/>
              </w:rPr>
              <w:t>DPP regulatory period</w:t>
            </w:r>
          </w:p>
        </w:tc>
        <w:tc>
          <w:tcPr>
            <w:tcW w:w="4882" w:type="dxa"/>
          </w:tcPr>
          <w:p w:rsidR="00F823DB" w:rsidRPr="000A1CAB" w:rsidDel="00CC79EF" w:rsidRDefault="009F003B" w:rsidP="00AE0D10">
            <w:pPr>
              <w:spacing w:line="264" w:lineRule="auto"/>
              <w:rPr>
                <w:rFonts w:cs="Arial"/>
                <w:lang w:eastAsia="en-NZ"/>
              </w:rPr>
            </w:pPr>
            <w:r w:rsidRPr="000A1CAB">
              <w:rPr>
                <w:rFonts w:cs="Arial"/>
                <w:lang w:eastAsia="en-NZ"/>
              </w:rPr>
              <w:t xml:space="preserve">Has the meaning set out in the </w:t>
            </w:r>
            <w:r w:rsidRPr="000A1CAB">
              <w:rPr>
                <w:rFonts w:cs="Arial"/>
                <w:b/>
                <w:lang w:eastAsia="en-NZ"/>
              </w:rPr>
              <w:t>IM Determination</w:t>
            </w:r>
          </w:p>
        </w:tc>
      </w:tr>
    </w:tbl>
    <w:p w:rsidR="003E69C4" w:rsidRPr="006441E4" w:rsidRDefault="003E69C4" w:rsidP="00AE0D10">
      <w:pPr>
        <w:pStyle w:val="Heading2"/>
        <w:spacing w:before="240" w:after="240" w:line="264" w:lineRule="auto"/>
        <w:jc w:val="center"/>
        <w:rPr>
          <w:lang w:eastAsia="en-GB"/>
        </w:rPr>
      </w:pPr>
      <w:r w:rsidRPr="006441E4">
        <w:rPr>
          <w:lang w:eastAsia="en-GB"/>
        </w:rPr>
        <w:t>E</w:t>
      </w:r>
    </w:p>
    <w:p w:rsidR="003E69C4" w:rsidRPr="006441E4" w:rsidRDefault="003E69C4" w:rsidP="00AE0D10">
      <w:pPr>
        <w:pStyle w:val="Heading2"/>
        <w:spacing w:before="240" w:after="240" w:line="264" w:lineRule="auto"/>
        <w:jc w:val="center"/>
        <w:rPr>
          <w:lang w:eastAsia="en-GB"/>
        </w:rPr>
      </w:pPr>
      <w:r w:rsidRPr="006441E4">
        <w:rPr>
          <w:lang w:eastAsia="en-GB"/>
        </w:rPr>
        <w:t>F</w:t>
      </w:r>
    </w:p>
    <w:p w:rsidR="003E69C4" w:rsidRPr="006441E4" w:rsidRDefault="003E69C4" w:rsidP="00DE6E39">
      <w:pPr>
        <w:pStyle w:val="Heading2"/>
        <w:spacing w:before="240" w:after="240"/>
        <w:jc w:val="center"/>
        <w:rPr>
          <w:lang w:eastAsia="en-GB"/>
        </w:rPr>
      </w:pPr>
      <w:r w:rsidRPr="006441E4">
        <w:rPr>
          <w:lang w:eastAsia="en-GB"/>
        </w:rPr>
        <w:t>G</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170E7F" w:rsidRPr="000A1CAB" w:rsidTr="00A03DC6">
        <w:tc>
          <w:tcPr>
            <w:tcW w:w="3510" w:type="dxa"/>
          </w:tcPr>
          <w:p w:rsidR="00170E7F" w:rsidRPr="000A1CAB" w:rsidRDefault="00170E7F" w:rsidP="00241494">
            <w:pPr>
              <w:pStyle w:val="Clausetextunnumbered"/>
              <w:rPr>
                <w:rStyle w:val="Emphasis-Bold"/>
                <w:sz w:val="24"/>
                <w:szCs w:val="24"/>
              </w:rPr>
            </w:pPr>
            <w:r w:rsidRPr="000A1CAB">
              <w:rPr>
                <w:rStyle w:val="Emphasis-Bold"/>
                <w:sz w:val="24"/>
                <w:szCs w:val="24"/>
              </w:rPr>
              <w:t xml:space="preserve">Gas </w:t>
            </w:r>
            <w:r w:rsidR="00343D53" w:rsidRPr="000A1CAB">
              <w:rPr>
                <w:rStyle w:val="Emphasis-Bold"/>
                <w:sz w:val="24"/>
                <w:szCs w:val="24"/>
              </w:rPr>
              <w:t xml:space="preserve">transmission </w:t>
            </w:r>
            <w:r w:rsidRPr="000A1CAB">
              <w:rPr>
                <w:rStyle w:val="Emphasis-Bold"/>
                <w:sz w:val="24"/>
                <w:szCs w:val="24"/>
              </w:rPr>
              <w:t>services</w:t>
            </w:r>
          </w:p>
        </w:tc>
        <w:tc>
          <w:tcPr>
            <w:tcW w:w="4882" w:type="dxa"/>
          </w:tcPr>
          <w:p w:rsidR="00170E7F" w:rsidRPr="000A1CAB" w:rsidRDefault="0022316F" w:rsidP="00241494">
            <w:pPr>
              <w:pStyle w:val="Clausetextunnumbered"/>
              <w:rPr>
                <w:rStyle w:val="Emphasis-Bold"/>
                <w:sz w:val="24"/>
                <w:szCs w:val="24"/>
              </w:rPr>
            </w:pPr>
            <w:r w:rsidRPr="000A1CAB">
              <w:rPr>
                <w:rStyle w:val="Emphasis-Bold"/>
                <w:b w:val="0"/>
                <w:sz w:val="24"/>
                <w:szCs w:val="24"/>
              </w:rPr>
              <w:t>has the meaning set out in the</w:t>
            </w:r>
            <w:r w:rsidRPr="000A1CAB">
              <w:rPr>
                <w:rStyle w:val="Emphasis-Bold"/>
                <w:sz w:val="24"/>
                <w:szCs w:val="24"/>
              </w:rPr>
              <w:t xml:space="preserve"> IM determination</w:t>
            </w:r>
          </w:p>
        </w:tc>
      </w:tr>
      <w:tr w:rsidR="0043525C" w:rsidRPr="000A1CAB" w:rsidTr="00A03DC6">
        <w:tc>
          <w:tcPr>
            <w:tcW w:w="3510" w:type="dxa"/>
          </w:tcPr>
          <w:p w:rsidR="0043525C" w:rsidRPr="000A1CAB" w:rsidRDefault="0043525C" w:rsidP="00A03DC6">
            <w:pPr>
              <w:pStyle w:val="BodyText"/>
              <w:rPr>
                <w:rFonts w:cs="Arial"/>
                <w:b/>
                <w:bCs/>
                <w:lang w:eastAsia="en-NZ"/>
              </w:rPr>
            </w:pPr>
            <w:r w:rsidRPr="000A1CAB">
              <w:rPr>
                <w:rFonts w:cs="Arial"/>
                <w:b/>
                <w:bCs/>
                <w:lang w:eastAsia="en-NZ"/>
              </w:rPr>
              <w:t>GDB</w:t>
            </w:r>
          </w:p>
        </w:tc>
        <w:tc>
          <w:tcPr>
            <w:tcW w:w="4882" w:type="dxa"/>
          </w:tcPr>
          <w:p w:rsidR="0043525C" w:rsidRPr="000A1CAB" w:rsidRDefault="0022316F" w:rsidP="0022316F">
            <w:pPr>
              <w:ind w:left="34"/>
              <w:rPr>
                <w:rFonts w:cs="Arial"/>
                <w:b/>
                <w:lang w:eastAsia="en-NZ"/>
              </w:rPr>
            </w:pPr>
            <w:r w:rsidRPr="000A1CAB">
              <w:rPr>
                <w:rFonts w:cs="Arial"/>
                <w:lang w:eastAsia="en-NZ"/>
              </w:rPr>
              <w:t>has the meaning set out in the Commerce Act (Gas Distribution Services Input Methodologies) Determination 2010</w:t>
            </w:r>
          </w:p>
        </w:tc>
      </w:tr>
      <w:tr w:rsidR="00A03DC6" w:rsidRPr="000A1CAB" w:rsidTr="00A03DC6">
        <w:tc>
          <w:tcPr>
            <w:tcW w:w="3510" w:type="dxa"/>
          </w:tcPr>
          <w:p w:rsidR="00A03DC6" w:rsidRPr="000A1CAB" w:rsidRDefault="00D762BB" w:rsidP="00D762BB">
            <w:pPr>
              <w:pStyle w:val="BodyText"/>
              <w:rPr>
                <w:rFonts w:cs="Arial"/>
                <w:b/>
                <w:bCs/>
                <w:lang w:eastAsia="en-NZ"/>
              </w:rPr>
            </w:pPr>
            <w:r w:rsidRPr="000A1CAB">
              <w:rPr>
                <w:rFonts w:cs="Arial"/>
                <w:b/>
                <w:bCs/>
                <w:lang w:eastAsia="en-NZ"/>
              </w:rPr>
              <w:t>Gross c</w:t>
            </w:r>
            <w:r w:rsidR="00312CD1" w:rsidRPr="000A1CAB">
              <w:rPr>
                <w:rFonts w:cs="Arial"/>
                <w:b/>
                <w:bCs/>
                <w:lang w:eastAsia="en-NZ"/>
              </w:rPr>
              <w:t>apital expenditure</w:t>
            </w:r>
          </w:p>
        </w:tc>
        <w:tc>
          <w:tcPr>
            <w:tcW w:w="4882" w:type="dxa"/>
          </w:tcPr>
          <w:p w:rsidR="00A03DC6" w:rsidRPr="000A1CAB" w:rsidRDefault="00A03DC6" w:rsidP="00170E7F">
            <w:pPr>
              <w:ind w:left="34"/>
              <w:rPr>
                <w:rFonts w:cs="Arial"/>
                <w:lang w:eastAsia="en-NZ"/>
              </w:rPr>
            </w:pPr>
            <w:r w:rsidRPr="000A1CAB">
              <w:rPr>
                <w:rFonts w:cs="Arial"/>
                <w:lang w:eastAsia="en-NZ"/>
              </w:rPr>
              <w:t xml:space="preserve">means </w:t>
            </w:r>
            <w:r w:rsidRPr="000A1CAB">
              <w:rPr>
                <w:rFonts w:cs="Arial"/>
                <w:b/>
                <w:lang w:eastAsia="en-NZ"/>
              </w:rPr>
              <w:t>capital expenditure</w:t>
            </w:r>
            <w:r w:rsidRPr="000A1CAB">
              <w:rPr>
                <w:rFonts w:cs="Arial"/>
                <w:lang w:eastAsia="en-NZ"/>
              </w:rPr>
              <w:t xml:space="preserve"> plus </w:t>
            </w:r>
            <w:r w:rsidRPr="000A1CAB">
              <w:rPr>
                <w:rFonts w:cs="Arial"/>
                <w:b/>
                <w:lang w:eastAsia="en-NZ"/>
              </w:rPr>
              <w:t>capital contributions</w:t>
            </w:r>
            <w:r w:rsidR="00170E7F" w:rsidRPr="000A1CAB">
              <w:rPr>
                <w:rFonts w:cs="Arial"/>
                <w:lang w:eastAsia="en-NZ"/>
              </w:rPr>
              <w:t xml:space="preserve"> and </w:t>
            </w:r>
            <w:r w:rsidRPr="000A1CAB">
              <w:rPr>
                <w:rFonts w:cs="Arial"/>
                <w:b/>
                <w:lang w:eastAsia="en-NZ"/>
              </w:rPr>
              <w:t xml:space="preserve">net value of vested assets </w:t>
            </w:r>
          </w:p>
        </w:tc>
      </w:tr>
      <w:tr w:rsidR="00FA3E9C" w:rsidRPr="000A1CAB" w:rsidTr="00A03DC6">
        <w:tc>
          <w:tcPr>
            <w:tcW w:w="3510" w:type="dxa"/>
          </w:tcPr>
          <w:p w:rsidR="00FA3E9C" w:rsidRPr="000A1CAB" w:rsidRDefault="00FA3E9C" w:rsidP="0096387E">
            <w:pPr>
              <w:pStyle w:val="BodyText"/>
              <w:rPr>
                <w:rFonts w:cs="Arial"/>
                <w:b/>
                <w:lang w:eastAsia="en-NZ"/>
              </w:rPr>
            </w:pPr>
            <w:r w:rsidRPr="000A1CAB">
              <w:rPr>
                <w:rFonts w:cs="Arial"/>
                <w:b/>
                <w:lang w:eastAsia="en-NZ"/>
              </w:rPr>
              <w:t>GTB</w:t>
            </w:r>
          </w:p>
        </w:tc>
        <w:tc>
          <w:tcPr>
            <w:tcW w:w="4882" w:type="dxa"/>
          </w:tcPr>
          <w:p w:rsidR="00FA3E9C" w:rsidRPr="000A1CAB" w:rsidRDefault="0022316F" w:rsidP="0022316F">
            <w:pPr>
              <w:ind w:left="34"/>
              <w:rPr>
                <w:rFonts w:cs="Arial"/>
                <w:lang w:eastAsia="en-NZ"/>
              </w:rPr>
            </w:pPr>
            <w:r w:rsidRPr="000A1CAB">
              <w:rPr>
                <w:rFonts w:cs="Arial"/>
                <w:lang w:eastAsia="en-NZ"/>
              </w:rPr>
              <w:t xml:space="preserve">has the meaning set out in the </w:t>
            </w:r>
            <w:r w:rsidRPr="000A1CAB">
              <w:rPr>
                <w:rFonts w:cs="Arial"/>
                <w:b/>
                <w:lang w:eastAsia="en-NZ"/>
              </w:rPr>
              <w:t>IM determination</w:t>
            </w:r>
          </w:p>
        </w:tc>
      </w:tr>
    </w:tbl>
    <w:p w:rsidR="003E69C4" w:rsidRPr="006441E4" w:rsidRDefault="003E69C4" w:rsidP="00DE6E39">
      <w:pPr>
        <w:pStyle w:val="Heading2"/>
        <w:spacing w:before="240" w:after="240"/>
        <w:jc w:val="center"/>
        <w:rPr>
          <w:lang w:eastAsia="en-GB"/>
        </w:rPr>
      </w:pPr>
      <w:r w:rsidRPr="006441E4">
        <w:rPr>
          <w:lang w:eastAsia="en-GB"/>
        </w:rPr>
        <w:t>H</w:t>
      </w:r>
    </w:p>
    <w:p w:rsidR="003E69C4" w:rsidRPr="006441E4" w:rsidRDefault="003E69C4" w:rsidP="00DE6E39">
      <w:pPr>
        <w:pStyle w:val="Heading2"/>
        <w:spacing w:before="240" w:after="240"/>
        <w:jc w:val="center"/>
        <w:rPr>
          <w:lang w:eastAsia="en-GB"/>
        </w:rPr>
      </w:pPr>
      <w:r w:rsidRPr="006441E4">
        <w:rPr>
          <w:lang w:eastAsia="en-GB"/>
        </w:rPr>
        <w:t>I</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4827FF" w:rsidRPr="006441E4" w:rsidTr="0043525C">
        <w:tc>
          <w:tcPr>
            <w:tcW w:w="3510" w:type="dxa"/>
          </w:tcPr>
          <w:p w:rsidR="004827FF" w:rsidRPr="006441E4" w:rsidRDefault="004827FF" w:rsidP="0043525C">
            <w:pPr>
              <w:pStyle w:val="BodyText"/>
              <w:spacing w:line="264" w:lineRule="auto"/>
              <w:rPr>
                <w:rFonts w:cs="Arial"/>
                <w:b/>
                <w:bCs/>
                <w:lang w:eastAsia="en-NZ"/>
              </w:rPr>
            </w:pPr>
            <w:r>
              <w:rPr>
                <w:b/>
              </w:rPr>
              <w:t>Initial RAB</w:t>
            </w:r>
          </w:p>
        </w:tc>
        <w:tc>
          <w:tcPr>
            <w:tcW w:w="4882" w:type="dxa"/>
          </w:tcPr>
          <w:p w:rsidR="004827FF" w:rsidRPr="006441E4" w:rsidRDefault="004827FF" w:rsidP="0043525C">
            <w:pPr>
              <w:tabs>
                <w:tab w:val="left" w:pos="4045"/>
              </w:tabs>
              <w:spacing w:line="264" w:lineRule="auto"/>
              <w:rPr>
                <w:rFonts w:cs="Arial"/>
                <w:lang w:eastAsia="en-NZ"/>
              </w:rPr>
            </w:pPr>
            <w:r w:rsidRPr="004827FF">
              <w:rPr>
                <w:rFonts w:cs="Arial"/>
                <w:lang w:eastAsia="en-NZ"/>
              </w:rPr>
              <w:t>has the meaning set out in the IM determination</w:t>
            </w:r>
          </w:p>
        </w:tc>
      </w:tr>
      <w:tr w:rsidR="00402CEC" w:rsidRPr="006441E4" w:rsidTr="0043525C">
        <w:tc>
          <w:tcPr>
            <w:tcW w:w="3510" w:type="dxa"/>
          </w:tcPr>
          <w:p w:rsidR="00402CEC" w:rsidRPr="006441E4" w:rsidRDefault="00402CEC" w:rsidP="0043525C">
            <w:pPr>
              <w:pStyle w:val="BodyText"/>
              <w:spacing w:line="264" w:lineRule="auto"/>
              <w:rPr>
                <w:rFonts w:cs="Arial"/>
                <w:b/>
                <w:bCs/>
                <w:lang w:eastAsia="en-NZ"/>
              </w:rPr>
            </w:pPr>
            <w:r w:rsidRPr="006441E4">
              <w:rPr>
                <w:rFonts w:cs="Arial"/>
                <w:b/>
                <w:bCs/>
                <w:lang w:eastAsia="en-NZ"/>
              </w:rPr>
              <w:t>IM determination</w:t>
            </w:r>
          </w:p>
        </w:tc>
        <w:tc>
          <w:tcPr>
            <w:tcW w:w="4882" w:type="dxa"/>
          </w:tcPr>
          <w:p w:rsidR="00402CEC" w:rsidRPr="006441E4" w:rsidDel="005F4CFE" w:rsidRDefault="00402CEC" w:rsidP="0043525C">
            <w:pPr>
              <w:tabs>
                <w:tab w:val="left" w:pos="4045"/>
              </w:tabs>
              <w:spacing w:line="264" w:lineRule="auto"/>
              <w:rPr>
                <w:rFonts w:cs="Arial"/>
                <w:lang w:eastAsia="en-NZ"/>
              </w:rPr>
            </w:pPr>
            <w:r w:rsidRPr="006441E4">
              <w:rPr>
                <w:rFonts w:cs="Arial"/>
                <w:lang w:eastAsia="en-NZ"/>
              </w:rPr>
              <w:t>means the Commerce Act (Gas Transmission Services Input Methodologies) Determination 2010</w:t>
            </w:r>
          </w:p>
        </w:tc>
      </w:tr>
      <w:tr w:rsidR="00307644" w:rsidRPr="006441E4" w:rsidTr="00F43885">
        <w:tc>
          <w:tcPr>
            <w:tcW w:w="3510" w:type="dxa"/>
          </w:tcPr>
          <w:p w:rsidR="00307644" w:rsidRPr="006441E4" w:rsidRDefault="00307644" w:rsidP="00AE0D10">
            <w:pPr>
              <w:pStyle w:val="BodyText"/>
              <w:spacing w:line="264" w:lineRule="auto"/>
              <w:rPr>
                <w:rFonts w:cs="Arial"/>
                <w:b/>
                <w:bCs/>
                <w:lang w:eastAsia="en-NZ"/>
              </w:rPr>
            </w:pPr>
            <w:r w:rsidRPr="006441E4">
              <w:rPr>
                <w:b/>
              </w:rPr>
              <w:t>Independent auditor</w:t>
            </w:r>
          </w:p>
        </w:tc>
        <w:tc>
          <w:tcPr>
            <w:tcW w:w="4882" w:type="dxa"/>
          </w:tcPr>
          <w:p w:rsidR="00110F6A" w:rsidRPr="00110F6A" w:rsidRDefault="00307644" w:rsidP="00AE0D10">
            <w:pPr>
              <w:spacing w:line="264" w:lineRule="auto"/>
            </w:pPr>
            <w:r w:rsidRPr="006441E4">
              <w:t>means a person who:</w:t>
            </w:r>
          </w:p>
          <w:p w:rsidR="00110F6A" w:rsidRPr="00110F6A" w:rsidRDefault="00307644" w:rsidP="00440341">
            <w:pPr>
              <w:pStyle w:val="ListParagraph"/>
              <w:numPr>
                <w:ilvl w:val="0"/>
                <w:numId w:val="24"/>
              </w:numPr>
              <w:spacing w:line="264" w:lineRule="auto"/>
              <w:ind w:left="459" w:hanging="425"/>
            </w:pPr>
            <w:r w:rsidRPr="006441E4">
              <w:t xml:space="preserve">is qualified for appointment as auditor of a company under the Companies Act 1993 or, where the </w:t>
            </w:r>
            <w:r w:rsidRPr="006441E4">
              <w:rPr>
                <w:b/>
              </w:rPr>
              <w:t>GPB</w:t>
            </w:r>
            <w:r w:rsidRPr="006441E4">
              <w:t xml:space="preserve"> is a public entity (as defined in s 4 of the Public Audit Act 2001), is the Auditor-General;</w:t>
            </w:r>
          </w:p>
          <w:p w:rsidR="00110F6A" w:rsidRPr="00110F6A" w:rsidRDefault="00307644" w:rsidP="00440341">
            <w:pPr>
              <w:pStyle w:val="ListParagraph"/>
              <w:numPr>
                <w:ilvl w:val="0"/>
                <w:numId w:val="24"/>
              </w:numPr>
              <w:spacing w:line="264" w:lineRule="auto"/>
              <w:ind w:left="459" w:hanging="425"/>
            </w:pPr>
            <w:r w:rsidRPr="006441E4">
              <w:t xml:space="preserve">has no relationship with, or interest in, the </w:t>
            </w:r>
            <w:r w:rsidRPr="006441E4">
              <w:rPr>
                <w:b/>
              </w:rPr>
              <w:t>GPB</w:t>
            </w:r>
            <w:r w:rsidRPr="006441E4">
              <w:t xml:space="preserve"> that is likely to involve a conflict of interest;</w:t>
            </w:r>
          </w:p>
          <w:p w:rsidR="00110F6A" w:rsidRPr="00110F6A" w:rsidRDefault="00307644" w:rsidP="00440341">
            <w:pPr>
              <w:pStyle w:val="ListParagraph"/>
              <w:numPr>
                <w:ilvl w:val="0"/>
                <w:numId w:val="24"/>
              </w:numPr>
              <w:spacing w:line="264" w:lineRule="auto"/>
              <w:ind w:left="459" w:hanging="425"/>
            </w:pPr>
            <w:r w:rsidRPr="006441E4">
              <w:t>has not assisted with the compilation of the information or provided advice or opinions (other than in relation to audit reports) on the methodologies or processes used in compiling the information; and</w:t>
            </w:r>
          </w:p>
          <w:p w:rsidR="00307644" w:rsidRPr="006441E4" w:rsidRDefault="00307644" w:rsidP="00440341">
            <w:pPr>
              <w:pStyle w:val="ListParagraph"/>
              <w:numPr>
                <w:ilvl w:val="0"/>
                <w:numId w:val="24"/>
              </w:numPr>
              <w:tabs>
                <w:tab w:val="left" w:pos="4045"/>
              </w:tabs>
              <w:spacing w:line="264" w:lineRule="auto"/>
              <w:ind w:left="459" w:hanging="425"/>
              <w:rPr>
                <w:rFonts w:cs="Arial"/>
                <w:lang w:eastAsia="en-NZ"/>
              </w:rPr>
            </w:pPr>
            <w:r w:rsidRPr="006441E4">
              <w:t>is not associated with nor directed by any person who has provided any such assistance, advice, or opinion</w:t>
            </w:r>
          </w:p>
        </w:tc>
      </w:tr>
      <w:tr w:rsidR="00F823DB" w:rsidRPr="006441E4" w:rsidDel="00CC79EF" w:rsidTr="00F43885">
        <w:tc>
          <w:tcPr>
            <w:tcW w:w="3510" w:type="dxa"/>
          </w:tcPr>
          <w:p w:rsidR="00F823DB" w:rsidRPr="006441E4" w:rsidDel="00CC79EF" w:rsidRDefault="00F823DB" w:rsidP="00AE0D10">
            <w:pPr>
              <w:pStyle w:val="BodyText"/>
              <w:spacing w:line="264" w:lineRule="auto"/>
              <w:rPr>
                <w:rFonts w:cs="Arial"/>
                <w:b/>
                <w:bCs/>
                <w:lang w:eastAsia="en-NZ"/>
              </w:rPr>
            </w:pPr>
            <w:r>
              <w:rPr>
                <w:rFonts w:cs="Arial"/>
                <w:b/>
                <w:bCs/>
                <w:lang w:eastAsia="en-NZ"/>
              </w:rPr>
              <w:t>Initial RAB</w:t>
            </w:r>
          </w:p>
        </w:tc>
        <w:tc>
          <w:tcPr>
            <w:tcW w:w="4882" w:type="dxa"/>
          </w:tcPr>
          <w:p w:rsidR="00F823DB" w:rsidRPr="006441E4" w:rsidDel="00CC79EF" w:rsidRDefault="00F823DB" w:rsidP="00F313DD">
            <w:pPr>
              <w:tabs>
                <w:tab w:val="left" w:pos="4045"/>
              </w:tabs>
              <w:spacing w:line="264" w:lineRule="auto"/>
              <w:ind w:left="34"/>
              <w:rPr>
                <w:rFonts w:cs="Arial"/>
                <w:lang w:eastAsia="en-NZ"/>
              </w:rPr>
            </w:pPr>
          </w:p>
        </w:tc>
      </w:tr>
    </w:tbl>
    <w:p w:rsidR="003E69C4" w:rsidRPr="006441E4" w:rsidRDefault="003E69C4" w:rsidP="00DE6E39">
      <w:pPr>
        <w:pStyle w:val="Heading2"/>
        <w:spacing w:before="240" w:after="240"/>
        <w:jc w:val="center"/>
        <w:rPr>
          <w:lang w:eastAsia="en-GB"/>
        </w:rPr>
      </w:pPr>
      <w:r w:rsidRPr="006441E4">
        <w:rPr>
          <w:lang w:eastAsia="en-GB"/>
        </w:rPr>
        <w:t>L</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2C3815" w:rsidRPr="006441E4" w:rsidTr="00A03DC6">
        <w:tc>
          <w:tcPr>
            <w:tcW w:w="3510" w:type="dxa"/>
          </w:tcPr>
          <w:p w:rsidR="002C3815" w:rsidRPr="006441E4" w:rsidRDefault="002C3815" w:rsidP="00AE0D10">
            <w:pPr>
              <w:pStyle w:val="BodyText"/>
              <w:spacing w:line="264" w:lineRule="auto"/>
              <w:rPr>
                <w:rFonts w:cs="Arial"/>
                <w:b/>
                <w:bCs/>
                <w:lang w:eastAsia="en-NZ"/>
              </w:rPr>
            </w:pPr>
            <w:r w:rsidRPr="006441E4">
              <w:rPr>
                <w:b/>
              </w:rPr>
              <w:t>Legislative and regulatory</w:t>
            </w:r>
          </w:p>
        </w:tc>
        <w:tc>
          <w:tcPr>
            <w:tcW w:w="4882" w:type="dxa"/>
          </w:tcPr>
          <w:p w:rsidR="002C3815" w:rsidRDefault="002C3815" w:rsidP="005A23C3">
            <w:pPr>
              <w:pStyle w:val="BodyText"/>
            </w:pPr>
            <w:proofErr w:type="gramStart"/>
            <w:r>
              <w:t>in</w:t>
            </w:r>
            <w:proofErr w:type="gramEnd"/>
            <w:r>
              <w:t xml:space="preserve"> relation to expenditure, means </w:t>
            </w:r>
            <w:r>
              <w:rPr>
                <w:b/>
              </w:rPr>
              <w:t>gross capital expenditure</w:t>
            </w:r>
            <w:r>
              <w:t xml:space="preserve"> where the </w:t>
            </w:r>
            <w:r>
              <w:rPr>
                <w:b/>
              </w:rPr>
              <w:t>primary driver</w:t>
            </w:r>
            <w:r>
              <w:t xml:space="preserve"> is a new regulatory or legal requirement that results in the creation of, or modification to, </w:t>
            </w:r>
            <w:r>
              <w:rPr>
                <w:b/>
              </w:rPr>
              <w:t>network</w:t>
            </w:r>
            <w:r>
              <w:t xml:space="preserve"> assets.</w:t>
            </w:r>
          </w:p>
        </w:tc>
      </w:tr>
      <w:tr w:rsidR="00CA1543" w:rsidRPr="006441E4" w:rsidTr="00A03DC6">
        <w:tc>
          <w:tcPr>
            <w:tcW w:w="3510" w:type="dxa"/>
          </w:tcPr>
          <w:p w:rsidR="00CA1543" w:rsidRPr="006441E4" w:rsidRDefault="00CA1543" w:rsidP="00CC2694">
            <w:pPr>
              <w:pStyle w:val="BodyText"/>
              <w:spacing w:line="264" w:lineRule="auto"/>
              <w:rPr>
                <w:rFonts w:cs="Arial"/>
                <w:b/>
                <w:bCs/>
                <w:lang w:eastAsia="en-NZ"/>
              </w:rPr>
            </w:pPr>
            <w:r w:rsidRPr="006441E4">
              <w:rPr>
                <w:rFonts w:cs="Arial"/>
                <w:b/>
                <w:bCs/>
                <w:lang w:eastAsia="en-NZ"/>
              </w:rPr>
              <w:t xml:space="preserve">Line charge </w:t>
            </w:r>
            <w:r w:rsidR="00CC2694">
              <w:rPr>
                <w:rFonts w:cs="Arial"/>
                <w:b/>
                <w:bCs/>
                <w:lang w:eastAsia="en-NZ"/>
              </w:rPr>
              <w:t>revenue</w:t>
            </w:r>
          </w:p>
        </w:tc>
        <w:tc>
          <w:tcPr>
            <w:tcW w:w="4882" w:type="dxa"/>
          </w:tcPr>
          <w:p w:rsidR="00CA1543" w:rsidRPr="006441E4" w:rsidRDefault="00CA1543" w:rsidP="00AE0D10">
            <w:pPr>
              <w:tabs>
                <w:tab w:val="left" w:pos="4045"/>
              </w:tabs>
              <w:spacing w:line="264" w:lineRule="auto"/>
              <w:ind w:left="34"/>
              <w:rPr>
                <w:rFonts w:cs="Arial"/>
                <w:b/>
                <w:lang w:eastAsia="en-NZ"/>
              </w:rPr>
            </w:pPr>
            <w:r w:rsidRPr="006441E4">
              <w:rPr>
                <w:rFonts w:cs="Arial"/>
                <w:lang w:eastAsia="en-NZ"/>
              </w:rPr>
              <w:t xml:space="preserve">means revenue from </w:t>
            </w:r>
            <w:r w:rsidRPr="006441E4">
              <w:rPr>
                <w:rFonts w:cs="Arial"/>
                <w:b/>
                <w:lang w:eastAsia="en-NZ"/>
              </w:rPr>
              <w:t>prices</w:t>
            </w:r>
          </w:p>
        </w:tc>
      </w:tr>
    </w:tbl>
    <w:p w:rsidR="003E69C4" w:rsidRPr="006441E4" w:rsidRDefault="003E69C4" w:rsidP="00DE6E39">
      <w:pPr>
        <w:pStyle w:val="Heading2"/>
        <w:spacing w:before="240" w:after="240"/>
        <w:jc w:val="center"/>
        <w:rPr>
          <w:lang w:eastAsia="en-GB"/>
        </w:rPr>
      </w:pPr>
      <w:r w:rsidRPr="006441E4">
        <w:rPr>
          <w:lang w:eastAsia="en-GB"/>
        </w:rPr>
        <w:t>M</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2C3815" w:rsidRPr="006441E4" w:rsidTr="00A03DC6">
        <w:tc>
          <w:tcPr>
            <w:tcW w:w="3510" w:type="dxa"/>
          </w:tcPr>
          <w:p w:rsidR="002C3815" w:rsidRPr="006441E4" w:rsidRDefault="002C3815" w:rsidP="00903F6E">
            <w:pPr>
              <w:pStyle w:val="BodyText"/>
              <w:spacing w:line="264" w:lineRule="auto"/>
              <w:rPr>
                <w:b/>
                <w:bCs/>
              </w:rPr>
            </w:pPr>
            <w:r w:rsidRPr="006441E4">
              <w:rPr>
                <w:b/>
                <w:bCs/>
              </w:rPr>
              <w:t>Main</w:t>
            </w:r>
            <w:r>
              <w:rPr>
                <w:b/>
                <w:bCs/>
              </w:rPr>
              <w:t>-</w:t>
            </w:r>
            <w:r w:rsidRPr="006441E4">
              <w:rPr>
                <w:b/>
                <w:bCs/>
              </w:rPr>
              <w:t>line valve</w:t>
            </w:r>
          </w:p>
        </w:tc>
        <w:tc>
          <w:tcPr>
            <w:tcW w:w="4882" w:type="dxa"/>
          </w:tcPr>
          <w:p w:rsidR="002C3815" w:rsidRDefault="002C3815" w:rsidP="005A23C3">
            <w:pPr>
              <w:pStyle w:val="BodyText"/>
              <w:rPr>
                <w:lang w:val="en-AU"/>
              </w:rPr>
            </w:pPr>
            <w:r>
              <w:rPr>
                <w:lang w:val="en-AU"/>
              </w:rPr>
              <w:t>means a valve for stopping the flow of gas in a pipe</w:t>
            </w:r>
          </w:p>
        </w:tc>
      </w:tr>
      <w:tr w:rsidR="005535CE" w:rsidRPr="006441E4" w:rsidDel="00CC79EF" w:rsidTr="00E46BC1">
        <w:tc>
          <w:tcPr>
            <w:tcW w:w="3510" w:type="dxa"/>
          </w:tcPr>
          <w:p w:rsidR="005535CE" w:rsidRPr="0096387E" w:rsidDel="00CC79EF" w:rsidRDefault="005535CE" w:rsidP="0096387E">
            <w:pPr>
              <w:pStyle w:val="BodyText"/>
              <w:spacing w:line="264" w:lineRule="auto"/>
            </w:pPr>
            <w:r w:rsidRPr="0096387E">
              <w:rPr>
                <w:b/>
                <w:bCs/>
              </w:rPr>
              <w:t>Mark-up</w:t>
            </w:r>
          </w:p>
        </w:tc>
        <w:tc>
          <w:tcPr>
            <w:tcW w:w="4882" w:type="dxa"/>
          </w:tcPr>
          <w:p w:rsidR="005535CE" w:rsidRPr="006441E4" w:rsidDel="00CC79EF" w:rsidRDefault="00F86836" w:rsidP="00E46BC1">
            <w:pPr>
              <w:tabs>
                <w:tab w:val="left" w:pos="4045"/>
              </w:tabs>
              <w:spacing w:line="264" w:lineRule="auto"/>
            </w:pPr>
            <w:r w:rsidRPr="00F86836">
              <w:rPr>
                <w:rFonts w:cs="Arial"/>
                <w:lang w:eastAsia="en-NZ"/>
              </w:rPr>
              <w:t xml:space="preserve">means </w:t>
            </w:r>
            <w:r w:rsidRPr="00F86836">
              <w:t>the margin charged on the directly attributed cost incurred by the related party in providing a good or service which is included in the price of the good or service</w:t>
            </w:r>
          </w:p>
        </w:tc>
      </w:tr>
    </w:tbl>
    <w:p w:rsidR="003E69C4" w:rsidRPr="006441E4" w:rsidRDefault="003E69C4" w:rsidP="00AE0D10">
      <w:pPr>
        <w:pStyle w:val="Heading2"/>
        <w:spacing w:before="240" w:after="240" w:line="264" w:lineRule="auto"/>
        <w:jc w:val="center"/>
        <w:rPr>
          <w:lang w:eastAsia="en-GB"/>
        </w:rPr>
      </w:pPr>
      <w:r w:rsidRPr="006441E4">
        <w:rPr>
          <w:lang w:eastAsia="en-GB"/>
        </w:rPr>
        <w:t>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C5674E" w:rsidRPr="000A1CAB" w:rsidTr="00A03DC6">
        <w:tc>
          <w:tcPr>
            <w:tcW w:w="3510" w:type="dxa"/>
          </w:tcPr>
          <w:p w:rsidR="00C5674E" w:rsidRPr="000A1CAB" w:rsidRDefault="00C5674E" w:rsidP="00AE0D10">
            <w:pPr>
              <w:pStyle w:val="BodyText"/>
              <w:spacing w:line="264" w:lineRule="auto"/>
              <w:rPr>
                <w:rFonts w:cs="Arial"/>
                <w:b/>
                <w:bCs/>
                <w:lang w:eastAsia="en-NZ"/>
              </w:rPr>
            </w:pPr>
            <w:r w:rsidRPr="000A1CAB">
              <w:rPr>
                <w:rFonts w:cs="Arial"/>
                <w:b/>
                <w:bCs/>
                <w:lang w:eastAsia="en-NZ"/>
              </w:rPr>
              <w:t>Net value of vested assets</w:t>
            </w:r>
          </w:p>
        </w:tc>
        <w:tc>
          <w:tcPr>
            <w:tcW w:w="4882" w:type="dxa"/>
          </w:tcPr>
          <w:p w:rsidR="00C5674E" w:rsidRPr="000A1CAB" w:rsidRDefault="00C5674E" w:rsidP="00AE0D10">
            <w:pPr>
              <w:spacing w:line="264" w:lineRule="auto"/>
              <w:rPr>
                <w:rFonts w:cs="Arial"/>
                <w:lang w:eastAsia="en-NZ"/>
              </w:rPr>
            </w:pPr>
            <w:r w:rsidRPr="000A1CAB">
              <w:rPr>
                <w:rFonts w:cs="Arial"/>
                <w:lang w:eastAsia="en-NZ"/>
              </w:rPr>
              <w:t xml:space="preserve">means the fair value of assets whose ownership is vested in a </w:t>
            </w:r>
            <w:r w:rsidR="00E46BC1" w:rsidRPr="000A1CAB">
              <w:rPr>
                <w:rFonts w:cs="Arial"/>
                <w:b/>
                <w:bCs/>
                <w:lang w:eastAsia="en-NZ"/>
              </w:rPr>
              <w:t>GTB</w:t>
            </w:r>
            <w:r w:rsidRPr="000A1CAB">
              <w:rPr>
                <w:rFonts w:cs="Arial"/>
                <w:lang w:eastAsia="en-NZ"/>
              </w:rPr>
              <w:t xml:space="preserve"> (whether or not for some consideration) less any consideration paid for those assets</w:t>
            </w:r>
          </w:p>
        </w:tc>
      </w:tr>
      <w:tr w:rsidR="00A47D39" w:rsidRPr="000A1CAB" w:rsidTr="00A03DC6">
        <w:tc>
          <w:tcPr>
            <w:tcW w:w="3510" w:type="dxa"/>
          </w:tcPr>
          <w:p w:rsidR="00A47D39" w:rsidRPr="000A1CAB" w:rsidRDefault="00A47D39" w:rsidP="00AE0D10">
            <w:pPr>
              <w:pStyle w:val="BodyText"/>
              <w:spacing w:line="264" w:lineRule="auto"/>
              <w:rPr>
                <w:b/>
              </w:rPr>
            </w:pPr>
            <w:r w:rsidRPr="000A1CAB">
              <w:rPr>
                <w:b/>
                <w:bCs/>
              </w:rPr>
              <w:t>Network</w:t>
            </w:r>
          </w:p>
        </w:tc>
        <w:tc>
          <w:tcPr>
            <w:tcW w:w="4882" w:type="dxa"/>
          </w:tcPr>
          <w:p w:rsidR="00A47D39" w:rsidRPr="000A1CAB" w:rsidRDefault="001346E7" w:rsidP="00FA3E9C">
            <w:pPr>
              <w:spacing w:line="264" w:lineRule="auto"/>
              <w:rPr>
                <w:rFonts w:cs="Arial"/>
                <w:b/>
                <w:lang w:eastAsia="en-NZ"/>
              </w:rPr>
            </w:pPr>
            <w:r w:rsidRPr="000A1CAB">
              <w:rPr>
                <w:rFonts w:cs="Arial"/>
                <w:lang w:eastAsia="en-NZ"/>
              </w:rPr>
              <w:t xml:space="preserve">has the meaning set out in the </w:t>
            </w:r>
            <w:r w:rsidRPr="000A1CAB">
              <w:rPr>
                <w:rFonts w:cs="Arial"/>
                <w:b/>
                <w:lang w:eastAsia="en-NZ"/>
              </w:rPr>
              <w:t>IM determination</w:t>
            </w:r>
          </w:p>
        </w:tc>
      </w:tr>
      <w:tr w:rsidR="008539EC" w:rsidRPr="000A1CAB" w:rsidTr="00A03DC6">
        <w:tc>
          <w:tcPr>
            <w:tcW w:w="3510" w:type="dxa"/>
          </w:tcPr>
          <w:p w:rsidR="008539EC" w:rsidRPr="000A1CAB" w:rsidRDefault="008539EC" w:rsidP="00241494">
            <w:pPr>
              <w:pStyle w:val="Clausetextunnumbered"/>
              <w:rPr>
                <w:sz w:val="24"/>
                <w:szCs w:val="24"/>
              </w:rPr>
            </w:pPr>
            <w:r w:rsidRPr="000A1CAB">
              <w:rPr>
                <w:rStyle w:val="Emphasis-Bold"/>
                <w:sz w:val="24"/>
                <w:szCs w:val="24"/>
              </w:rPr>
              <w:t xml:space="preserve">Nominal New Zealand dollars </w:t>
            </w:r>
          </w:p>
        </w:tc>
        <w:tc>
          <w:tcPr>
            <w:tcW w:w="4882" w:type="dxa"/>
          </w:tcPr>
          <w:p w:rsidR="008539EC" w:rsidRPr="000A1CAB" w:rsidRDefault="001346E7" w:rsidP="001346E7">
            <w:pPr>
              <w:spacing w:line="264" w:lineRule="auto"/>
              <w:rPr>
                <w:rFonts w:cs="Arial"/>
                <w:lang w:eastAsia="en-NZ"/>
              </w:rPr>
            </w:pPr>
            <w:r w:rsidRPr="000A1CAB">
              <w:rPr>
                <w:rFonts w:cs="Arial"/>
                <w:lang w:eastAsia="en-NZ"/>
              </w:rPr>
              <w:t>In relation to an expenditure or revenue forecast, means the New Zealand dollar prices expected to apply at the time of transaction</w:t>
            </w:r>
          </w:p>
        </w:tc>
      </w:tr>
      <w:tr w:rsidR="00A020D3" w:rsidRPr="000A1CAB" w:rsidTr="004D1973">
        <w:tc>
          <w:tcPr>
            <w:tcW w:w="3510" w:type="dxa"/>
          </w:tcPr>
          <w:p w:rsidR="00A020D3" w:rsidRPr="000A1CAB" w:rsidRDefault="00A020D3" w:rsidP="00256618">
            <w:pPr>
              <w:pStyle w:val="BodyText"/>
              <w:spacing w:line="264" w:lineRule="auto"/>
              <w:rPr>
                <w:rFonts w:cs="Arial"/>
                <w:b/>
                <w:bCs/>
                <w:lang w:eastAsia="en-NZ"/>
              </w:rPr>
            </w:pPr>
            <w:r w:rsidRPr="000A1CAB">
              <w:rPr>
                <w:b/>
              </w:rPr>
              <w:t xml:space="preserve">Non-network </w:t>
            </w:r>
            <w:proofErr w:type="spellStart"/>
            <w:r w:rsidRPr="000A1CAB">
              <w:rPr>
                <w:b/>
              </w:rPr>
              <w:t>capex</w:t>
            </w:r>
            <w:proofErr w:type="spellEnd"/>
            <w:r w:rsidRPr="000A1CAB">
              <w:t xml:space="preserve"> (or </w:t>
            </w:r>
            <w:r w:rsidRPr="000A1CAB">
              <w:rPr>
                <w:b/>
              </w:rPr>
              <w:t>non-system fixed assets)</w:t>
            </w:r>
          </w:p>
        </w:tc>
        <w:tc>
          <w:tcPr>
            <w:tcW w:w="4882" w:type="dxa"/>
          </w:tcPr>
          <w:p w:rsidR="00A020D3" w:rsidRPr="000A1CAB" w:rsidRDefault="00A020D3" w:rsidP="004D1973">
            <w:pPr>
              <w:spacing w:line="264" w:lineRule="auto"/>
            </w:pPr>
            <w:r w:rsidRPr="000A1CAB">
              <w:t xml:space="preserve">in relation to expenditure, means </w:t>
            </w:r>
            <w:r w:rsidRPr="000A1CAB">
              <w:rPr>
                <w:b/>
              </w:rPr>
              <w:t>gross capital expenditure</w:t>
            </w:r>
            <w:r w:rsidRPr="000A1CAB">
              <w:t xml:space="preserve"> related to the provision of </w:t>
            </w:r>
            <w:r w:rsidRPr="000A1CAB">
              <w:rPr>
                <w:b/>
              </w:rPr>
              <w:t>gas pipeline services</w:t>
            </w:r>
            <w:r w:rsidRPr="000A1CAB">
              <w:t xml:space="preserve"> but that is not directly related to any </w:t>
            </w:r>
            <w:r w:rsidRPr="000A1CAB">
              <w:rPr>
                <w:b/>
              </w:rPr>
              <w:t xml:space="preserve">network </w:t>
            </w:r>
            <w:r w:rsidRPr="000A1CAB">
              <w:t>asset, and includes expenditure on or in relation to:</w:t>
            </w:r>
          </w:p>
          <w:p w:rsidR="00A020D3" w:rsidRPr="000A1CAB" w:rsidRDefault="00A020D3" w:rsidP="00A020D3">
            <w:pPr>
              <w:pStyle w:val="Tablebullet"/>
              <w:numPr>
                <w:ilvl w:val="0"/>
                <w:numId w:val="63"/>
              </w:numPr>
              <w:spacing w:after="120"/>
              <w:rPr>
                <w:b/>
                <w:szCs w:val="24"/>
              </w:rPr>
            </w:pPr>
            <w:r w:rsidRPr="000A1CAB">
              <w:rPr>
                <w:szCs w:val="24"/>
              </w:rPr>
              <w:t>information and technology systems;</w:t>
            </w:r>
          </w:p>
          <w:p w:rsidR="00A020D3" w:rsidRPr="000A1CAB" w:rsidRDefault="00A020D3" w:rsidP="00A020D3">
            <w:pPr>
              <w:pStyle w:val="Tablebullet"/>
              <w:numPr>
                <w:ilvl w:val="0"/>
                <w:numId w:val="63"/>
              </w:numPr>
              <w:spacing w:after="120"/>
              <w:rPr>
                <w:b/>
                <w:szCs w:val="24"/>
              </w:rPr>
            </w:pPr>
            <w:r w:rsidRPr="000A1CAB">
              <w:rPr>
                <w:szCs w:val="24"/>
              </w:rPr>
              <w:t>asset management systems;</w:t>
            </w:r>
          </w:p>
          <w:p w:rsidR="00A020D3" w:rsidRPr="000A1CAB" w:rsidRDefault="00A020D3" w:rsidP="00A020D3">
            <w:pPr>
              <w:pStyle w:val="Tablebullet"/>
              <w:numPr>
                <w:ilvl w:val="0"/>
                <w:numId w:val="63"/>
              </w:numPr>
              <w:spacing w:after="120"/>
              <w:rPr>
                <w:b/>
                <w:szCs w:val="24"/>
              </w:rPr>
            </w:pPr>
            <w:r w:rsidRPr="000A1CAB">
              <w:rPr>
                <w:szCs w:val="24"/>
              </w:rPr>
              <w:t>office buildings, depots and workshops;</w:t>
            </w:r>
          </w:p>
          <w:p w:rsidR="00A020D3" w:rsidRPr="000A1CAB" w:rsidRDefault="00A020D3" w:rsidP="00A020D3">
            <w:pPr>
              <w:pStyle w:val="Tablebullet"/>
              <w:numPr>
                <w:ilvl w:val="0"/>
                <w:numId w:val="63"/>
              </w:numPr>
              <w:spacing w:after="120"/>
              <w:rPr>
                <w:b/>
                <w:szCs w:val="24"/>
              </w:rPr>
            </w:pPr>
            <w:r w:rsidRPr="000A1CAB">
              <w:rPr>
                <w:szCs w:val="24"/>
              </w:rPr>
              <w:t>office furniture and equipment;</w:t>
            </w:r>
          </w:p>
          <w:p w:rsidR="00A020D3" w:rsidRPr="000A1CAB" w:rsidRDefault="00A020D3" w:rsidP="00A020D3">
            <w:pPr>
              <w:pStyle w:val="Tablebullet"/>
              <w:numPr>
                <w:ilvl w:val="0"/>
                <w:numId w:val="63"/>
              </w:numPr>
              <w:spacing w:after="120"/>
              <w:rPr>
                <w:b/>
                <w:szCs w:val="24"/>
              </w:rPr>
            </w:pPr>
            <w:r w:rsidRPr="000A1CAB">
              <w:rPr>
                <w:szCs w:val="24"/>
              </w:rPr>
              <w:t>motor vehicles;</w:t>
            </w:r>
          </w:p>
          <w:p w:rsidR="00A020D3" w:rsidRPr="000A1CAB" w:rsidRDefault="00A020D3" w:rsidP="00A020D3">
            <w:pPr>
              <w:pStyle w:val="Tablebullet"/>
              <w:numPr>
                <w:ilvl w:val="0"/>
                <w:numId w:val="63"/>
              </w:numPr>
              <w:spacing w:after="120"/>
              <w:rPr>
                <w:i/>
                <w:szCs w:val="24"/>
              </w:rPr>
            </w:pPr>
            <w:r w:rsidRPr="000A1CAB">
              <w:rPr>
                <w:szCs w:val="24"/>
              </w:rPr>
              <w:t>tools, plant and machinery; and</w:t>
            </w:r>
          </w:p>
          <w:p w:rsidR="00A020D3" w:rsidRPr="000A1CAB" w:rsidRDefault="00A020D3" w:rsidP="004D1973">
            <w:pPr>
              <w:pStyle w:val="BodyText"/>
              <w:rPr>
                <w:b/>
                <w:lang w:val="en-AU"/>
              </w:rPr>
            </w:pPr>
            <w:proofErr w:type="gramStart"/>
            <w:r w:rsidRPr="000A1CAB">
              <w:t>any</w:t>
            </w:r>
            <w:proofErr w:type="gramEnd"/>
            <w:r w:rsidRPr="000A1CAB">
              <w:t xml:space="preserve"> other items treated as non-system fixed assets under Generally Accepted Accounting Practice (</w:t>
            </w:r>
            <w:r w:rsidRPr="000A1CAB">
              <w:rPr>
                <w:rStyle w:val="Emphasis-Bold"/>
              </w:rPr>
              <w:t>GAAP)</w:t>
            </w:r>
            <w:r w:rsidRPr="000A1CAB">
              <w:rPr>
                <w:rStyle w:val="Emphasis-Remove"/>
              </w:rPr>
              <w:t>.</w:t>
            </w:r>
          </w:p>
        </w:tc>
      </w:tr>
      <w:tr w:rsidR="008539EC" w:rsidRPr="000A1CAB" w:rsidTr="00A03DC6">
        <w:tc>
          <w:tcPr>
            <w:tcW w:w="3510" w:type="dxa"/>
          </w:tcPr>
          <w:p w:rsidR="008539EC" w:rsidRPr="000A1CAB" w:rsidRDefault="008539EC" w:rsidP="00AE0D10">
            <w:pPr>
              <w:pStyle w:val="BodyText"/>
              <w:spacing w:line="264" w:lineRule="auto"/>
              <w:rPr>
                <w:rFonts w:cs="Arial"/>
                <w:b/>
                <w:bCs/>
                <w:lang w:eastAsia="en-NZ"/>
              </w:rPr>
            </w:pPr>
            <w:r w:rsidRPr="000A1CAB">
              <w:rPr>
                <w:b/>
                <w:bCs/>
              </w:rPr>
              <w:t>Non-standard contract</w:t>
            </w:r>
          </w:p>
        </w:tc>
        <w:tc>
          <w:tcPr>
            <w:tcW w:w="4882" w:type="dxa"/>
          </w:tcPr>
          <w:p w:rsidR="008539EC" w:rsidRPr="000A1CAB" w:rsidRDefault="008539EC" w:rsidP="00AE0D10">
            <w:pPr>
              <w:spacing w:line="264" w:lineRule="auto"/>
              <w:rPr>
                <w:rFonts w:cs="Arial"/>
                <w:lang w:eastAsia="en-NZ"/>
              </w:rPr>
            </w:pPr>
            <w:r w:rsidRPr="000A1CAB">
              <w:t xml:space="preserve">means a </w:t>
            </w:r>
            <w:r w:rsidRPr="000A1CAB">
              <w:rPr>
                <w:b/>
              </w:rPr>
              <w:t>contract</w:t>
            </w:r>
            <w:r w:rsidRPr="000A1CAB">
              <w:t xml:space="preserve"> that is not a </w:t>
            </w:r>
            <w:r w:rsidRPr="000A1CAB">
              <w:rPr>
                <w:b/>
              </w:rPr>
              <w:t>standard contract</w:t>
            </w:r>
          </w:p>
        </w:tc>
      </w:tr>
      <w:tr w:rsidR="008539EC" w:rsidRPr="000A1CAB" w:rsidTr="00A03DC6">
        <w:tc>
          <w:tcPr>
            <w:tcW w:w="3510" w:type="dxa"/>
          </w:tcPr>
          <w:p w:rsidR="008539EC" w:rsidRPr="000A1CAB" w:rsidRDefault="008539EC" w:rsidP="00AE0D10">
            <w:pPr>
              <w:pStyle w:val="BodyText"/>
              <w:spacing w:line="264" w:lineRule="auto"/>
              <w:rPr>
                <w:rFonts w:cs="Arial"/>
                <w:b/>
                <w:bCs/>
                <w:lang w:eastAsia="en-NZ"/>
              </w:rPr>
            </w:pPr>
            <w:r w:rsidRPr="000A1CAB">
              <w:rPr>
                <w:rFonts w:cs="Arial"/>
                <w:b/>
                <w:bCs/>
                <w:lang w:eastAsia="en-NZ"/>
              </w:rPr>
              <w:t>Not directly attributable</w:t>
            </w:r>
          </w:p>
        </w:tc>
        <w:tc>
          <w:tcPr>
            <w:tcW w:w="4882" w:type="dxa"/>
          </w:tcPr>
          <w:p w:rsidR="008539EC" w:rsidRPr="000A1CAB" w:rsidRDefault="008539EC" w:rsidP="00AE0D10">
            <w:pPr>
              <w:spacing w:line="264" w:lineRule="auto"/>
              <w:rPr>
                <w:rFonts w:cs="Arial"/>
                <w:lang w:eastAsia="en-NZ"/>
              </w:rPr>
            </w:pPr>
            <w:r w:rsidRPr="000A1CAB">
              <w:rPr>
                <w:rFonts w:cs="Arial"/>
                <w:lang w:eastAsia="en-NZ"/>
              </w:rPr>
              <w:t>means:</w:t>
            </w:r>
          </w:p>
          <w:p w:rsidR="005F2584" w:rsidRPr="000A1CAB" w:rsidRDefault="008539EC" w:rsidP="00440341">
            <w:pPr>
              <w:pStyle w:val="ListParagraph"/>
              <w:numPr>
                <w:ilvl w:val="0"/>
                <w:numId w:val="19"/>
              </w:numPr>
              <w:spacing w:line="264" w:lineRule="auto"/>
              <w:ind w:left="459" w:hanging="425"/>
              <w:rPr>
                <w:rFonts w:cs="Arial"/>
                <w:lang w:eastAsia="en-NZ"/>
              </w:rPr>
            </w:pPr>
            <w:r w:rsidRPr="000A1CAB">
              <w:rPr>
                <w:rFonts w:cs="Arial"/>
                <w:lang w:eastAsia="en-NZ"/>
              </w:rPr>
              <w:t xml:space="preserve">in </w:t>
            </w:r>
            <w:r w:rsidR="00C95D7E" w:rsidRPr="000A1CAB">
              <w:rPr>
                <w:rFonts w:cs="Arial"/>
                <w:lang w:eastAsia="en-NZ"/>
              </w:rPr>
              <w:t xml:space="preserve">relation to </w:t>
            </w:r>
            <w:r w:rsidRPr="000A1CAB">
              <w:rPr>
                <w:rFonts w:cs="Arial"/>
                <w:b/>
                <w:lang w:eastAsia="en-NZ"/>
              </w:rPr>
              <w:t>operating costs</w:t>
            </w:r>
            <w:r w:rsidRPr="000A1CAB">
              <w:rPr>
                <w:rFonts w:cs="Arial"/>
                <w:lang w:eastAsia="en-NZ"/>
              </w:rPr>
              <w:t xml:space="preserve">, </w:t>
            </w:r>
            <w:r w:rsidRPr="000A1CAB">
              <w:rPr>
                <w:rFonts w:cs="Arial"/>
                <w:b/>
                <w:lang w:eastAsia="en-NZ"/>
              </w:rPr>
              <w:t>operating costs</w:t>
            </w:r>
            <w:r w:rsidRPr="000A1CAB">
              <w:rPr>
                <w:rFonts w:cs="Arial"/>
                <w:lang w:eastAsia="en-NZ"/>
              </w:rPr>
              <w:t xml:space="preserve"> that are not </w:t>
            </w:r>
            <w:r w:rsidRPr="000A1CAB">
              <w:rPr>
                <w:rFonts w:cs="Arial"/>
                <w:b/>
                <w:lang w:eastAsia="en-NZ"/>
              </w:rPr>
              <w:t>directly attributable</w:t>
            </w:r>
            <w:r w:rsidRPr="000A1CAB">
              <w:rPr>
                <w:rFonts w:cs="Arial"/>
                <w:lang w:eastAsia="en-NZ"/>
              </w:rPr>
              <w:t>;</w:t>
            </w:r>
          </w:p>
          <w:p w:rsidR="005F2584" w:rsidRPr="000A1CAB" w:rsidRDefault="008539EC" w:rsidP="00440341">
            <w:pPr>
              <w:pStyle w:val="ListParagraph"/>
              <w:numPr>
                <w:ilvl w:val="0"/>
                <w:numId w:val="19"/>
              </w:numPr>
              <w:tabs>
                <w:tab w:val="left" w:pos="4045"/>
              </w:tabs>
              <w:spacing w:line="264" w:lineRule="auto"/>
              <w:ind w:left="459" w:hanging="425"/>
              <w:rPr>
                <w:rFonts w:cs="Arial"/>
                <w:lang w:eastAsia="en-NZ"/>
              </w:rPr>
            </w:pPr>
            <w:r w:rsidRPr="000A1CAB">
              <w:rPr>
                <w:rFonts w:cs="Arial"/>
                <w:lang w:eastAsia="en-NZ"/>
              </w:rPr>
              <w:t xml:space="preserve">in </w:t>
            </w:r>
            <w:r w:rsidR="00C95D7E" w:rsidRPr="000A1CAB">
              <w:rPr>
                <w:rFonts w:cs="Arial"/>
                <w:lang w:eastAsia="en-NZ"/>
              </w:rPr>
              <w:t xml:space="preserve">relation to </w:t>
            </w:r>
            <w:r w:rsidRPr="000A1CAB">
              <w:rPr>
                <w:rFonts w:cs="Arial"/>
                <w:b/>
                <w:lang w:eastAsia="en-NZ"/>
              </w:rPr>
              <w:t>regulated service asset values</w:t>
            </w:r>
            <w:r w:rsidRPr="000A1CAB">
              <w:rPr>
                <w:rFonts w:cs="Arial"/>
                <w:lang w:eastAsia="en-NZ"/>
              </w:rPr>
              <w:t xml:space="preserve">, </w:t>
            </w:r>
            <w:r w:rsidRPr="000A1CAB">
              <w:rPr>
                <w:rFonts w:cs="Arial"/>
                <w:b/>
                <w:lang w:eastAsia="en-NZ"/>
              </w:rPr>
              <w:t>regulated service asset values</w:t>
            </w:r>
            <w:r w:rsidRPr="000A1CAB">
              <w:rPr>
                <w:rFonts w:cs="Arial"/>
                <w:lang w:eastAsia="en-NZ"/>
              </w:rPr>
              <w:t xml:space="preserve"> that are not </w:t>
            </w:r>
            <w:r w:rsidRPr="000A1CAB">
              <w:rPr>
                <w:rFonts w:cs="Arial"/>
                <w:b/>
                <w:lang w:eastAsia="en-NZ"/>
              </w:rPr>
              <w:t>directly attributable</w:t>
            </w:r>
          </w:p>
        </w:tc>
      </w:tr>
    </w:tbl>
    <w:p w:rsidR="003E69C4" w:rsidRPr="006441E4" w:rsidRDefault="003E69C4" w:rsidP="00AE0D10">
      <w:pPr>
        <w:pStyle w:val="Heading2"/>
        <w:spacing w:before="240" w:after="240" w:line="264" w:lineRule="auto"/>
        <w:jc w:val="center"/>
        <w:rPr>
          <w:lang w:eastAsia="en-GB"/>
        </w:rPr>
      </w:pPr>
      <w:r w:rsidRPr="006441E4">
        <w:rPr>
          <w:lang w:eastAsia="en-GB"/>
        </w:rPr>
        <w:t>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703057" w:rsidRPr="006441E4" w:rsidTr="00A03DC6">
        <w:tc>
          <w:tcPr>
            <w:tcW w:w="3510" w:type="dxa"/>
          </w:tcPr>
          <w:p w:rsidR="00703057" w:rsidRPr="006441E4" w:rsidRDefault="00703057" w:rsidP="00AE0D10">
            <w:pPr>
              <w:pStyle w:val="BodyText"/>
              <w:spacing w:line="264" w:lineRule="auto"/>
              <w:rPr>
                <w:rFonts w:cs="Arial"/>
                <w:b/>
                <w:bCs/>
                <w:lang w:eastAsia="en-NZ"/>
              </w:rPr>
            </w:pPr>
            <w:proofErr w:type="spellStart"/>
            <w:r w:rsidRPr="00703057">
              <w:rPr>
                <w:rFonts w:cs="Arial"/>
                <w:b/>
                <w:bCs/>
                <w:lang w:eastAsia="en-NZ"/>
              </w:rPr>
              <w:t>Offtake</w:t>
            </w:r>
            <w:proofErr w:type="spellEnd"/>
            <w:r w:rsidRPr="00703057">
              <w:rPr>
                <w:rFonts w:cs="Arial"/>
                <w:b/>
                <w:bCs/>
                <w:lang w:eastAsia="en-NZ"/>
              </w:rPr>
              <w:t xml:space="preserve"> peak</w:t>
            </w:r>
          </w:p>
        </w:tc>
        <w:tc>
          <w:tcPr>
            <w:tcW w:w="4882" w:type="dxa"/>
          </w:tcPr>
          <w:p w:rsidR="00703057" w:rsidRPr="006441E4" w:rsidRDefault="00703057" w:rsidP="00C95D7E">
            <w:pPr>
              <w:spacing w:line="264" w:lineRule="auto"/>
              <w:rPr>
                <w:rFonts w:cs="Arial"/>
                <w:lang w:eastAsia="en-NZ"/>
              </w:rPr>
            </w:pPr>
            <w:r w:rsidRPr="00703057">
              <w:rPr>
                <w:rFonts w:cs="Arial"/>
                <w:lang w:eastAsia="en-NZ"/>
              </w:rPr>
              <w:t xml:space="preserve">means, in relation to an </w:t>
            </w:r>
            <w:proofErr w:type="spellStart"/>
            <w:r w:rsidRPr="00703057">
              <w:rPr>
                <w:rFonts w:cs="Arial"/>
                <w:lang w:eastAsia="en-NZ"/>
              </w:rPr>
              <w:t>offtake</w:t>
            </w:r>
            <w:proofErr w:type="spellEnd"/>
            <w:r w:rsidRPr="00703057">
              <w:rPr>
                <w:rFonts w:cs="Arial"/>
                <w:lang w:eastAsia="en-NZ"/>
              </w:rPr>
              <w:t xml:space="preserve"> point on a transmission system, a period of specified duration during which the throughput of gas at the </w:t>
            </w:r>
            <w:proofErr w:type="spellStart"/>
            <w:r w:rsidRPr="00703057">
              <w:rPr>
                <w:rFonts w:cs="Arial"/>
                <w:lang w:eastAsia="en-NZ"/>
              </w:rPr>
              <w:t>offtake</w:t>
            </w:r>
            <w:proofErr w:type="spellEnd"/>
            <w:r w:rsidRPr="00703057">
              <w:rPr>
                <w:rFonts w:cs="Arial"/>
                <w:lang w:eastAsia="en-NZ"/>
              </w:rPr>
              <w:t xml:space="preserve"> point in the year ended 30 September is at its peak</w:t>
            </w:r>
          </w:p>
        </w:tc>
      </w:tr>
      <w:tr w:rsidR="00C95D7E" w:rsidRPr="006441E4" w:rsidTr="00A03DC6">
        <w:tc>
          <w:tcPr>
            <w:tcW w:w="3510" w:type="dxa"/>
          </w:tcPr>
          <w:p w:rsidR="00C95D7E" w:rsidRPr="006441E4" w:rsidRDefault="00C95D7E" w:rsidP="00AE0D10">
            <w:pPr>
              <w:pStyle w:val="BodyText"/>
              <w:spacing w:line="264" w:lineRule="auto"/>
              <w:rPr>
                <w:rFonts w:cs="Arial"/>
                <w:b/>
                <w:bCs/>
                <w:lang w:eastAsia="en-NZ"/>
              </w:rPr>
            </w:pPr>
            <w:r w:rsidRPr="006441E4">
              <w:rPr>
                <w:rFonts w:cs="Arial"/>
                <w:b/>
                <w:bCs/>
                <w:lang w:eastAsia="en-NZ"/>
              </w:rPr>
              <w:t>Operating cost</w:t>
            </w:r>
          </w:p>
        </w:tc>
        <w:tc>
          <w:tcPr>
            <w:tcW w:w="4882" w:type="dxa"/>
          </w:tcPr>
          <w:p w:rsidR="00C95D7E" w:rsidRPr="006441E4" w:rsidRDefault="00C95D7E" w:rsidP="00C95D7E">
            <w:pPr>
              <w:spacing w:line="264" w:lineRule="auto"/>
              <w:rPr>
                <w:rFonts w:cs="Arial"/>
                <w:lang w:eastAsia="en-NZ"/>
              </w:rPr>
            </w:pPr>
            <w:r w:rsidRPr="006441E4">
              <w:rPr>
                <w:rFonts w:cs="Arial"/>
                <w:lang w:eastAsia="en-NZ"/>
              </w:rPr>
              <w:t xml:space="preserve">has the meaning set out in the </w:t>
            </w:r>
            <w:r w:rsidRPr="006441E4">
              <w:rPr>
                <w:rFonts w:cs="Arial"/>
                <w:b/>
                <w:bCs/>
                <w:lang w:eastAsia="en-NZ"/>
              </w:rPr>
              <w:t>IM determination</w:t>
            </w:r>
          </w:p>
        </w:tc>
      </w:tr>
      <w:tr w:rsidR="00C95D7E" w:rsidRPr="006441E4" w:rsidTr="004068A0">
        <w:tc>
          <w:tcPr>
            <w:tcW w:w="3510" w:type="dxa"/>
          </w:tcPr>
          <w:p w:rsidR="00C95D7E" w:rsidRPr="006441E4" w:rsidRDefault="00C95D7E" w:rsidP="004068A0">
            <w:pPr>
              <w:pStyle w:val="BodyText"/>
              <w:spacing w:line="264" w:lineRule="auto"/>
              <w:rPr>
                <w:rFonts w:cs="Arial"/>
                <w:b/>
                <w:bCs/>
                <w:lang w:eastAsia="en-NZ"/>
              </w:rPr>
            </w:pPr>
            <w:r w:rsidRPr="006441E4">
              <w:rPr>
                <w:rFonts w:cs="Arial"/>
                <w:b/>
                <w:bCs/>
                <w:lang w:eastAsia="en-NZ"/>
              </w:rPr>
              <w:t>Operational expenditure</w:t>
            </w:r>
          </w:p>
        </w:tc>
        <w:tc>
          <w:tcPr>
            <w:tcW w:w="4882" w:type="dxa"/>
          </w:tcPr>
          <w:p w:rsidR="00C95D7E" w:rsidRPr="006441E4" w:rsidRDefault="00C95D7E" w:rsidP="004068A0">
            <w:pPr>
              <w:spacing w:line="264" w:lineRule="auto"/>
              <w:rPr>
                <w:rFonts w:cs="Arial"/>
                <w:lang w:eastAsia="en-NZ"/>
              </w:rPr>
            </w:pPr>
            <w:r w:rsidRPr="006441E4">
              <w:rPr>
                <w:rFonts w:cs="Arial"/>
                <w:lang w:eastAsia="en-NZ"/>
              </w:rPr>
              <w:t xml:space="preserve">means </w:t>
            </w:r>
            <w:r w:rsidRPr="006441E4">
              <w:rPr>
                <w:rFonts w:cs="Arial"/>
                <w:b/>
                <w:bCs/>
                <w:lang w:eastAsia="en-NZ"/>
              </w:rPr>
              <w:t xml:space="preserve">operating costs </w:t>
            </w:r>
            <w:r w:rsidRPr="006441E4">
              <w:rPr>
                <w:rFonts w:cs="Arial"/>
                <w:lang w:eastAsia="en-NZ"/>
              </w:rPr>
              <w:t>after applying clause 2.1.1 of the</w:t>
            </w:r>
            <w:r w:rsidRPr="006441E4">
              <w:rPr>
                <w:rFonts w:cs="Arial"/>
                <w:b/>
                <w:bCs/>
                <w:lang w:eastAsia="en-NZ"/>
              </w:rPr>
              <w:t xml:space="preserve"> IM determination</w:t>
            </w:r>
            <w:r w:rsidRPr="006441E4">
              <w:rPr>
                <w:rFonts w:cs="Arial"/>
                <w:lang w:eastAsia="en-NZ"/>
              </w:rPr>
              <w:t xml:space="preserve">, except in relation to the report on </w:t>
            </w:r>
            <w:r w:rsidRPr="006441E4">
              <w:rPr>
                <w:rFonts w:cs="Arial"/>
                <w:b/>
                <w:lang w:eastAsia="en-NZ"/>
              </w:rPr>
              <w:t>related party transactions</w:t>
            </w:r>
            <w:r w:rsidRPr="006441E4">
              <w:rPr>
                <w:rFonts w:cs="Arial"/>
                <w:lang w:eastAsia="en-NZ"/>
              </w:rPr>
              <w:t xml:space="preserve"> where it means operating costs after applying clause 2.1.1 of the </w:t>
            </w:r>
            <w:r w:rsidRPr="006441E4">
              <w:rPr>
                <w:rFonts w:cs="Arial"/>
                <w:b/>
                <w:bCs/>
                <w:lang w:eastAsia="en-NZ"/>
              </w:rPr>
              <w:t xml:space="preserve">IM determination </w:t>
            </w:r>
            <w:r w:rsidRPr="006441E4">
              <w:rPr>
                <w:rFonts w:cs="Arial"/>
                <w:lang w:eastAsia="en-NZ"/>
              </w:rPr>
              <w:t xml:space="preserve">and that are </w:t>
            </w:r>
            <w:r w:rsidRPr="006441E4">
              <w:rPr>
                <w:rFonts w:cs="Arial"/>
                <w:b/>
                <w:lang w:eastAsia="en-NZ"/>
              </w:rPr>
              <w:t>related party transactions</w:t>
            </w:r>
          </w:p>
        </w:tc>
      </w:tr>
      <w:tr w:rsidR="00B30070" w:rsidRPr="006441E4" w:rsidTr="00A03DC6">
        <w:tc>
          <w:tcPr>
            <w:tcW w:w="3510" w:type="dxa"/>
          </w:tcPr>
          <w:p w:rsidR="00B30070" w:rsidRPr="006441E4" w:rsidRDefault="00B30070" w:rsidP="00AE0D10">
            <w:pPr>
              <w:pStyle w:val="BodyText"/>
              <w:spacing w:line="264" w:lineRule="auto"/>
              <w:rPr>
                <w:rFonts w:cs="Arial"/>
                <w:b/>
                <w:bCs/>
                <w:lang w:eastAsia="en-NZ"/>
              </w:rPr>
            </w:pPr>
            <w:r w:rsidRPr="006441E4">
              <w:rPr>
                <w:b/>
              </w:rPr>
              <w:t>Other assets</w:t>
            </w:r>
          </w:p>
        </w:tc>
        <w:tc>
          <w:tcPr>
            <w:tcW w:w="4882" w:type="dxa"/>
          </w:tcPr>
          <w:p w:rsidR="00B30070" w:rsidRPr="006441E4" w:rsidRDefault="002E1600" w:rsidP="002E1600">
            <w:pPr>
              <w:tabs>
                <w:tab w:val="left" w:pos="4045"/>
              </w:tabs>
              <w:spacing w:line="264" w:lineRule="auto"/>
              <w:rPr>
                <w:rFonts w:cs="Arial"/>
                <w:lang w:eastAsia="en-NZ"/>
              </w:rPr>
            </w:pPr>
            <w:r>
              <w:rPr>
                <w:rFonts w:cs="Arial"/>
                <w:lang w:eastAsia="en-NZ"/>
              </w:rPr>
              <w:t>m</w:t>
            </w:r>
            <w:r w:rsidRPr="00152D73">
              <w:rPr>
                <w:rFonts w:cs="Arial"/>
                <w:lang w:eastAsia="en-NZ"/>
              </w:rPr>
              <w:t xml:space="preserve">eans assets used by the </w:t>
            </w:r>
            <w:r w:rsidRPr="00152D73">
              <w:rPr>
                <w:rFonts w:cs="Arial"/>
                <w:b/>
                <w:lang w:eastAsia="en-NZ"/>
              </w:rPr>
              <w:t>GTB</w:t>
            </w:r>
            <w:r w:rsidRPr="00152D73">
              <w:rPr>
                <w:rFonts w:cs="Arial"/>
                <w:lang w:eastAsia="en-NZ"/>
              </w:rPr>
              <w:t xml:space="preserve"> to provide </w:t>
            </w:r>
            <w:r w:rsidRPr="00152D73">
              <w:rPr>
                <w:rFonts w:cs="Arial"/>
                <w:b/>
                <w:lang w:eastAsia="en-NZ"/>
              </w:rPr>
              <w:t>gas transmission services</w:t>
            </w:r>
            <w:r w:rsidRPr="00152D73">
              <w:rPr>
                <w:rFonts w:cs="Arial"/>
                <w:lang w:eastAsia="en-NZ"/>
              </w:rPr>
              <w:t xml:space="preserve"> that are not </w:t>
            </w:r>
            <w:r w:rsidRPr="00152D73">
              <w:rPr>
                <w:rFonts w:cs="Arial"/>
                <w:b/>
                <w:lang w:eastAsia="en-NZ"/>
              </w:rPr>
              <w:t>pipes</w:t>
            </w:r>
            <w:r w:rsidRPr="00152D73">
              <w:rPr>
                <w:rFonts w:cs="Arial"/>
                <w:lang w:eastAsia="en-NZ"/>
              </w:rPr>
              <w:t xml:space="preserve">, </w:t>
            </w:r>
            <w:r w:rsidRPr="00152D73">
              <w:rPr>
                <w:rFonts w:cs="Arial"/>
                <w:b/>
                <w:lang w:eastAsia="en-NZ"/>
              </w:rPr>
              <w:t>stations</w:t>
            </w:r>
            <w:r w:rsidRPr="00152D73">
              <w:rPr>
                <w:rFonts w:cs="Arial"/>
                <w:lang w:eastAsia="en-NZ"/>
              </w:rPr>
              <w:t xml:space="preserve">, </w:t>
            </w:r>
            <w:r w:rsidRPr="00152D73">
              <w:rPr>
                <w:rFonts w:cs="Arial"/>
                <w:b/>
                <w:lang w:eastAsia="en-NZ"/>
              </w:rPr>
              <w:t>compressors</w:t>
            </w:r>
            <w:r>
              <w:rPr>
                <w:rFonts w:cs="Arial"/>
                <w:lang w:eastAsia="en-NZ"/>
              </w:rPr>
              <w:t xml:space="preserve">, </w:t>
            </w:r>
            <w:r w:rsidRPr="00152D73">
              <w:rPr>
                <w:rFonts w:cs="Arial"/>
                <w:b/>
                <w:lang w:eastAsia="en-NZ"/>
              </w:rPr>
              <w:t>mainline valves</w:t>
            </w:r>
            <w:r w:rsidRPr="00152D73">
              <w:rPr>
                <w:rFonts w:cs="Arial"/>
                <w:lang w:eastAsia="en-NZ"/>
              </w:rPr>
              <w:t xml:space="preserve">, </w:t>
            </w:r>
            <w:r w:rsidRPr="00152D73">
              <w:rPr>
                <w:rFonts w:cs="Arial"/>
                <w:b/>
                <w:lang w:eastAsia="en-NZ"/>
              </w:rPr>
              <w:t>special crossings</w:t>
            </w:r>
            <w:r w:rsidRPr="002E1600">
              <w:rPr>
                <w:rFonts w:cs="Arial"/>
                <w:lang w:eastAsia="en-NZ"/>
              </w:rPr>
              <w:t xml:space="preserve">, or </w:t>
            </w:r>
            <w:r w:rsidRPr="002E1600">
              <w:rPr>
                <w:rFonts w:cs="Arial"/>
                <w:b/>
                <w:lang w:eastAsia="en-NZ"/>
              </w:rPr>
              <w:t>other system fixed assets</w:t>
            </w:r>
          </w:p>
        </w:tc>
      </w:tr>
      <w:tr w:rsidR="00C95D7E" w:rsidRPr="006441E4" w:rsidTr="00A03DC6">
        <w:tc>
          <w:tcPr>
            <w:tcW w:w="3510" w:type="dxa"/>
          </w:tcPr>
          <w:p w:rsidR="00C95D7E" w:rsidRPr="006441E4" w:rsidRDefault="00C95D7E" w:rsidP="00AE0D10">
            <w:pPr>
              <w:pStyle w:val="BodyText"/>
              <w:spacing w:line="264" w:lineRule="auto"/>
              <w:rPr>
                <w:rFonts w:cs="Arial"/>
                <w:b/>
                <w:bCs/>
                <w:lang w:eastAsia="en-NZ"/>
              </w:rPr>
            </w:pPr>
            <w:r w:rsidRPr="006441E4">
              <w:rPr>
                <w:rFonts w:cs="Arial"/>
                <w:b/>
                <w:bCs/>
                <w:lang w:eastAsia="en-NZ"/>
              </w:rPr>
              <w:t>Other regulated income</w:t>
            </w:r>
          </w:p>
        </w:tc>
        <w:tc>
          <w:tcPr>
            <w:tcW w:w="4882" w:type="dxa"/>
          </w:tcPr>
          <w:p w:rsidR="00C95D7E" w:rsidRPr="006441E4" w:rsidRDefault="00C95D7E" w:rsidP="00AE0D10">
            <w:pPr>
              <w:tabs>
                <w:tab w:val="left" w:pos="601"/>
                <w:tab w:val="left" w:pos="1026"/>
                <w:tab w:val="left" w:pos="1451"/>
              </w:tabs>
              <w:spacing w:line="264" w:lineRule="auto"/>
              <w:rPr>
                <w:rFonts w:cs="Arial"/>
                <w:lang w:eastAsia="en-NZ"/>
              </w:rPr>
            </w:pPr>
            <w:r w:rsidRPr="006441E4">
              <w:rPr>
                <w:rFonts w:cs="Arial"/>
                <w:lang w:eastAsia="en-NZ"/>
              </w:rPr>
              <w:t xml:space="preserve">has the meaning set out in the </w:t>
            </w:r>
            <w:r w:rsidRPr="006441E4">
              <w:rPr>
                <w:rFonts w:cs="Arial"/>
                <w:b/>
                <w:lang w:eastAsia="en-NZ"/>
              </w:rPr>
              <w:t>IM determination</w:t>
            </w:r>
          </w:p>
        </w:tc>
      </w:tr>
      <w:tr w:rsidR="002C3815" w:rsidRPr="006441E4" w:rsidTr="00A03DC6">
        <w:tc>
          <w:tcPr>
            <w:tcW w:w="3510" w:type="dxa"/>
          </w:tcPr>
          <w:p w:rsidR="002C3815" w:rsidRPr="006441E4" w:rsidRDefault="002C3815" w:rsidP="002E1600">
            <w:pPr>
              <w:pStyle w:val="BodyText"/>
              <w:spacing w:line="264" w:lineRule="auto"/>
              <w:rPr>
                <w:rFonts w:cs="Arial"/>
                <w:b/>
                <w:bCs/>
                <w:lang w:eastAsia="en-NZ"/>
              </w:rPr>
            </w:pPr>
            <w:r>
              <w:rPr>
                <w:rFonts w:cs="Arial"/>
                <w:b/>
                <w:bCs/>
                <w:lang w:eastAsia="en-NZ"/>
              </w:rPr>
              <w:t>Other system fixed assets</w:t>
            </w:r>
            <w:r w:rsidR="002E1600" w:rsidRPr="002E1600">
              <w:rPr>
                <w:rFonts w:cs="Arial"/>
                <w:bCs/>
                <w:lang w:eastAsia="en-NZ"/>
              </w:rPr>
              <w:t xml:space="preserve"> </w:t>
            </w:r>
            <w:r w:rsidR="002E1600">
              <w:rPr>
                <w:rFonts w:cs="Arial"/>
                <w:bCs/>
                <w:lang w:eastAsia="en-NZ"/>
              </w:rPr>
              <w:t xml:space="preserve">(or </w:t>
            </w:r>
            <w:r w:rsidR="002E1600" w:rsidRPr="002E1600">
              <w:rPr>
                <w:rFonts w:cs="Arial"/>
                <w:b/>
                <w:bCs/>
                <w:lang w:eastAsia="en-NZ"/>
              </w:rPr>
              <w:t>other network assets</w:t>
            </w:r>
            <w:r w:rsidR="002E1600" w:rsidRPr="002E1600">
              <w:rPr>
                <w:rFonts w:cs="Arial"/>
                <w:bCs/>
                <w:lang w:eastAsia="en-NZ"/>
              </w:rPr>
              <w:t>)</w:t>
            </w:r>
          </w:p>
        </w:tc>
        <w:tc>
          <w:tcPr>
            <w:tcW w:w="4882" w:type="dxa"/>
          </w:tcPr>
          <w:p w:rsidR="002C3815" w:rsidRPr="006441E4" w:rsidRDefault="002E1600" w:rsidP="005A23C3">
            <w:pPr>
              <w:tabs>
                <w:tab w:val="left" w:pos="601"/>
                <w:tab w:val="left" w:pos="1026"/>
                <w:tab w:val="left" w:pos="1451"/>
              </w:tabs>
              <w:spacing w:line="264" w:lineRule="auto"/>
              <w:rPr>
                <w:rFonts w:cs="Arial"/>
                <w:lang w:eastAsia="en-NZ"/>
              </w:rPr>
            </w:pPr>
            <w:r>
              <w:rPr>
                <w:rFonts w:cs="Arial"/>
                <w:lang w:eastAsia="en-NZ"/>
              </w:rPr>
              <w:t>m</w:t>
            </w:r>
            <w:r w:rsidR="005A23C3" w:rsidRPr="00152D73">
              <w:rPr>
                <w:rFonts w:cs="Arial"/>
                <w:lang w:eastAsia="en-NZ"/>
              </w:rPr>
              <w:t xml:space="preserve">eans </w:t>
            </w:r>
            <w:r w:rsidRPr="002E1600">
              <w:rPr>
                <w:rFonts w:cs="Arial"/>
                <w:b/>
                <w:lang w:eastAsia="en-NZ"/>
              </w:rPr>
              <w:t>network</w:t>
            </w:r>
            <w:r>
              <w:rPr>
                <w:rFonts w:cs="Arial"/>
                <w:lang w:eastAsia="en-NZ"/>
              </w:rPr>
              <w:t xml:space="preserve"> </w:t>
            </w:r>
            <w:r w:rsidR="005A23C3" w:rsidRPr="00152D73">
              <w:rPr>
                <w:rFonts w:cs="Arial"/>
                <w:lang w:eastAsia="en-NZ"/>
              </w:rPr>
              <w:t xml:space="preserve">assets used by the </w:t>
            </w:r>
            <w:r w:rsidR="005A23C3" w:rsidRPr="00152D73">
              <w:rPr>
                <w:rFonts w:cs="Arial"/>
                <w:b/>
                <w:lang w:eastAsia="en-NZ"/>
              </w:rPr>
              <w:t>GTB</w:t>
            </w:r>
            <w:r w:rsidR="005A23C3" w:rsidRPr="00152D73">
              <w:rPr>
                <w:rFonts w:cs="Arial"/>
                <w:lang w:eastAsia="en-NZ"/>
              </w:rPr>
              <w:t xml:space="preserve"> to provide </w:t>
            </w:r>
            <w:r w:rsidR="005A23C3" w:rsidRPr="00152D73">
              <w:rPr>
                <w:rFonts w:cs="Arial"/>
                <w:b/>
                <w:lang w:eastAsia="en-NZ"/>
              </w:rPr>
              <w:t>gas transmission services</w:t>
            </w:r>
            <w:r w:rsidR="005A23C3" w:rsidRPr="00152D73">
              <w:rPr>
                <w:rFonts w:cs="Arial"/>
                <w:lang w:eastAsia="en-NZ"/>
              </w:rPr>
              <w:t xml:space="preserve"> that are n</w:t>
            </w:r>
            <w:r w:rsidR="00483310" w:rsidRPr="00152D73">
              <w:rPr>
                <w:rFonts w:cs="Arial"/>
                <w:lang w:eastAsia="en-NZ"/>
              </w:rPr>
              <w:t xml:space="preserve">ot </w:t>
            </w:r>
            <w:r w:rsidR="005A23C3" w:rsidRPr="00152D73">
              <w:rPr>
                <w:rFonts w:cs="Arial"/>
                <w:b/>
                <w:lang w:eastAsia="en-NZ"/>
              </w:rPr>
              <w:t>pipes</w:t>
            </w:r>
            <w:r w:rsidR="005A23C3" w:rsidRPr="00152D73">
              <w:rPr>
                <w:rFonts w:cs="Arial"/>
                <w:lang w:eastAsia="en-NZ"/>
              </w:rPr>
              <w:t xml:space="preserve">, </w:t>
            </w:r>
            <w:r w:rsidR="005A23C3" w:rsidRPr="00152D73">
              <w:rPr>
                <w:rFonts w:cs="Arial"/>
                <w:b/>
                <w:lang w:eastAsia="en-NZ"/>
              </w:rPr>
              <w:t>stations</w:t>
            </w:r>
            <w:r w:rsidR="005A23C3" w:rsidRPr="00152D73">
              <w:rPr>
                <w:rFonts w:cs="Arial"/>
                <w:lang w:eastAsia="en-NZ"/>
              </w:rPr>
              <w:t xml:space="preserve">, </w:t>
            </w:r>
            <w:r w:rsidR="005A23C3" w:rsidRPr="00152D73">
              <w:rPr>
                <w:rFonts w:cs="Arial"/>
                <w:b/>
                <w:lang w:eastAsia="en-NZ"/>
              </w:rPr>
              <w:t>compressors</w:t>
            </w:r>
            <w:r w:rsidR="00152D73">
              <w:rPr>
                <w:rFonts w:cs="Arial"/>
                <w:lang w:eastAsia="en-NZ"/>
              </w:rPr>
              <w:t xml:space="preserve">, </w:t>
            </w:r>
            <w:r w:rsidR="00152D73" w:rsidRPr="00152D73">
              <w:rPr>
                <w:rFonts w:cs="Arial"/>
                <w:b/>
                <w:lang w:eastAsia="en-NZ"/>
              </w:rPr>
              <w:t>main</w:t>
            </w:r>
            <w:r w:rsidR="005A23C3" w:rsidRPr="00152D73">
              <w:rPr>
                <w:rFonts w:cs="Arial"/>
                <w:b/>
                <w:lang w:eastAsia="en-NZ"/>
              </w:rPr>
              <w:t>line valves</w:t>
            </w:r>
            <w:r w:rsidR="005A23C3" w:rsidRPr="00152D73">
              <w:rPr>
                <w:rFonts w:cs="Arial"/>
                <w:lang w:eastAsia="en-NZ"/>
              </w:rPr>
              <w:t xml:space="preserve">, or </w:t>
            </w:r>
            <w:r w:rsidR="005A23C3" w:rsidRPr="00152D73">
              <w:rPr>
                <w:rFonts w:cs="Arial"/>
                <w:b/>
                <w:lang w:eastAsia="en-NZ"/>
              </w:rPr>
              <w:t>special crossings</w:t>
            </w:r>
          </w:p>
        </w:tc>
      </w:tr>
    </w:tbl>
    <w:p w:rsidR="003E69C4" w:rsidRPr="006441E4" w:rsidRDefault="003E69C4" w:rsidP="00AE0D10">
      <w:pPr>
        <w:pStyle w:val="Heading2"/>
        <w:spacing w:before="240" w:after="240" w:line="264" w:lineRule="auto"/>
        <w:jc w:val="center"/>
        <w:rPr>
          <w:lang w:eastAsia="en-GB"/>
        </w:rPr>
      </w:pPr>
      <w:r w:rsidRPr="006441E4">
        <w:rPr>
          <w:lang w:eastAsia="en-GB"/>
        </w:rPr>
        <w:t>P</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066D2D" w:rsidRPr="000A1CAB" w:rsidTr="00A03DC6">
        <w:tc>
          <w:tcPr>
            <w:tcW w:w="3510" w:type="dxa"/>
          </w:tcPr>
          <w:p w:rsidR="00066D2D" w:rsidRPr="000A1CAB" w:rsidRDefault="00066D2D" w:rsidP="00AE0D10">
            <w:pPr>
              <w:pStyle w:val="BodyText"/>
              <w:spacing w:line="264" w:lineRule="auto"/>
              <w:rPr>
                <w:b/>
              </w:rPr>
            </w:pPr>
            <w:r w:rsidRPr="000A1CAB">
              <w:rPr>
                <w:b/>
                <w:bCs/>
              </w:rPr>
              <w:t xml:space="preserve">Person </w:t>
            </w:r>
          </w:p>
        </w:tc>
        <w:tc>
          <w:tcPr>
            <w:tcW w:w="4882" w:type="dxa"/>
          </w:tcPr>
          <w:p w:rsidR="00066D2D" w:rsidRPr="000A1CAB" w:rsidRDefault="00C95D7E" w:rsidP="00C95D7E">
            <w:pPr>
              <w:pStyle w:val="BodyText"/>
              <w:spacing w:after="120" w:line="264" w:lineRule="auto"/>
            </w:pPr>
            <w:r w:rsidRPr="000A1CAB">
              <w:t>means</w:t>
            </w:r>
            <w:r w:rsidR="00066D2D" w:rsidRPr="000A1CAB">
              <w:t xml:space="preserve"> a natural person, a corporation sole, a body corporate</w:t>
            </w:r>
            <w:r w:rsidRPr="000A1CAB">
              <w:t xml:space="preserve"> or</w:t>
            </w:r>
            <w:r w:rsidR="00066D2D" w:rsidRPr="000A1CAB">
              <w:t xml:space="preserve"> an unincorporated body</w:t>
            </w:r>
          </w:p>
        </w:tc>
      </w:tr>
      <w:tr w:rsidR="00B30070" w:rsidRPr="000A1CAB" w:rsidTr="00A03DC6">
        <w:tc>
          <w:tcPr>
            <w:tcW w:w="3510" w:type="dxa"/>
          </w:tcPr>
          <w:p w:rsidR="00B30070" w:rsidRPr="000A1CAB" w:rsidRDefault="00B30070" w:rsidP="00241494">
            <w:pPr>
              <w:pStyle w:val="Clausetextunnumbered"/>
              <w:rPr>
                <w:rStyle w:val="Emphasis-Bold"/>
                <w:sz w:val="24"/>
                <w:szCs w:val="24"/>
              </w:rPr>
            </w:pPr>
            <w:r w:rsidRPr="000A1CAB">
              <w:rPr>
                <w:rStyle w:val="Emphasis-Bold"/>
                <w:sz w:val="24"/>
                <w:szCs w:val="24"/>
              </w:rPr>
              <w:t>Pipes</w:t>
            </w:r>
          </w:p>
        </w:tc>
        <w:tc>
          <w:tcPr>
            <w:tcW w:w="4882" w:type="dxa"/>
          </w:tcPr>
          <w:p w:rsidR="00B30070" w:rsidRPr="000A1CAB" w:rsidRDefault="00B30070" w:rsidP="00B30070">
            <w:pPr>
              <w:tabs>
                <w:tab w:val="left" w:pos="4045"/>
              </w:tabs>
              <w:spacing w:line="264" w:lineRule="auto"/>
              <w:rPr>
                <w:rFonts w:cs="Arial"/>
                <w:lang w:eastAsia="en-NZ"/>
              </w:rPr>
            </w:pPr>
            <w:r w:rsidRPr="000A1CAB">
              <w:rPr>
                <w:color w:val="000000"/>
                <w:lang w:val="en-US"/>
              </w:rPr>
              <w:t>means [TBC by technical consultation]</w:t>
            </w:r>
          </w:p>
        </w:tc>
      </w:tr>
      <w:tr w:rsidR="00BC30B4" w:rsidRPr="000A1CAB" w:rsidTr="00A03DC6">
        <w:tc>
          <w:tcPr>
            <w:tcW w:w="3510" w:type="dxa"/>
          </w:tcPr>
          <w:p w:rsidR="00BC30B4" w:rsidRPr="000A1CAB" w:rsidRDefault="00BC30B4" w:rsidP="00241494">
            <w:pPr>
              <w:pStyle w:val="Clausetextunnumbered"/>
              <w:rPr>
                <w:sz w:val="24"/>
                <w:szCs w:val="24"/>
              </w:rPr>
            </w:pPr>
            <w:r w:rsidRPr="000A1CAB">
              <w:rPr>
                <w:rStyle w:val="Emphasis-Bold"/>
                <w:sz w:val="24"/>
                <w:szCs w:val="24"/>
              </w:rPr>
              <w:t>Planned interruptio</w:t>
            </w:r>
            <w:r w:rsidRPr="000A1CAB">
              <w:rPr>
                <w:sz w:val="24"/>
                <w:szCs w:val="24"/>
              </w:rPr>
              <w:t xml:space="preserve">n </w:t>
            </w:r>
          </w:p>
        </w:tc>
        <w:tc>
          <w:tcPr>
            <w:tcW w:w="4882" w:type="dxa"/>
          </w:tcPr>
          <w:p w:rsidR="00BC30B4" w:rsidRPr="00BC30B4" w:rsidRDefault="00BC30B4" w:rsidP="00453104">
            <w:pPr>
              <w:pStyle w:val="BodyText"/>
            </w:pPr>
            <w:r w:rsidRPr="00BC30B4">
              <w:rPr>
                <w:szCs w:val="20"/>
              </w:rPr>
              <w:t xml:space="preserve">means any </w:t>
            </w:r>
            <w:r w:rsidRPr="00BC30B4">
              <w:rPr>
                <w:b/>
                <w:szCs w:val="20"/>
              </w:rPr>
              <w:t>interruption</w:t>
            </w:r>
            <w:r w:rsidRPr="00BC30B4">
              <w:rPr>
                <w:szCs w:val="20"/>
              </w:rPr>
              <w:t xml:space="preserve"> in respect of which not less than 24 hours' notice was given, either to the public or to all gas consumers affected by the interruption</w:t>
            </w:r>
          </w:p>
        </w:tc>
      </w:tr>
      <w:tr w:rsidR="00671493" w:rsidRPr="000A1CAB" w:rsidTr="00A03DC6">
        <w:tc>
          <w:tcPr>
            <w:tcW w:w="3510" w:type="dxa"/>
          </w:tcPr>
          <w:p w:rsidR="00671493" w:rsidRPr="000A1CAB" w:rsidRDefault="00671493" w:rsidP="00C67D9A">
            <w:pPr>
              <w:pStyle w:val="BodyText"/>
              <w:spacing w:line="264" w:lineRule="auto"/>
              <w:rPr>
                <w:b/>
                <w:bCs/>
                <w:color w:val="000000"/>
                <w:lang w:val="en-US"/>
              </w:rPr>
            </w:pPr>
            <w:r w:rsidRPr="000A1CAB">
              <w:rPr>
                <w:b/>
                <w:bCs/>
                <w:color w:val="000000"/>
                <w:lang w:val="en-US"/>
              </w:rPr>
              <w:t>Prescribed contract</w:t>
            </w:r>
          </w:p>
        </w:tc>
        <w:tc>
          <w:tcPr>
            <w:tcW w:w="4882" w:type="dxa"/>
          </w:tcPr>
          <w:p w:rsidR="00671493" w:rsidRPr="000A1CAB" w:rsidRDefault="00671493" w:rsidP="00C67D9A">
            <w:pPr>
              <w:pStyle w:val="Subsection"/>
              <w:spacing w:line="264" w:lineRule="auto"/>
              <w:rPr>
                <w:color w:val="000000"/>
                <w:lang w:val="en-US"/>
              </w:rPr>
            </w:pPr>
            <w:r w:rsidRPr="000A1CAB">
              <w:rPr>
                <w:color w:val="000000"/>
                <w:lang w:val="en-US"/>
              </w:rPr>
              <w:t xml:space="preserve">in relation to an </w:t>
            </w:r>
            <w:r w:rsidR="00C67D9A" w:rsidRPr="000A1CAB">
              <w:rPr>
                <w:b/>
                <w:bCs/>
                <w:color w:val="000000"/>
                <w:lang w:val="en-US"/>
              </w:rPr>
              <w:t>GTB</w:t>
            </w:r>
            <w:r w:rsidRPr="000A1CAB">
              <w:rPr>
                <w:color w:val="000000"/>
                <w:lang w:val="en-US"/>
              </w:rPr>
              <w:t>, means -</w:t>
            </w:r>
          </w:p>
          <w:p w:rsidR="004F46FF" w:rsidRPr="000A1CAB" w:rsidRDefault="00671493" w:rsidP="00440341">
            <w:pPr>
              <w:pStyle w:val="HeadingH6ClausesubtextL2"/>
              <w:numPr>
                <w:ilvl w:val="5"/>
                <w:numId w:val="25"/>
              </w:numPr>
              <w:tabs>
                <w:tab w:val="clear" w:pos="1702"/>
                <w:tab w:val="num" w:pos="459"/>
              </w:tabs>
              <w:ind w:left="459" w:hanging="425"/>
              <w:outlineLvl w:val="9"/>
            </w:pPr>
            <w:r w:rsidRPr="000A1CAB">
              <w:t xml:space="preserve">a </w:t>
            </w:r>
            <w:r w:rsidRPr="000A1CAB">
              <w:rPr>
                <w:b/>
              </w:rPr>
              <w:t>contract</w:t>
            </w:r>
            <w:r w:rsidRPr="000A1CAB">
              <w:t xml:space="preserve"> under which the </w:t>
            </w:r>
            <w:r w:rsidR="00C67D9A" w:rsidRPr="000A1CAB">
              <w:rPr>
                <w:b/>
                <w:bCs/>
              </w:rPr>
              <w:t xml:space="preserve">GTB </w:t>
            </w:r>
            <w:r w:rsidR="00E41AF3" w:rsidRPr="000A1CAB">
              <w:t>supplies</w:t>
            </w:r>
            <w:r w:rsidRPr="000A1CAB">
              <w:t xml:space="preserve"> </w:t>
            </w:r>
            <w:r w:rsidR="00227B61" w:rsidRPr="000A1CAB">
              <w:rPr>
                <w:b/>
              </w:rPr>
              <w:t>gas transmission services</w:t>
            </w:r>
            <w:r w:rsidRPr="000A1CAB">
              <w:t>:</w:t>
            </w:r>
          </w:p>
          <w:p w:rsidR="004F46FF" w:rsidRPr="000A1CAB" w:rsidRDefault="00671493" w:rsidP="00440341">
            <w:pPr>
              <w:pStyle w:val="HeadingH6ClausesubtextL2"/>
              <w:numPr>
                <w:ilvl w:val="5"/>
                <w:numId w:val="25"/>
              </w:numPr>
              <w:tabs>
                <w:tab w:val="clear" w:pos="1702"/>
                <w:tab w:val="num" w:pos="459"/>
                <w:tab w:val="num" w:pos="3261"/>
              </w:tabs>
              <w:ind w:left="459" w:hanging="425"/>
              <w:outlineLvl w:val="9"/>
            </w:pPr>
            <w:r w:rsidRPr="000A1CAB">
              <w:t xml:space="preserve">a </w:t>
            </w:r>
            <w:r w:rsidRPr="000A1CAB">
              <w:rPr>
                <w:b/>
              </w:rPr>
              <w:t xml:space="preserve">contract </w:t>
            </w:r>
            <w:r w:rsidRPr="000A1CAB">
              <w:t xml:space="preserve">for </w:t>
            </w:r>
            <w:r w:rsidRPr="000A1CAB">
              <w:rPr>
                <w:b/>
              </w:rPr>
              <w:t>related services</w:t>
            </w:r>
            <w:r w:rsidRPr="000A1CAB">
              <w:t xml:space="preserve">, if goods or services are to be supplied under the </w:t>
            </w:r>
            <w:r w:rsidRPr="000A1CAB">
              <w:rPr>
                <w:b/>
              </w:rPr>
              <w:t>contract</w:t>
            </w:r>
            <w:r w:rsidRPr="000A1CAB">
              <w:t xml:space="preserve"> by—</w:t>
            </w:r>
          </w:p>
          <w:p w:rsidR="004F46FF" w:rsidRPr="000A1CAB" w:rsidRDefault="00671493" w:rsidP="00440341">
            <w:pPr>
              <w:pStyle w:val="HeadingH6ClausesubtextL2"/>
              <w:numPr>
                <w:ilvl w:val="5"/>
                <w:numId w:val="26"/>
              </w:numPr>
              <w:tabs>
                <w:tab w:val="clear" w:pos="1702"/>
                <w:tab w:val="num" w:pos="884"/>
                <w:tab w:val="num" w:pos="3261"/>
              </w:tabs>
              <w:ind w:left="884" w:hanging="425"/>
              <w:outlineLvl w:val="9"/>
            </w:pPr>
            <w:r w:rsidRPr="000A1CAB">
              <w:t xml:space="preserve">the </w:t>
            </w:r>
            <w:r w:rsidR="00C67D9A" w:rsidRPr="000A1CAB">
              <w:rPr>
                <w:b/>
                <w:bCs/>
              </w:rPr>
              <w:t>GTB</w:t>
            </w:r>
            <w:r w:rsidRPr="000A1CAB">
              <w:t>; or</w:t>
            </w:r>
          </w:p>
          <w:p w:rsidR="004F46FF" w:rsidRPr="000A1CAB" w:rsidRDefault="00671493" w:rsidP="00440341">
            <w:pPr>
              <w:pStyle w:val="HeadingH6ClausesubtextL2"/>
              <w:numPr>
                <w:ilvl w:val="5"/>
                <w:numId w:val="26"/>
              </w:numPr>
              <w:tabs>
                <w:tab w:val="clear" w:pos="1702"/>
                <w:tab w:val="num" w:pos="884"/>
                <w:tab w:val="num" w:pos="3261"/>
              </w:tabs>
              <w:ind w:left="884" w:hanging="425"/>
              <w:outlineLvl w:val="9"/>
            </w:pPr>
            <w:r w:rsidRPr="000A1CAB">
              <w:t xml:space="preserve">a </w:t>
            </w:r>
            <w:r w:rsidR="0030677C" w:rsidRPr="000A1CAB">
              <w:rPr>
                <w:b/>
              </w:rPr>
              <w:t>person</w:t>
            </w:r>
            <w:r w:rsidR="0030677C" w:rsidRPr="000A1CAB">
              <w:t xml:space="preserve"> </w:t>
            </w:r>
            <w:r w:rsidRPr="000A1CAB">
              <w:t xml:space="preserve">that is </w:t>
            </w:r>
            <w:r w:rsidR="00F86836" w:rsidRPr="000A1CAB">
              <w:rPr>
                <w:bCs/>
              </w:rPr>
              <w:t xml:space="preserve">a </w:t>
            </w:r>
            <w:r w:rsidR="00F51C16" w:rsidRPr="000A1CAB">
              <w:rPr>
                <w:b/>
                <w:bCs/>
              </w:rPr>
              <w:t>related party</w:t>
            </w:r>
            <w:r w:rsidR="00F86836" w:rsidRPr="000A1CAB">
              <w:rPr>
                <w:bCs/>
              </w:rPr>
              <w:t xml:space="preserve"> of</w:t>
            </w:r>
            <w:r w:rsidRPr="000A1CAB">
              <w:t xml:space="preserve"> the </w:t>
            </w:r>
            <w:r w:rsidR="00C67D9A" w:rsidRPr="000A1CAB">
              <w:rPr>
                <w:b/>
                <w:bCs/>
              </w:rPr>
              <w:t>GT</w:t>
            </w:r>
            <w:r w:rsidRPr="000A1CAB">
              <w:rPr>
                <w:b/>
                <w:bCs/>
              </w:rPr>
              <w:t>B</w:t>
            </w:r>
            <w:r w:rsidRPr="000A1CAB">
              <w:t>; or</w:t>
            </w:r>
          </w:p>
          <w:p w:rsidR="004F46FF" w:rsidRPr="000A1CAB" w:rsidRDefault="00671493" w:rsidP="00440341">
            <w:pPr>
              <w:pStyle w:val="HeadingH6ClausesubtextL2"/>
              <w:numPr>
                <w:ilvl w:val="5"/>
                <w:numId w:val="26"/>
              </w:numPr>
              <w:tabs>
                <w:tab w:val="clear" w:pos="1702"/>
                <w:tab w:val="num" w:pos="884"/>
                <w:tab w:val="num" w:pos="3261"/>
              </w:tabs>
              <w:ind w:left="884" w:hanging="425"/>
              <w:outlineLvl w:val="9"/>
              <w:rPr>
                <w:rFonts w:cs="Arial"/>
                <w:lang w:eastAsia="en-NZ"/>
              </w:rPr>
            </w:pPr>
            <w:r w:rsidRPr="000A1CAB">
              <w:t xml:space="preserve">a </w:t>
            </w:r>
            <w:r w:rsidR="0030677C" w:rsidRPr="000A1CAB">
              <w:rPr>
                <w:b/>
              </w:rPr>
              <w:t>p</w:t>
            </w:r>
            <w:r w:rsidRPr="000A1CAB">
              <w:rPr>
                <w:b/>
              </w:rPr>
              <w:t>erson</w:t>
            </w:r>
            <w:r w:rsidRPr="000A1CAB">
              <w:t xml:space="preserve"> that supplies </w:t>
            </w:r>
            <w:r w:rsidR="0030677C" w:rsidRPr="000A1CAB">
              <w:t>gas pipe</w:t>
            </w:r>
            <w:r w:rsidRPr="000A1CAB">
              <w:t xml:space="preserve">lines services by means of works owned by the </w:t>
            </w:r>
            <w:r w:rsidR="0030677C" w:rsidRPr="000A1CAB">
              <w:rPr>
                <w:b/>
                <w:bCs/>
              </w:rPr>
              <w:t>GPB</w:t>
            </w:r>
            <w:r w:rsidRPr="000A1CAB">
              <w:t>; or</w:t>
            </w:r>
          </w:p>
          <w:p w:rsidR="004F46FF" w:rsidRPr="000A1CAB" w:rsidRDefault="00671493" w:rsidP="00440341">
            <w:pPr>
              <w:pStyle w:val="HeadingH6ClausesubtextL2"/>
              <w:numPr>
                <w:ilvl w:val="5"/>
                <w:numId w:val="26"/>
              </w:numPr>
              <w:tabs>
                <w:tab w:val="clear" w:pos="1702"/>
                <w:tab w:val="num" w:pos="884"/>
                <w:tab w:val="num" w:pos="3261"/>
              </w:tabs>
              <w:ind w:left="884" w:hanging="425"/>
              <w:outlineLvl w:val="9"/>
              <w:rPr>
                <w:rFonts w:cs="Arial"/>
                <w:lang w:eastAsia="en-NZ"/>
              </w:rPr>
            </w:pPr>
            <w:r w:rsidRPr="000A1CAB">
              <w:t xml:space="preserve">a </w:t>
            </w:r>
            <w:r w:rsidR="0030677C" w:rsidRPr="000A1CAB">
              <w:rPr>
                <w:b/>
              </w:rPr>
              <w:t>p</w:t>
            </w:r>
            <w:r w:rsidRPr="000A1CAB">
              <w:rPr>
                <w:b/>
              </w:rPr>
              <w:t>erson</w:t>
            </w:r>
            <w:r w:rsidRPr="000A1CAB">
              <w:t xml:space="preserve"> that is </w:t>
            </w:r>
            <w:r w:rsidR="00F86836" w:rsidRPr="000A1CAB">
              <w:rPr>
                <w:bCs/>
              </w:rPr>
              <w:t xml:space="preserve">a </w:t>
            </w:r>
            <w:r w:rsidR="00F51C16" w:rsidRPr="000A1CAB">
              <w:rPr>
                <w:b/>
                <w:bCs/>
              </w:rPr>
              <w:t>related party</w:t>
            </w:r>
            <w:r w:rsidR="00F86836" w:rsidRPr="000A1CAB">
              <w:rPr>
                <w:bCs/>
              </w:rPr>
              <w:t xml:space="preserve"> of</w:t>
            </w:r>
            <w:r w:rsidRPr="000A1CAB">
              <w:t xml:space="preserve"> a </w:t>
            </w:r>
            <w:r w:rsidR="0030677C" w:rsidRPr="000A1CAB">
              <w:rPr>
                <w:b/>
              </w:rPr>
              <w:t>p</w:t>
            </w:r>
            <w:r w:rsidRPr="000A1CAB">
              <w:rPr>
                <w:b/>
              </w:rPr>
              <w:t>erson</w:t>
            </w:r>
            <w:r w:rsidRPr="000A1CAB">
              <w:t xml:space="preserve"> of the kind referred to in subparagraph (iii</w:t>
            </w:r>
            <w:r w:rsidR="001B502C" w:rsidRPr="000A1CAB">
              <w:rPr>
                <w:rStyle w:val="CommentReference"/>
                <w:rFonts w:cs="Times"/>
                <w:sz w:val="24"/>
                <w:szCs w:val="24"/>
              </w:rPr>
              <w:t> </w:t>
            </w:r>
            <w:r w:rsidR="001B502C" w:rsidRPr="000A1CAB">
              <w:t>)</w:t>
            </w:r>
          </w:p>
        </w:tc>
      </w:tr>
      <w:tr w:rsidR="00975B40" w:rsidRPr="000A1CAB" w:rsidTr="00A03DC6">
        <w:tc>
          <w:tcPr>
            <w:tcW w:w="3510" w:type="dxa"/>
          </w:tcPr>
          <w:p w:rsidR="00975B40" w:rsidRPr="000A1CAB" w:rsidRDefault="00975B40" w:rsidP="00AE0D10">
            <w:pPr>
              <w:pStyle w:val="BodyText"/>
              <w:spacing w:line="264" w:lineRule="auto"/>
              <w:rPr>
                <w:rFonts w:cs="Arial"/>
                <w:b/>
                <w:bCs/>
                <w:lang w:eastAsia="en-NZ"/>
              </w:rPr>
            </w:pPr>
            <w:r w:rsidRPr="000A1CAB">
              <w:rPr>
                <w:b/>
                <w:bCs/>
                <w:color w:val="000000"/>
                <w:lang w:val="en-US"/>
              </w:rPr>
              <w:t>Prescribed terms and conditions</w:t>
            </w:r>
          </w:p>
        </w:tc>
        <w:tc>
          <w:tcPr>
            <w:tcW w:w="4882" w:type="dxa"/>
          </w:tcPr>
          <w:p w:rsidR="00975B40" w:rsidRPr="000A1CAB" w:rsidRDefault="00975B40" w:rsidP="00AE0D10">
            <w:pPr>
              <w:pStyle w:val="Subsection"/>
              <w:spacing w:line="264" w:lineRule="auto"/>
              <w:rPr>
                <w:color w:val="000000"/>
                <w:lang w:val="en-US"/>
              </w:rPr>
            </w:pPr>
            <w:r w:rsidRPr="000A1CAB">
              <w:rPr>
                <w:color w:val="000000"/>
                <w:lang w:val="en-US"/>
              </w:rPr>
              <w:t>means</w:t>
            </w:r>
            <w:r w:rsidRPr="000A1CAB">
              <w:rPr>
                <w:bCs/>
                <w:color w:val="000000"/>
                <w:lang w:val="en-US"/>
              </w:rPr>
              <w:t xml:space="preserve">, </w:t>
            </w:r>
            <w:r w:rsidRPr="000A1CAB">
              <w:rPr>
                <w:color w:val="000000"/>
                <w:lang w:val="en-US"/>
              </w:rPr>
              <w:t xml:space="preserve">in relation to a contract for the </w:t>
            </w:r>
            <w:r w:rsidR="00E41AF3" w:rsidRPr="000A1CAB">
              <w:rPr>
                <w:color w:val="000000"/>
                <w:lang w:val="en-US"/>
              </w:rPr>
              <w:t>supply</w:t>
            </w:r>
            <w:r w:rsidRPr="000A1CAB">
              <w:rPr>
                <w:color w:val="000000"/>
                <w:lang w:val="en-US"/>
              </w:rPr>
              <w:t xml:space="preserve"> of </w:t>
            </w:r>
            <w:r w:rsidR="00227B61" w:rsidRPr="000A1CAB">
              <w:rPr>
                <w:b/>
              </w:rPr>
              <w:t>gas transmission services</w:t>
            </w:r>
            <w:r w:rsidRPr="000A1CAB">
              <w:rPr>
                <w:color w:val="000000"/>
                <w:lang w:val="en-US"/>
              </w:rPr>
              <w:t xml:space="preserve"> or for </w:t>
            </w:r>
            <w:r w:rsidRPr="000A1CAB">
              <w:rPr>
                <w:b/>
                <w:color w:val="000000"/>
                <w:lang w:val="en-US"/>
              </w:rPr>
              <w:t>related services</w:t>
            </w:r>
            <w:r w:rsidRPr="000A1CAB">
              <w:rPr>
                <w:color w:val="000000"/>
                <w:lang w:val="en-US"/>
              </w:rPr>
              <w:t xml:space="preserve">, the terms and conditions of the </w:t>
            </w:r>
            <w:r w:rsidRPr="000A1CAB">
              <w:rPr>
                <w:b/>
                <w:color w:val="000000"/>
                <w:lang w:val="en-US"/>
              </w:rPr>
              <w:t>contract</w:t>
            </w:r>
            <w:r w:rsidRPr="000A1CAB">
              <w:rPr>
                <w:color w:val="000000"/>
                <w:lang w:val="en-US"/>
              </w:rPr>
              <w:t xml:space="preserve"> that—</w:t>
            </w:r>
          </w:p>
          <w:p w:rsidR="005F2584" w:rsidRPr="000A1CAB" w:rsidRDefault="00975B40" w:rsidP="00440341">
            <w:pPr>
              <w:pStyle w:val="HeadingH6ClausesubtextL2"/>
              <w:numPr>
                <w:ilvl w:val="5"/>
                <w:numId w:val="27"/>
              </w:numPr>
              <w:tabs>
                <w:tab w:val="clear" w:pos="1702"/>
                <w:tab w:val="num" w:pos="499"/>
              </w:tabs>
              <w:ind w:left="499" w:hanging="426"/>
              <w:outlineLvl w:val="9"/>
            </w:pPr>
            <w:r w:rsidRPr="000A1CAB">
              <w:t xml:space="preserve">describe the goods or services to be supplied under the </w:t>
            </w:r>
            <w:r w:rsidRPr="000A1CAB">
              <w:rPr>
                <w:b/>
              </w:rPr>
              <w:t>contract</w:t>
            </w:r>
          </w:p>
          <w:p w:rsidR="005F2584" w:rsidRPr="000A1CAB" w:rsidRDefault="0030677C" w:rsidP="00440341">
            <w:pPr>
              <w:pStyle w:val="HeadingH6ClausesubtextL2"/>
              <w:numPr>
                <w:ilvl w:val="5"/>
                <w:numId w:val="27"/>
              </w:numPr>
              <w:tabs>
                <w:tab w:val="clear" w:pos="1702"/>
                <w:tab w:val="num" w:pos="499"/>
              </w:tabs>
              <w:ind w:left="499" w:hanging="426"/>
              <w:outlineLvl w:val="9"/>
            </w:pPr>
            <w:r w:rsidRPr="000A1CAB">
              <w:t>describe</w:t>
            </w:r>
            <w:r w:rsidR="00975B40" w:rsidRPr="000A1CAB">
              <w:t xml:space="preserve"> the quantity or amount of those goods or services</w:t>
            </w:r>
          </w:p>
          <w:p w:rsidR="005F2584" w:rsidRPr="000A1CAB" w:rsidRDefault="00975B40" w:rsidP="00440341">
            <w:pPr>
              <w:pStyle w:val="HeadingH6ClausesubtextL2"/>
              <w:numPr>
                <w:ilvl w:val="5"/>
                <w:numId w:val="27"/>
              </w:numPr>
              <w:tabs>
                <w:tab w:val="clear" w:pos="1702"/>
                <w:tab w:val="num" w:pos="499"/>
              </w:tabs>
              <w:ind w:left="499" w:hanging="426"/>
              <w:outlineLvl w:val="9"/>
            </w:pPr>
            <w:r w:rsidRPr="000A1CAB">
              <w:t>specify, determine, or provide for the determination of the:</w:t>
            </w:r>
          </w:p>
          <w:p w:rsidR="005F2584" w:rsidRPr="000A1CAB" w:rsidRDefault="00975B40" w:rsidP="00440341">
            <w:pPr>
              <w:pStyle w:val="HeadingH7ClausesubtextL3"/>
              <w:numPr>
                <w:ilvl w:val="6"/>
                <w:numId w:val="28"/>
              </w:numPr>
              <w:tabs>
                <w:tab w:val="clear" w:pos="3261"/>
                <w:tab w:val="num" w:pos="884"/>
              </w:tabs>
              <w:ind w:left="884" w:hanging="426"/>
              <w:outlineLvl w:val="9"/>
            </w:pPr>
            <w:r w:rsidRPr="000A1CAB">
              <w:rPr>
                <w:b/>
              </w:rPr>
              <w:t>price</w:t>
            </w:r>
            <w:r w:rsidRPr="000A1CAB">
              <w:t xml:space="preserve"> at which those goods or services are to be supplied</w:t>
            </w:r>
          </w:p>
          <w:p w:rsidR="005F2584" w:rsidRPr="000A1CAB" w:rsidRDefault="00975B40" w:rsidP="00440341">
            <w:pPr>
              <w:pStyle w:val="HeadingH7ClausesubtextL3"/>
              <w:numPr>
                <w:ilvl w:val="6"/>
                <w:numId w:val="28"/>
              </w:numPr>
              <w:tabs>
                <w:tab w:val="clear" w:pos="3261"/>
                <w:tab w:val="num" w:pos="884"/>
              </w:tabs>
              <w:ind w:left="884" w:hanging="426"/>
              <w:outlineLvl w:val="9"/>
            </w:pPr>
            <w:r w:rsidRPr="000A1CAB">
              <w:t>timing of payment for those goods or services</w:t>
            </w:r>
          </w:p>
          <w:p w:rsidR="005F2584" w:rsidRPr="000A1CAB" w:rsidRDefault="00975B40" w:rsidP="00440341">
            <w:pPr>
              <w:pStyle w:val="HeadingH7ClausesubtextL3"/>
              <w:numPr>
                <w:ilvl w:val="6"/>
                <w:numId w:val="28"/>
              </w:numPr>
              <w:tabs>
                <w:tab w:val="clear" w:pos="3261"/>
              </w:tabs>
              <w:ind w:left="884" w:hanging="426"/>
              <w:outlineLvl w:val="9"/>
              <w:rPr>
                <w:rFonts w:cs="Arial"/>
                <w:lang w:eastAsia="en-NZ"/>
              </w:rPr>
            </w:pPr>
            <w:r w:rsidRPr="000A1CAB">
              <w:t>security for payment for those goods or services</w:t>
            </w:r>
          </w:p>
          <w:p w:rsidR="005F2584" w:rsidRPr="000A1CAB" w:rsidRDefault="0030677C" w:rsidP="00440341">
            <w:pPr>
              <w:pStyle w:val="HeadingH7ClausesubtextL3"/>
              <w:numPr>
                <w:ilvl w:val="6"/>
                <w:numId w:val="28"/>
              </w:numPr>
              <w:tabs>
                <w:tab w:val="clear" w:pos="3261"/>
                <w:tab w:val="num" w:pos="884"/>
              </w:tabs>
              <w:ind w:left="884" w:hanging="426"/>
              <w:outlineLvl w:val="9"/>
              <w:rPr>
                <w:rFonts w:cs="Arial"/>
                <w:lang w:eastAsia="en-NZ"/>
              </w:rPr>
            </w:pPr>
            <w:r w:rsidRPr="000A1CAB">
              <w:rPr>
                <w:b/>
                <w:bCs/>
              </w:rPr>
              <w:t>G</w:t>
            </w:r>
            <w:r w:rsidR="00C67D9A" w:rsidRPr="000A1CAB">
              <w:rPr>
                <w:b/>
                <w:bCs/>
              </w:rPr>
              <w:t>T</w:t>
            </w:r>
            <w:r w:rsidRPr="000A1CAB">
              <w:rPr>
                <w:b/>
                <w:bCs/>
              </w:rPr>
              <w:t>B</w:t>
            </w:r>
            <w:r w:rsidRPr="000A1CAB">
              <w:t xml:space="preserve">’s </w:t>
            </w:r>
            <w:r w:rsidR="00975B40" w:rsidRPr="000A1CAB">
              <w:t xml:space="preserve">obligations and responsibilities (if any) to </w:t>
            </w:r>
            <w:r w:rsidR="00975B40" w:rsidRPr="000A1CAB">
              <w:rPr>
                <w:b/>
                <w:bCs/>
              </w:rPr>
              <w:t>consumers</w:t>
            </w:r>
            <w:r w:rsidR="00975B40" w:rsidRPr="000A1CAB">
              <w:t xml:space="preserve"> in the event that the supply of </w:t>
            </w:r>
            <w:r w:rsidR="00227B61" w:rsidRPr="000A1CAB">
              <w:rPr>
                <w:b/>
              </w:rPr>
              <w:t>gas transmission services</w:t>
            </w:r>
            <w:r w:rsidR="00495D88" w:rsidRPr="000A1CAB">
              <w:rPr>
                <w:b/>
                <w:bCs/>
              </w:rPr>
              <w:t xml:space="preserve"> </w:t>
            </w:r>
            <w:r w:rsidR="00975B40" w:rsidRPr="000A1CAB">
              <w:t xml:space="preserve">to </w:t>
            </w:r>
            <w:r w:rsidR="00975B40" w:rsidRPr="000A1CAB">
              <w:rPr>
                <w:b/>
                <w:bCs/>
              </w:rPr>
              <w:t>consumers</w:t>
            </w:r>
            <w:r w:rsidR="00975B40" w:rsidRPr="000A1CAB">
              <w:t xml:space="preserve"> is interrupted.</w:t>
            </w:r>
          </w:p>
        </w:tc>
      </w:tr>
      <w:tr w:rsidR="00144183" w:rsidRPr="000A1CAB" w:rsidTr="00A03DC6">
        <w:tc>
          <w:tcPr>
            <w:tcW w:w="3510" w:type="dxa"/>
          </w:tcPr>
          <w:p w:rsidR="00144183" w:rsidRPr="000A1CAB" w:rsidRDefault="00144183" w:rsidP="00AE0D10">
            <w:pPr>
              <w:pStyle w:val="BodyText"/>
              <w:spacing w:line="264" w:lineRule="auto"/>
              <w:rPr>
                <w:b/>
                <w:bCs/>
                <w:color w:val="000000"/>
                <w:lang w:val="en-US"/>
              </w:rPr>
            </w:pPr>
            <w:r w:rsidRPr="000A1CAB">
              <w:rPr>
                <w:b/>
                <w:bCs/>
                <w:color w:val="000000"/>
                <w:lang w:val="en-US"/>
              </w:rPr>
              <w:t>Pressure regulating station</w:t>
            </w:r>
          </w:p>
        </w:tc>
        <w:tc>
          <w:tcPr>
            <w:tcW w:w="4882" w:type="dxa"/>
          </w:tcPr>
          <w:p w:rsidR="00144183" w:rsidRPr="000A1CAB" w:rsidRDefault="00144183" w:rsidP="00AE0D10">
            <w:pPr>
              <w:pStyle w:val="Subsection"/>
              <w:spacing w:line="264" w:lineRule="auto"/>
              <w:rPr>
                <w:color w:val="000000"/>
                <w:lang w:val="en-US"/>
              </w:rPr>
            </w:pPr>
          </w:p>
        </w:tc>
      </w:tr>
      <w:tr w:rsidR="00105A53" w:rsidRPr="000A1CAB" w:rsidTr="00A03DC6">
        <w:tc>
          <w:tcPr>
            <w:tcW w:w="3510" w:type="dxa"/>
          </w:tcPr>
          <w:p w:rsidR="00105A53" w:rsidRPr="000A1CAB" w:rsidRDefault="00105A53" w:rsidP="00AE0D10">
            <w:pPr>
              <w:pStyle w:val="BodyText"/>
              <w:spacing w:line="264" w:lineRule="auto"/>
              <w:rPr>
                <w:rFonts w:cs="Arial"/>
                <w:b/>
                <w:bCs/>
                <w:lang w:eastAsia="en-NZ"/>
              </w:rPr>
            </w:pPr>
            <w:r w:rsidRPr="000A1CAB">
              <w:rPr>
                <w:rFonts w:cs="Arial"/>
                <w:b/>
                <w:bCs/>
                <w:lang w:eastAsia="en-NZ"/>
              </w:rPr>
              <w:t>Prices</w:t>
            </w:r>
          </w:p>
        </w:tc>
        <w:tc>
          <w:tcPr>
            <w:tcW w:w="4882" w:type="dxa"/>
          </w:tcPr>
          <w:p w:rsidR="00105A53" w:rsidRPr="000A1CAB" w:rsidRDefault="00105A53" w:rsidP="00AE0D10">
            <w:pPr>
              <w:tabs>
                <w:tab w:val="left" w:pos="4045"/>
              </w:tabs>
              <w:spacing w:line="264" w:lineRule="auto"/>
              <w:ind w:left="34"/>
              <w:rPr>
                <w:rFonts w:cs="Arial"/>
                <w:lang w:eastAsia="en-NZ"/>
              </w:rPr>
            </w:pPr>
            <w:r w:rsidRPr="000A1CAB">
              <w:rPr>
                <w:rFonts w:cs="Arial"/>
                <w:lang w:eastAsia="en-NZ"/>
              </w:rPr>
              <w:t xml:space="preserve">has the meaning set out in the </w:t>
            </w:r>
            <w:r w:rsidRPr="000A1CAB">
              <w:rPr>
                <w:rFonts w:cs="Arial"/>
                <w:b/>
                <w:bCs/>
                <w:lang w:eastAsia="en-NZ"/>
              </w:rPr>
              <w:t>IM determination</w:t>
            </w:r>
            <w:r w:rsidRPr="000A1CAB">
              <w:rPr>
                <w:rFonts w:cs="Arial"/>
                <w:lang w:eastAsia="en-NZ"/>
              </w:rPr>
              <w:t>;</w:t>
            </w:r>
          </w:p>
        </w:tc>
      </w:tr>
      <w:tr w:rsidR="002459F1" w:rsidRPr="000A1CAB" w:rsidTr="00DD5317">
        <w:tc>
          <w:tcPr>
            <w:tcW w:w="3510" w:type="dxa"/>
          </w:tcPr>
          <w:p w:rsidR="002459F1" w:rsidRPr="000A1CAB" w:rsidRDefault="002459F1" w:rsidP="00AE0D10">
            <w:pPr>
              <w:pStyle w:val="BodyText"/>
              <w:spacing w:line="264" w:lineRule="auto"/>
              <w:rPr>
                <w:rFonts w:cs="Arial"/>
                <w:b/>
                <w:bCs/>
                <w:lang w:eastAsia="en-NZ"/>
              </w:rPr>
            </w:pPr>
            <w:r w:rsidRPr="000A1CAB">
              <w:rPr>
                <w:rFonts w:cs="Arial"/>
                <w:b/>
                <w:bCs/>
                <w:lang w:eastAsia="en-NZ"/>
              </w:rPr>
              <w:t>Pricing principles</w:t>
            </w:r>
          </w:p>
        </w:tc>
        <w:tc>
          <w:tcPr>
            <w:tcW w:w="4882" w:type="dxa"/>
          </w:tcPr>
          <w:p w:rsidR="002459F1" w:rsidRPr="000A1CAB" w:rsidRDefault="00A67D87" w:rsidP="00C67D9A">
            <w:pPr>
              <w:spacing w:line="264" w:lineRule="auto"/>
              <w:rPr>
                <w:rFonts w:cs="Arial"/>
                <w:lang w:eastAsia="en-NZ"/>
              </w:rPr>
            </w:pPr>
            <w:r w:rsidRPr="000A1CAB">
              <w:t>m</w:t>
            </w:r>
            <w:r w:rsidR="002459F1" w:rsidRPr="000A1CAB">
              <w:t>eans</w:t>
            </w:r>
            <w:r w:rsidRPr="000A1CAB">
              <w:t xml:space="preserve"> </w:t>
            </w:r>
            <w:r w:rsidR="002459F1" w:rsidRPr="000A1CAB">
              <w:t xml:space="preserve">the principles </w:t>
            </w:r>
            <w:r w:rsidRPr="000A1CAB">
              <w:t xml:space="preserve">set out </w:t>
            </w:r>
            <w:r w:rsidR="0030677C" w:rsidRPr="000A1CAB">
              <w:t xml:space="preserve">in Subpart 5 of the </w:t>
            </w:r>
            <w:r w:rsidR="0030677C" w:rsidRPr="000A1CAB">
              <w:rPr>
                <w:rFonts w:cs="Arial"/>
                <w:lang w:eastAsia="en-NZ"/>
              </w:rPr>
              <w:t xml:space="preserve">Commerce Act (Gas </w:t>
            </w:r>
            <w:r w:rsidR="00C67D9A" w:rsidRPr="000A1CAB">
              <w:rPr>
                <w:rFonts w:cs="Arial"/>
                <w:lang w:eastAsia="en-NZ"/>
              </w:rPr>
              <w:t>Transmission</w:t>
            </w:r>
            <w:r w:rsidR="0030677C" w:rsidRPr="000A1CAB">
              <w:rPr>
                <w:rFonts w:cs="Arial"/>
                <w:lang w:eastAsia="en-NZ"/>
              </w:rPr>
              <w:t xml:space="preserve"> Services Input Methodologies) Determination 2010</w:t>
            </w:r>
          </w:p>
        </w:tc>
      </w:tr>
      <w:tr w:rsidR="002459F1" w:rsidRPr="000A1CAB" w:rsidTr="00DD5317">
        <w:tc>
          <w:tcPr>
            <w:tcW w:w="3510" w:type="dxa"/>
          </w:tcPr>
          <w:p w:rsidR="002459F1" w:rsidRPr="000A1CAB" w:rsidRDefault="00AE7314" w:rsidP="00AE0D10">
            <w:pPr>
              <w:spacing w:line="264" w:lineRule="auto"/>
            </w:pPr>
            <w:r w:rsidRPr="000A1CAB">
              <w:rPr>
                <w:b/>
                <w:bCs/>
              </w:rPr>
              <w:t>Pricing strategy</w:t>
            </w:r>
          </w:p>
        </w:tc>
        <w:tc>
          <w:tcPr>
            <w:tcW w:w="4882" w:type="dxa"/>
          </w:tcPr>
          <w:p w:rsidR="002459F1" w:rsidRPr="000A1CAB" w:rsidRDefault="0083607A" w:rsidP="00213934">
            <w:pPr>
              <w:spacing w:line="264" w:lineRule="auto"/>
            </w:pPr>
            <w:proofErr w:type="gramStart"/>
            <w:r w:rsidRPr="000A1CAB">
              <w:t>means</w:t>
            </w:r>
            <w:proofErr w:type="gramEnd"/>
            <w:r w:rsidRPr="000A1CAB">
              <w:t xml:space="preserve"> a decision made by the Board of Directors of the </w:t>
            </w:r>
            <w:r w:rsidRPr="000A1CAB">
              <w:rPr>
                <w:b/>
              </w:rPr>
              <w:t>G</w:t>
            </w:r>
            <w:r w:rsidR="00213934" w:rsidRPr="000A1CAB">
              <w:rPr>
                <w:b/>
              </w:rPr>
              <w:t>T</w:t>
            </w:r>
            <w:r w:rsidRPr="000A1CAB">
              <w:rPr>
                <w:b/>
              </w:rPr>
              <w:t>B</w:t>
            </w:r>
            <w:r w:rsidRPr="000A1CAB">
              <w:t xml:space="preserve"> on the approach to setting </w:t>
            </w:r>
            <w:r w:rsidRPr="000A1CAB">
              <w:rPr>
                <w:b/>
                <w:bCs/>
              </w:rPr>
              <w:t>prices</w:t>
            </w:r>
            <w:r w:rsidR="00197BFD" w:rsidRPr="000A1CAB">
              <w:rPr>
                <w:bCs/>
              </w:rPr>
              <w:t>,</w:t>
            </w:r>
            <w:r w:rsidRPr="000A1CAB">
              <w:rPr>
                <w:b/>
                <w:bCs/>
              </w:rPr>
              <w:t xml:space="preserve"> </w:t>
            </w:r>
            <w:r w:rsidRPr="000A1CAB">
              <w:rPr>
                <w:bCs/>
              </w:rPr>
              <w:t>and recorded in writing</w:t>
            </w:r>
            <w:r w:rsidRPr="000A1CAB">
              <w:t xml:space="preserve">. </w:t>
            </w:r>
          </w:p>
        </w:tc>
      </w:tr>
      <w:tr w:rsidR="00105A53" w:rsidRPr="000A1CAB" w:rsidTr="00A03DC6">
        <w:tc>
          <w:tcPr>
            <w:tcW w:w="3510" w:type="dxa"/>
          </w:tcPr>
          <w:p w:rsidR="00105A53" w:rsidRPr="000A1CAB" w:rsidRDefault="00105A53" w:rsidP="00AE0D10">
            <w:pPr>
              <w:pStyle w:val="BodyText"/>
              <w:spacing w:line="264" w:lineRule="auto"/>
              <w:rPr>
                <w:rFonts w:cs="Arial"/>
                <w:b/>
                <w:bCs/>
                <w:lang w:eastAsia="en-NZ"/>
              </w:rPr>
            </w:pPr>
            <w:r w:rsidRPr="000A1CAB">
              <w:rPr>
                <w:rFonts w:cs="Arial"/>
                <w:b/>
                <w:bCs/>
                <w:lang w:eastAsia="en-NZ"/>
              </w:rPr>
              <w:t>Primary driver</w:t>
            </w:r>
          </w:p>
        </w:tc>
        <w:tc>
          <w:tcPr>
            <w:tcW w:w="4882" w:type="dxa"/>
          </w:tcPr>
          <w:p w:rsidR="00110F6A" w:rsidRPr="000A1CAB" w:rsidRDefault="00105A53" w:rsidP="00AE0D10">
            <w:pPr>
              <w:spacing w:line="264" w:lineRule="auto"/>
            </w:pPr>
            <w:proofErr w:type="gramStart"/>
            <w:r w:rsidRPr="000A1CAB">
              <w:t>means</w:t>
            </w:r>
            <w:proofErr w:type="gramEnd"/>
            <w:r w:rsidRPr="000A1CAB">
              <w:t xml:space="preserve"> the primary reason for a decision to incur a cost in the year the cost was incurred or forecast to be incurred.</w:t>
            </w:r>
          </w:p>
          <w:p w:rsidR="00110F6A" w:rsidRPr="000A1CAB" w:rsidRDefault="00105A53" w:rsidP="00AE0D10">
            <w:pPr>
              <w:spacing w:line="264" w:lineRule="auto"/>
            </w:pPr>
            <w:r w:rsidRPr="000A1CAB">
              <w:t xml:space="preserve">For example, an asset may be relocated at the request of a third party and, at the same time, capacity on the asset increased to take account of expected future demand. If it is the third party request that required the asset to be relocated at that time, then the </w:t>
            </w:r>
            <w:r w:rsidR="00D762BB" w:rsidRPr="000A1CAB">
              <w:rPr>
                <w:b/>
              </w:rPr>
              <w:t>gross c</w:t>
            </w:r>
            <w:r w:rsidRPr="000A1CAB">
              <w:rPr>
                <w:b/>
              </w:rPr>
              <w:t xml:space="preserve">apital expenditure </w:t>
            </w:r>
            <w:r w:rsidRPr="000A1CAB">
              <w:t xml:space="preserve">would be allocated to </w:t>
            </w:r>
            <w:r w:rsidRPr="000A1CAB">
              <w:rPr>
                <w:b/>
              </w:rPr>
              <w:t>asset relocation</w:t>
            </w:r>
            <w:r w:rsidR="00110F6A" w:rsidRPr="000A1CAB">
              <w:t xml:space="preserve">. </w:t>
            </w:r>
            <w:r w:rsidRPr="000A1CAB">
              <w:t xml:space="preserve">If the deadline for relocating the asset was not imminent, but the project had to be completed to allow for the increase in capacity, then the </w:t>
            </w:r>
            <w:r w:rsidR="00D762BB" w:rsidRPr="000A1CAB">
              <w:rPr>
                <w:b/>
              </w:rPr>
              <w:t>gross c</w:t>
            </w:r>
            <w:r w:rsidRPr="000A1CAB">
              <w:rPr>
                <w:b/>
              </w:rPr>
              <w:t>apital expenditure</w:t>
            </w:r>
            <w:r w:rsidRPr="000A1CAB">
              <w:t xml:space="preserve"> would be allocated to </w:t>
            </w:r>
            <w:r w:rsidRPr="000A1CAB">
              <w:rPr>
                <w:b/>
              </w:rPr>
              <w:t>system growth</w:t>
            </w:r>
            <w:r w:rsidR="00110F6A" w:rsidRPr="000A1CAB">
              <w:t>.</w:t>
            </w:r>
          </w:p>
          <w:p w:rsidR="00105A53" w:rsidRPr="000A1CAB" w:rsidRDefault="00105A53" w:rsidP="00312CD1">
            <w:pPr>
              <w:tabs>
                <w:tab w:val="left" w:pos="4045"/>
              </w:tabs>
              <w:spacing w:line="264" w:lineRule="auto"/>
              <w:ind w:left="34"/>
              <w:rPr>
                <w:rFonts w:cs="Arial"/>
                <w:lang w:eastAsia="en-NZ"/>
              </w:rPr>
            </w:pPr>
            <w:r w:rsidRPr="000A1CAB">
              <w:t xml:space="preserve">Where there is more than one driver for a cost, and the cost is a significant proportion of </w:t>
            </w:r>
            <w:r w:rsidRPr="000A1CAB">
              <w:rPr>
                <w:b/>
              </w:rPr>
              <w:t>operational expenditure</w:t>
            </w:r>
            <w:r w:rsidRPr="000A1CAB">
              <w:t xml:space="preserve"> or </w:t>
            </w:r>
            <w:r w:rsidR="00D762BB" w:rsidRPr="000A1CAB">
              <w:rPr>
                <w:b/>
              </w:rPr>
              <w:t>gross c</w:t>
            </w:r>
            <w:r w:rsidRPr="000A1CAB">
              <w:rPr>
                <w:b/>
              </w:rPr>
              <w:t>apital expenditure</w:t>
            </w:r>
            <w:r w:rsidRPr="000A1CAB">
              <w:t>, expenditure may be apportioned between expenditure categories according to the relative importance of each driver to the decision, or the project divided into cost categories</w:t>
            </w:r>
          </w:p>
        </w:tc>
      </w:tr>
      <w:tr w:rsidR="00307644" w:rsidRPr="000A1CAB" w:rsidTr="00A03DC6">
        <w:tc>
          <w:tcPr>
            <w:tcW w:w="3510" w:type="dxa"/>
          </w:tcPr>
          <w:p w:rsidR="00307644" w:rsidRPr="000A1CAB" w:rsidRDefault="00307644" w:rsidP="00AE0D10">
            <w:pPr>
              <w:pStyle w:val="BodyText"/>
              <w:spacing w:line="264" w:lineRule="auto"/>
              <w:rPr>
                <w:rFonts w:cs="Arial"/>
                <w:b/>
                <w:bCs/>
                <w:lang w:eastAsia="en-NZ"/>
              </w:rPr>
            </w:pPr>
            <w:r w:rsidRPr="000A1CAB">
              <w:rPr>
                <w:b/>
              </w:rPr>
              <w:t>Publicly disclose</w:t>
            </w:r>
          </w:p>
        </w:tc>
        <w:tc>
          <w:tcPr>
            <w:tcW w:w="4882" w:type="dxa"/>
          </w:tcPr>
          <w:p w:rsidR="00110F6A" w:rsidRPr="000A1CAB" w:rsidRDefault="00307644" w:rsidP="00AE0D10">
            <w:pPr>
              <w:spacing w:line="264" w:lineRule="auto"/>
            </w:pPr>
            <w:r w:rsidRPr="000A1CAB">
              <w:t>in relation to any information, means to:</w:t>
            </w:r>
          </w:p>
          <w:p w:rsidR="009347FD" w:rsidRPr="000A1CAB" w:rsidRDefault="00307644" w:rsidP="00440341">
            <w:pPr>
              <w:pStyle w:val="ListParagraph"/>
              <w:numPr>
                <w:ilvl w:val="3"/>
                <w:numId w:val="20"/>
              </w:numPr>
              <w:tabs>
                <w:tab w:val="clear" w:pos="2880"/>
                <w:tab w:val="num" w:pos="459"/>
              </w:tabs>
              <w:spacing w:line="264" w:lineRule="auto"/>
              <w:ind w:left="459" w:hanging="425"/>
            </w:pPr>
            <w:r w:rsidRPr="000A1CAB">
              <w:t xml:space="preserve">disclose the information to the public on the Internet at the </w:t>
            </w:r>
            <w:r w:rsidR="00557552" w:rsidRPr="000A1CAB">
              <w:rPr>
                <w:b/>
              </w:rPr>
              <w:t>G</w:t>
            </w:r>
            <w:r w:rsidR="00294FB5" w:rsidRPr="000A1CAB">
              <w:rPr>
                <w:b/>
              </w:rPr>
              <w:t>T</w:t>
            </w:r>
            <w:r w:rsidR="00557552" w:rsidRPr="000A1CAB">
              <w:rPr>
                <w:b/>
              </w:rPr>
              <w:t>B</w:t>
            </w:r>
            <w:r w:rsidR="00557552" w:rsidRPr="000A1CAB">
              <w:t>’s</w:t>
            </w:r>
            <w:r w:rsidR="00557552" w:rsidRPr="000A1CAB" w:rsidDel="005E0488">
              <w:t xml:space="preserve"> </w:t>
            </w:r>
            <w:r w:rsidRPr="000A1CAB">
              <w:t>usual publicly accessible website;</w:t>
            </w:r>
          </w:p>
          <w:p w:rsidR="009347FD" w:rsidRPr="000A1CAB" w:rsidRDefault="00307644" w:rsidP="00440341">
            <w:pPr>
              <w:pStyle w:val="ListParagraph"/>
              <w:numPr>
                <w:ilvl w:val="3"/>
                <w:numId w:val="20"/>
              </w:numPr>
              <w:tabs>
                <w:tab w:val="clear" w:pos="2880"/>
                <w:tab w:val="num" w:pos="459"/>
              </w:tabs>
              <w:spacing w:line="264" w:lineRule="auto"/>
              <w:ind w:left="459" w:hanging="425"/>
            </w:pPr>
            <w:r w:rsidRPr="000A1CAB">
              <w:t xml:space="preserve">make copies of the information available for inspection by any person during ordinary office hours, at the principal office of the </w:t>
            </w:r>
            <w:r w:rsidR="00557552" w:rsidRPr="000A1CAB">
              <w:rPr>
                <w:b/>
              </w:rPr>
              <w:t>G</w:t>
            </w:r>
            <w:r w:rsidR="00294FB5" w:rsidRPr="000A1CAB">
              <w:rPr>
                <w:b/>
              </w:rPr>
              <w:t>T</w:t>
            </w:r>
            <w:r w:rsidR="00557552" w:rsidRPr="000A1CAB">
              <w:rPr>
                <w:b/>
              </w:rPr>
              <w:t>B</w:t>
            </w:r>
            <w:r w:rsidR="00557552" w:rsidRPr="000A1CAB">
              <w:t xml:space="preserve"> </w:t>
            </w:r>
            <w:r w:rsidRPr="000A1CAB">
              <w:t>making the public disclosure and</w:t>
            </w:r>
          </w:p>
          <w:p w:rsidR="009347FD" w:rsidRPr="000A1CAB" w:rsidRDefault="00307644" w:rsidP="00440341">
            <w:pPr>
              <w:pStyle w:val="ListParagraph"/>
              <w:numPr>
                <w:ilvl w:val="3"/>
                <w:numId w:val="20"/>
              </w:numPr>
              <w:tabs>
                <w:tab w:val="clear" w:pos="2880"/>
                <w:tab w:val="num" w:pos="459"/>
              </w:tabs>
              <w:spacing w:line="264" w:lineRule="auto"/>
              <w:ind w:left="459" w:hanging="425"/>
            </w:pPr>
            <w:r w:rsidRPr="000A1CAB">
              <w:t>within 10 working days of being requested to do so by any person, provide that person with a copy of the information, either by post or for collection (during ordinary office hours) from that principal office, whichever the person prefers; and</w:t>
            </w:r>
          </w:p>
          <w:p w:rsidR="009347FD" w:rsidRPr="000A1CAB" w:rsidRDefault="00307644" w:rsidP="00440341">
            <w:pPr>
              <w:pStyle w:val="ListParagraph"/>
              <w:numPr>
                <w:ilvl w:val="3"/>
                <w:numId w:val="20"/>
              </w:numPr>
              <w:tabs>
                <w:tab w:val="clear" w:pos="2880"/>
                <w:tab w:val="num" w:pos="459"/>
              </w:tabs>
              <w:spacing w:line="264" w:lineRule="auto"/>
              <w:ind w:left="459" w:hanging="425"/>
            </w:pPr>
            <w:r w:rsidRPr="000A1CAB">
              <w:t xml:space="preserve">within 5 working days after the information is disclosed to the public, provide a copy of the information to the </w:t>
            </w:r>
            <w:r w:rsidRPr="000A1CAB">
              <w:rPr>
                <w:b/>
              </w:rPr>
              <w:t>Commission</w:t>
            </w:r>
            <w:r w:rsidRPr="000A1CAB">
              <w:t xml:space="preserve"> in the form that it is disclosed to the public and in an electronic format that is compatible with Microsoft Excel or Microsoft Word (as the case may be),</w:t>
            </w:r>
          </w:p>
          <w:p w:rsidR="00307644" w:rsidRPr="000A1CAB" w:rsidRDefault="00307644" w:rsidP="00AE0D10">
            <w:pPr>
              <w:spacing w:line="264" w:lineRule="auto"/>
            </w:pPr>
            <w:r w:rsidRPr="000A1CAB">
              <w:t xml:space="preserve">and </w:t>
            </w:r>
            <w:r w:rsidRPr="000A1CAB">
              <w:rPr>
                <w:b/>
              </w:rPr>
              <w:t>public disclosure</w:t>
            </w:r>
            <w:r w:rsidRPr="000A1CAB">
              <w:t xml:space="preserve"> and </w:t>
            </w:r>
            <w:r w:rsidRPr="000A1CAB">
              <w:rPr>
                <w:b/>
              </w:rPr>
              <w:t>publicly disclosing</w:t>
            </w:r>
            <w:r w:rsidRPr="000A1CAB">
              <w:t xml:space="preserve"> have corresponding meanings</w:t>
            </w:r>
          </w:p>
        </w:tc>
      </w:tr>
    </w:tbl>
    <w:p w:rsidR="003E69C4" w:rsidRPr="006441E4" w:rsidRDefault="003E69C4" w:rsidP="00AE0D10">
      <w:pPr>
        <w:pStyle w:val="Heading2"/>
        <w:spacing w:before="240" w:after="240" w:line="264" w:lineRule="auto"/>
        <w:jc w:val="center"/>
        <w:rPr>
          <w:lang w:eastAsia="en-GB"/>
        </w:rPr>
      </w:pPr>
      <w:r w:rsidRPr="006441E4">
        <w:rPr>
          <w:lang w:eastAsia="en-GB"/>
        </w:rPr>
        <w:t>Q</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256618" w:rsidRPr="006441E4" w:rsidTr="00A03DC6">
        <w:tc>
          <w:tcPr>
            <w:tcW w:w="3510" w:type="dxa"/>
          </w:tcPr>
          <w:p w:rsidR="00256618" w:rsidRPr="006441E4" w:rsidRDefault="00256618" w:rsidP="00AE0D10">
            <w:pPr>
              <w:pStyle w:val="BodyText"/>
              <w:spacing w:line="264" w:lineRule="auto"/>
              <w:rPr>
                <w:rFonts w:cs="Arial"/>
                <w:b/>
                <w:bCs/>
                <w:lang w:eastAsia="en-NZ"/>
              </w:rPr>
            </w:pPr>
            <w:r w:rsidRPr="006441E4">
              <w:rPr>
                <w:b/>
              </w:rPr>
              <w:t>Quality of supply</w:t>
            </w:r>
          </w:p>
        </w:tc>
        <w:tc>
          <w:tcPr>
            <w:tcW w:w="4882" w:type="dxa"/>
          </w:tcPr>
          <w:p w:rsidR="00256618" w:rsidRDefault="00256618" w:rsidP="004D1973">
            <w:pPr>
              <w:pStyle w:val="BodyText"/>
            </w:pPr>
            <w:proofErr w:type="gramStart"/>
            <w:r>
              <w:t>in</w:t>
            </w:r>
            <w:proofErr w:type="gramEnd"/>
            <w:r>
              <w:t xml:space="preserve"> relation to expenditure, means </w:t>
            </w:r>
            <w:r>
              <w:rPr>
                <w:b/>
              </w:rPr>
              <w:t>gross capital expenditure</w:t>
            </w:r>
            <w:r>
              <w:t xml:space="preserve"> where the </w:t>
            </w:r>
            <w:r>
              <w:rPr>
                <w:b/>
              </w:rPr>
              <w:t>primary driver</w:t>
            </w:r>
            <w:r>
              <w:t xml:space="preserve"> is the need to meet improved security and/or quality of supply standards. This may include expenditure to:</w:t>
            </w:r>
          </w:p>
          <w:p w:rsidR="00256618" w:rsidRDefault="00256618" w:rsidP="00256618">
            <w:pPr>
              <w:pStyle w:val="Tablebullet"/>
              <w:numPr>
                <w:ilvl w:val="0"/>
                <w:numId w:val="63"/>
              </w:numPr>
              <w:spacing w:after="120"/>
            </w:pPr>
            <w:r>
              <w:t xml:space="preserve">reduce the overall outage/fault rate of the </w:t>
            </w:r>
            <w:r>
              <w:rPr>
                <w:b/>
              </w:rPr>
              <w:t>network</w:t>
            </w:r>
            <w:r>
              <w:t>;</w:t>
            </w:r>
          </w:p>
          <w:p w:rsidR="00256618" w:rsidRDefault="00256618" w:rsidP="00256618">
            <w:pPr>
              <w:pStyle w:val="Tablebullet"/>
              <w:numPr>
                <w:ilvl w:val="0"/>
                <w:numId w:val="63"/>
              </w:numPr>
              <w:spacing w:after="120"/>
            </w:pPr>
            <w:r>
              <w:t>reduce the average time that customers are affected by planned and/or unplanned interruptions; or</w:t>
            </w:r>
          </w:p>
          <w:p w:rsidR="00256618" w:rsidRDefault="00256618" w:rsidP="00256618">
            <w:pPr>
              <w:pStyle w:val="Tablebullet"/>
              <w:numPr>
                <w:ilvl w:val="0"/>
                <w:numId w:val="63"/>
              </w:numPr>
              <w:spacing w:after="120"/>
            </w:pPr>
            <w:proofErr w:type="gramStart"/>
            <w:r>
              <w:t>reduce</w:t>
            </w:r>
            <w:proofErr w:type="gramEnd"/>
            <w:r>
              <w:t xml:space="preserve"> the average number of customers affected by planned and/or unplanned interruptions.</w:t>
            </w:r>
          </w:p>
        </w:tc>
      </w:tr>
    </w:tbl>
    <w:p w:rsidR="003E69C4" w:rsidRPr="006441E4" w:rsidRDefault="003E69C4" w:rsidP="00AE0D10">
      <w:pPr>
        <w:pStyle w:val="Heading2"/>
        <w:spacing w:before="240" w:after="240" w:line="264" w:lineRule="auto"/>
        <w:jc w:val="center"/>
        <w:rPr>
          <w:lang w:eastAsia="en-GB"/>
        </w:rPr>
      </w:pPr>
      <w:r w:rsidRPr="006441E4">
        <w:rPr>
          <w:lang w:eastAsia="en-GB"/>
        </w:rPr>
        <w:t>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F73022" w:rsidTr="00B47920">
        <w:tc>
          <w:tcPr>
            <w:tcW w:w="3510" w:type="dxa"/>
          </w:tcPr>
          <w:p w:rsidR="00DE6E39" w:rsidRPr="00F73022" w:rsidRDefault="008815D2" w:rsidP="00AE0D10">
            <w:pPr>
              <w:pStyle w:val="BodyText"/>
              <w:spacing w:line="264" w:lineRule="auto"/>
              <w:rPr>
                <w:rFonts w:cs="Arial"/>
                <w:b/>
                <w:bCs/>
                <w:lang w:eastAsia="en-NZ"/>
              </w:rPr>
            </w:pPr>
            <w:r w:rsidRPr="00F73022">
              <w:rPr>
                <w:rFonts w:cs="Arial"/>
                <w:b/>
                <w:bCs/>
                <w:lang w:eastAsia="en-NZ"/>
              </w:rPr>
              <w:t>RAB</w:t>
            </w:r>
          </w:p>
        </w:tc>
        <w:tc>
          <w:tcPr>
            <w:tcW w:w="4882" w:type="dxa"/>
          </w:tcPr>
          <w:p w:rsidR="00DE6E39" w:rsidRPr="00F73022" w:rsidRDefault="008815D2" w:rsidP="00AE0D10">
            <w:pPr>
              <w:tabs>
                <w:tab w:val="left" w:pos="4045"/>
              </w:tabs>
              <w:spacing w:line="264" w:lineRule="auto"/>
              <w:ind w:left="34"/>
            </w:pPr>
            <w:r w:rsidRPr="00F73022">
              <w:rPr>
                <w:rFonts w:cs="Arial"/>
                <w:bCs/>
                <w:lang w:eastAsia="en-NZ"/>
              </w:rPr>
              <w:t>m</w:t>
            </w:r>
            <w:r w:rsidRPr="00F73022">
              <w:rPr>
                <w:rFonts w:cs="Arial"/>
                <w:lang w:eastAsia="en-NZ"/>
              </w:rPr>
              <w:t xml:space="preserve">eans regulatory asset base and for the components of the RAB roll-forward, the values after applying clause 2.1.1 of the </w:t>
            </w:r>
            <w:r w:rsidRPr="00F73022">
              <w:rPr>
                <w:rFonts w:cs="Arial"/>
                <w:b/>
                <w:bCs/>
                <w:lang w:eastAsia="en-NZ"/>
              </w:rPr>
              <w:t>IM determination</w:t>
            </w:r>
          </w:p>
        </w:tc>
      </w:tr>
      <w:tr w:rsidR="00401271" w:rsidRPr="00F73022" w:rsidTr="00B47920">
        <w:tc>
          <w:tcPr>
            <w:tcW w:w="3510" w:type="dxa"/>
          </w:tcPr>
          <w:p w:rsidR="00401271" w:rsidRPr="00F73022" w:rsidRDefault="00401271" w:rsidP="009F003B">
            <w:pPr>
              <w:pStyle w:val="UnnumberedL3"/>
              <w:ind w:left="0"/>
              <w:rPr>
                <w:rFonts w:cs="Arial"/>
                <w:b/>
                <w:bCs/>
                <w:lang w:eastAsia="en-NZ"/>
              </w:rPr>
            </w:pPr>
            <w:r w:rsidRPr="00F73022">
              <w:rPr>
                <w:rStyle w:val="Emphasis-Bold"/>
              </w:rPr>
              <w:t>Real New</w:t>
            </w:r>
            <w:r w:rsidRPr="00F73022">
              <w:rPr>
                <w:rStyle w:val="Emphasis-Bold"/>
                <w:rFonts w:hint="eastAsia"/>
              </w:rPr>
              <w:t> </w:t>
            </w:r>
            <w:r w:rsidRPr="00F73022">
              <w:rPr>
                <w:rStyle w:val="Emphasis-Bold"/>
              </w:rPr>
              <w:t>Zealand dollars</w:t>
            </w:r>
          </w:p>
        </w:tc>
        <w:tc>
          <w:tcPr>
            <w:tcW w:w="4882" w:type="dxa"/>
          </w:tcPr>
          <w:p w:rsidR="00401271" w:rsidRPr="00F73022" w:rsidRDefault="00401271" w:rsidP="00EB41ED">
            <w:pPr>
              <w:tabs>
                <w:tab w:val="left" w:pos="4045"/>
              </w:tabs>
              <w:spacing w:line="264" w:lineRule="auto"/>
              <w:ind w:left="34"/>
              <w:rPr>
                <w:rFonts w:cs="Arial"/>
                <w:lang w:eastAsia="en-NZ"/>
              </w:rPr>
            </w:pPr>
            <w:r w:rsidRPr="00F73022">
              <w:t xml:space="preserve">means, in relation to the prospective disclosures made under clauses </w:t>
            </w:r>
            <w:r w:rsidR="0033518E">
              <w:fldChar w:fldCharType="begin"/>
            </w:r>
            <w:r w:rsidR="00AF6E9D">
              <w:instrText xml:space="preserve"> REF _Ref311133930 \w \h </w:instrText>
            </w:r>
            <w:r w:rsidR="0033518E">
              <w:fldChar w:fldCharType="separate"/>
            </w:r>
            <w:r w:rsidR="00B06C04">
              <w:t>2.6.1</w:t>
            </w:r>
            <w:r w:rsidR="0033518E">
              <w:fldChar w:fldCharType="end"/>
            </w:r>
            <w:r w:rsidR="00AF6E9D">
              <w:t xml:space="preserve">, </w:t>
            </w:r>
            <w:r w:rsidR="0033518E">
              <w:fldChar w:fldCharType="begin"/>
            </w:r>
            <w:r w:rsidR="00EB41ED">
              <w:instrText xml:space="preserve"> REF _Ref329179873 \w \h </w:instrText>
            </w:r>
            <w:r w:rsidR="0033518E">
              <w:fldChar w:fldCharType="separate"/>
            </w:r>
            <w:r w:rsidR="00B06C04">
              <w:t>2.6.3</w:t>
            </w:r>
            <w:r w:rsidR="0033518E">
              <w:fldChar w:fldCharType="end"/>
            </w:r>
            <w:r w:rsidR="00EB41ED">
              <w:t xml:space="preserve">, and </w:t>
            </w:r>
            <w:r w:rsidR="0033518E">
              <w:fldChar w:fldCharType="begin"/>
            </w:r>
            <w:r w:rsidR="00EB41ED">
              <w:instrText xml:space="preserve"> REF _Ref327190939 \w \h </w:instrText>
            </w:r>
            <w:r w:rsidR="0033518E">
              <w:fldChar w:fldCharType="separate"/>
            </w:r>
            <w:r w:rsidR="00B06C04">
              <w:t>2.6.5(1)</w:t>
            </w:r>
            <w:r w:rsidR="0033518E">
              <w:fldChar w:fldCharType="end"/>
            </w:r>
            <w:r w:rsidR="00EB41ED">
              <w:t xml:space="preserve"> </w:t>
            </w:r>
            <w:r w:rsidR="00B30070" w:rsidRPr="00F73022">
              <w:t>of this determination</w:t>
            </w:r>
            <w:r w:rsidRPr="00F73022">
              <w:t xml:space="preserve">, New Zealand dollars denominated in real terms as at the mid-point of the </w:t>
            </w:r>
            <w:r w:rsidRPr="00F73022">
              <w:rPr>
                <w:b/>
              </w:rPr>
              <w:t>disclosure year</w:t>
            </w:r>
          </w:p>
        </w:tc>
      </w:tr>
      <w:tr w:rsidR="00307644" w:rsidRPr="00F73022" w:rsidTr="00B47920">
        <w:tc>
          <w:tcPr>
            <w:tcW w:w="3510" w:type="dxa"/>
          </w:tcPr>
          <w:p w:rsidR="00307644" w:rsidRPr="00F73022" w:rsidRDefault="00307644" w:rsidP="00AE0D10">
            <w:pPr>
              <w:pStyle w:val="BodyText"/>
              <w:spacing w:line="264" w:lineRule="auto"/>
              <w:rPr>
                <w:rFonts w:cs="Arial"/>
                <w:b/>
                <w:bCs/>
                <w:lang w:eastAsia="en-NZ"/>
              </w:rPr>
            </w:pPr>
            <w:r w:rsidRPr="00F73022">
              <w:rPr>
                <w:b/>
              </w:rPr>
              <w:t>Record</w:t>
            </w:r>
          </w:p>
        </w:tc>
        <w:tc>
          <w:tcPr>
            <w:tcW w:w="4882" w:type="dxa"/>
          </w:tcPr>
          <w:p w:rsidR="00307644" w:rsidRPr="00F73022" w:rsidRDefault="00307644" w:rsidP="00AE0D10">
            <w:pPr>
              <w:tabs>
                <w:tab w:val="left" w:pos="4045"/>
              </w:tabs>
              <w:spacing w:line="264" w:lineRule="auto"/>
              <w:ind w:left="34"/>
              <w:rPr>
                <w:rFonts w:cs="Arial"/>
                <w:lang w:eastAsia="en-NZ"/>
              </w:rPr>
            </w:pPr>
            <w:r w:rsidRPr="00F73022">
              <w:t>has the meaning set out in section 4 of the Public Records Act 2005</w:t>
            </w:r>
          </w:p>
        </w:tc>
      </w:tr>
      <w:tr w:rsidR="00C06054" w:rsidRPr="00F73022" w:rsidTr="00B47920">
        <w:tc>
          <w:tcPr>
            <w:tcW w:w="3510" w:type="dxa"/>
          </w:tcPr>
          <w:p w:rsidR="00C06054" w:rsidRPr="00F73022" w:rsidRDefault="00C06054" w:rsidP="00AE0D10">
            <w:pPr>
              <w:pStyle w:val="BodyText"/>
              <w:spacing w:line="264" w:lineRule="auto"/>
              <w:rPr>
                <w:rFonts w:cs="Arial"/>
                <w:b/>
                <w:bCs/>
                <w:lang w:eastAsia="en-NZ"/>
              </w:rPr>
            </w:pPr>
            <w:r w:rsidRPr="00F73022">
              <w:rPr>
                <w:rFonts w:cs="Arial"/>
                <w:b/>
                <w:bCs/>
                <w:lang w:eastAsia="en-NZ"/>
              </w:rPr>
              <w:t>Regulated service asset values</w:t>
            </w:r>
          </w:p>
        </w:tc>
        <w:tc>
          <w:tcPr>
            <w:tcW w:w="4882" w:type="dxa"/>
          </w:tcPr>
          <w:p w:rsidR="00C06054" w:rsidRPr="00F73022" w:rsidRDefault="00C06054" w:rsidP="00AE0D10">
            <w:pPr>
              <w:tabs>
                <w:tab w:val="left" w:pos="4045"/>
              </w:tabs>
              <w:spacing w:line="264" w:lineRule="auto"/>
              <w:ind w:left="34"/>
              <w:rPr>
                <w:rFonts w:cs="Arial"/>
                <w:lang w:eastAsia="en-NZ"/>
              </w:rPr>
            </w:pPr>
            <w:r w:rsidRPr="00F73022">
              <w:rPr>
                <w:rFonts w:cs="Arial"/>
                <w:lang w:eastAsia="en-NZ"/>
              </w:rPr>
              <w:t xml:space="preserve">has the meaning set out in the </w:t>
            </w:r>
            <w:r w:rsidRPr="00F73022">
              <w:rPr>
                <w:rFonts w:cs="Arial"/>
                <w:b/>
                <w:bCs/>
                <w:lang w:eastAsia="en-NZ"/>
              </w:rPr>
              <w:t>IM determination</w:t>
            </w:r>
          </w:p>
        </w:tc>
      </w:tr>
      <w:tr w:rsidR="00401271" w:rsidRPr="00F73022" w:rsidTr="00B47920">
        <w:tc>
          <w:tcPr>
            <w:tcW w:w="3510" w:type="dxa"/>
          </w:tcPr>
          <w:p w:rsidR="00401271" w:rsidRPr="00F73022" w:rsidRDefault="00401271" w:rsidP="00AE0D10">
            <w:pPr>
              <w:spacing w:line="264" w:lineRule="auto"/>
              <w:rPr>
                <w:rFonts w:cs="Arial"/>
                <w:b/>
                <w:bCs/>
                <w:lang w:eastAsia="en-NZ"/>
              </w:rPr>
            </w:pPr>
            <w:r w:rsidRPr="00F73022">
              <w:rPr>
                <w:rFonts w:cs="Arial"/>
                <w:b/>
                <w:bCs/>
                <w:lang w:eastAsia="en-NZ"/>
              </w:rPr>
              <w:t>Related party</w:t>
            </w:r>
          </w:p>
        </w:tc>
        <w:tc>
          <w:tcPr>
            <w:tcW w:w="4882" w:type="dxa"/>
          </w:tcPr>
          <w:p w:rsidR="00401271" w:rsidRPr="00F73022" w:rsidRDefault="00401271" w:rsidP="00AE0D10">
            <w:pPr>
              <w:spacing w:line="264" w:lineRule="auto"/>
              <w:rPr>
                <w:rFonts w:cs="Arial"/>
                <w:lang w:eastAsia="en-NZ"/>
              </w:rPr>
            </w:pPr>
            <w:r w:rsidRPr="00F73022">
              <w:rPr>
                <w:rFonts w:cs="Arial"/>
                <w:lang w:eastAsia="en-NZ"/>
              </w:rPr>
              <w:t xml:space="preserve">has the meaning set out in the </w:t>
            </w:r>
            <w:r w:rsidRPr="00F73022">
              <w:rPr>
                <w:rFonts w:cs="Arial"/>
                <w:b/>
                <w:bCs/>
                <w:lang w:eastAsia="en-NZ"/>
              </w:rPr>
              <w:t>IM determination</w:t>
            </w:r>
          </w:p>
        </w:tc>
      </w:tr>
      <w:tr w:rsidR="00401271" w:rsidRPr="00F73022" w:rsidTr="00B47920">
        <w:tc>
          <w:tcPr>
            <w:tcW w:w="3510" w:type="dxa"/>
          </w:tcPr>
          <w:p w:rsidR="00401271" w:rsidRPr="00F73022" w:rsidRDefault="00401271" w:rsidP="004068A0">
            <w:pPr>
              <w:spacing w:line="264" w:lineRule="auto"/>
              <w:rPr>
                <w:rFonts w:cs="Arial"/>
                <w:b/>
                <w:bCs/>
                <w:lang w:eastAsia="en-NZ"/>
              </w:rPr>
            </w:pPr>
            <w:r w:rsidRPr="00F73022">
              <w:rPr>
                <w:rFonts w:cs="Arial"/>
                <w:b/>
                <w:bCs/>
                <w:lang w:eastAsia="en-NZ"/>
              </w:rPr>
              <w:t>Related party transaction</w:t>
            </w:r>
          </w:p>
        </w:tc>
        <w:tc>
          <w:tcPr>
            <w:tcW w:w="4882" w:type="dxa"/>
          </w:tcPr>
          <w:p w:rsidR="00401271" w:rsidRPr="00F73022" w:rsidRDefault="00401271" w:rsidP="004068A0">
            <w:pPr>
              <w:tabs>
                <w:tab w:val="left" w:pos="4045"/>
              </w:tabs>
              <w:spacing w:line="264" w:lineRule="auto"/>
              <w:ind w:left="34"/>
              <w:rPr>
                <w:rFonts w:cs="Arial"/>
                <w:lang w:eastAsia="en-NZ"/>
              </w:rPr>
            </w:pPr>
            <w:r w:rsidRPr="00F73022">
              <w:rPr>
                <w:rFonts w:cs="Arial"/>
                <w:lang w:eastAsia="en-NZ"/>
              </w:rPr>
              <w:t xml:space="preserve">means a transaction with a </w:t>
            </w:r>
            <w:r w:rsidRPr="00F73022">
              <w:rPr>
                <w:rFonts w:cs="Arial"/>
                <w:b/>
                <w:lang w:eastAsia="en-NZ"/>
              </w:rPr>
              <w:t>related party</w:t>
            </w:r>
          </w:p>
        </w:tc>
      </w:tr>
      <w:tr w:rsidR="00C67D9A" w:rsidRPr="00F73022" w:rsidTr="00B47920">
        <w:tc>
          <w:tcPr>
            <w:tcW w:w="3510" w:type="dxa"/>
          </w:tcPr>
          <w:p w:rsidR="00C67D9A" w:rsidRPr="00F73022" w:rsidRDefault="00C67D9A" w:rsidP="00241494">
            <w:pPr>
              <w:pStyle w:val="Clausetextunnumbered"/>
              <w:rPr>
                <w:rStyle w:val="Emphasis-Bold"/>
                <w:sz w:val="24"/>
                <w:szCs w:val="24"/>
              </w:rPr>
            </w:pPr>
            <w:r w:rsidRPr="00F73022">
              <w:rPr>
                <w:rStyle w:val="Emphasis-Bold"/>
                <w:sz w:val="24"/>
                <w:szCs w:val="24"/>
              </w:rPr>
              <w:t>Related services</w:t>
            </w:r>
          </w:p>
        </w:tc>
        <w:tc>
          <w:tcPr>
            <w:tcW w:w="4882" w:type="dxa"/>
          </w:tcPr>
          <w:p w:rsidR="00C67D9A" w:rsidRPr="00F73022" w:rsidRDefault="00C67D9A" w:rsidP="00E46BC1">
            <w:pPr>
              <w:spacing w:line="264" w:lineRule="auto"/>
              <w:rPr>
                <w:rFonts w:cs="Arial"/>
                <w:lang w:eastAsia="en-NZ"/>
              </w:rPr>
            </w:pPr>
            <w:r w:rsidRPr="00F73022">
              <w:rPr>
                <w:rFonts w:cs="Arial"/>
                <w:lang w:eastAsia="en-NZ"/>
              </w:rPr>
              <w:t xml:space="preserve">means any </w:t>
            </w:r>
            <w:r w:rsidRPr="00F73022">
              <w:rPr>
                <w:rFonts w:cs="Arial"/>
                <w:b/>
                <w:lang w:eastAsia="en-NZ"/>
              </w:rPr>
              <w:t xml:space="preserve">contract </w:t>
            </w:r>
            <w:r w:rsidRPr="00F73022">
              <w:rPr>
                <w:rFonts w:cs="Arial"/>
                <w:lang w:eastAsia="en-NZ"/>
              </w:rPr>
              <w:t xml:space="preserve">for the supply of goods or services (other than a </w:t>
            </w:r>
            <w:r w:rsidRPr="00F73022">
              <w:rPr>
                <w:rFonts w:cs="Arial"/>
                <w:b/>
                <w:lang w:eastAsia="en-NZ"/>
              </w:rPr>
              <w:t xml:space="preserve">contract </w:t>
            </w:r>
            <w:r w:rsidRPr="00F73022">
              <w:rPr>
                <w:rFonts w:cs="Arial"/>
                <w:lang w:eastAsia="en-NZ"/>
              </w:rPr>
              <w:t>for the supply or conveyance of gas or the supply of gas appliances) in any case where-</w:t>
            </w:r>
          </w:p>
          <w:p w:rsidR="00C67D9A" w:rsidRPr="00F73022" w:rsidRDefault="00C67D9A" w:rsidP="00440341">
            <w:pPr>
              <w:pStyle w:val="ListParagraph"/>
              <w:numPr>
                <w:ilvl w:val="4"/>
                <w:numId w:val="39"/>
              </w:numPr>
              <w:tabs>
                <w:tab w:val="clear" w:pos="3600"/>
                <w:tab w:val="num" w:pos="459"/>
              </w:tabs>
              <w:spacing w:line="264" w:lineRule="auto"/>
              <w:ind w:left="459" w:hanging="459"/>
              <w:rPr>
                <w:rFonts w:cs="Arial"/>
                <w:lang w:eastAsia="en-NZ"/>
              </w:rPr>
            </w:pPr>
            <w:r w:rsidRPr="00F73022">
              <w:rPr>
                <w:rFonts w:cs="Arial"/>
                <w:lang w:eastAsia="en-NZ"/>
              </w:rPr>
              <w:t>there is a linkage between:</w:t>
            </w:r>
          </w:p>
          <w:p w:rsidR="00C67D9A" w:rsidRPr="00F73022" w:rsidRDefault="00C67D9A" w:rsidP="00440341">
            <w:pPr>
              <w:pStyle w:val="ListParagraph"/>
              <w:numPr>
                <w:ilvl w:val="1"/>
                <w:numId w:val="40"/>
              </w:numPr>
              <w:tabs>
                <w:tab w:val="clear" w:pos="1920"/>
                <w:tab w:val="num" w:pos="884"/>
              </w:tabs>
              <w:spacing w:line="264" w:lineRule="auto"/>
              <w:ind w:left="884" w:hanging="425"/>
              <w:rPr>
                <w:rFonts w:cs="Arial"/>
                <w:lang w:eastAsia="en-NZ"/>
              </w:rPr>
            </w:pPr>
            <w:r w:rsidRPr="00F73022">
              <w:rPr>
                <w:rFonts w:cs="Arial"/>
                <w:lang w:eastAsia="en-NZ"/>
              </w:rPr>
              <w:t xml:space="preserve">that </w:t>
            </w:r>
            <w:r w:rsidRPr="00F73022">
              <w:rPr>
                <w:rFonts w:cs="Arial"/>
                <w:b/>
                <w:lang w:eastAsia="en-NZ"/>
              </w:rPr>
              <w:t>contract</w:t>
            </w:r>
            <w:r w:rsidRPr="00F73022">
              <w:rPr>
                <w:rFonts w:cs="Arial"/>
                <w:lang w:eastAsia="en-NZ"/>
              </w:rPr>
              <w:t>; and</w:t>
            </w:r>
          </w:p>
          <w:p w:rsidR="00C67D9A" w:rsidRPr="00F73022" w:rsidRDefault="00C67D9A" w:rsidP="00440341">
            <w:pPr>
              <w:pStyle w:val="ListParagraph"/>
              <w:numPr>
                <w:ilvl w:val="1"/>
                <w:numId w:val="40"/>
              </w:numPr>
              <w:tabs>
                <w:tab w:val="clear" w:pos="1920"/>
                <w:tab w:val="num" w:pos="884"/>
              </w:tabs>
              <w:spacing w:line="264" w:lineRule="auto"/>
              <w:ind w:left="884" w:hanging="425"/>
              <w:rPr>
                <w:rFonts w:cs="Arial"/>
                <w:lang w:eastAsia="en-NZ"/>
              </w:rPr>
            </w:pPr>
            <w:r w:rsidRPr="00F73022">
              <w:rPr>
                <w:rFonts w:cs="Arial"/>
                <w:lang w:eastAsia="en-NZ"/>
              </w:rPr>
              <w:t xml:space="preserve">a </w:t>
            </w:r>
            <w:r w:rsidRPr="00F73022">
              <w:rPr>
                <w:rFonts w:cs="Arial"/>
                <w:b/>
                <w:lang w:eastAsia="en-NZ"/>
              </w:rPr>
              <w:t xml:space="preserve">contract </w:t>
            </w:r>
            <w:r w:rsidRPr="00F73022">
              <w:rPr>
                <w:rFonts w:cs="Arial"/>
                <w:lang w:eastAsia="en-NZ"/>
              </w:rPr>
              <w:t>for the supply or conveyance of gas</w:t>
            </w:r>
          </w:p>
          <w:p w:rsidR="00C67D9A" w:rsidRPr="00F73022" w:rsidRDefault="00C67D9A" w:rsidP="00E46BC1">
            <w:pPr>
              <w:pStyle w:val="ListParagraph"/>
              <w:spacing w:line="264" w:lineRule="auto"/>
              <w:ind w:left="459"/>
              <w:rPr>
                <w:rFonts w:cs="Arial"/>
                <w:lang w:eastAsia="en-NZ"/>
              </w:rPr>
            </w:pPr>
            <w:r w:rsidRPr="00F73022">
              <w:rPr>
                <w:rFonts w:cs="Arial"/>
                <w:lang w:eastAsia="en-NZ"/>
              </w:rPr>
              <w:t>by reason that the consideration for the supply of those goods or services is linked to, or combined with, payment for the supply or conveyance of that gas; and</w:t>
            </w:r>
          </w:p>
          <w:p w:rsidR="00C67D9A" w:rsidRPr="00F73022" w:rsidRDefault="00C67D9A" w:rsidP="00440341">
            <w:pPr>
              <w:pStyle w:val="ListParagraph"/>
              <w:numPr>
                <w:ilvl w:val="4"/>
                <w:numId w:val="39"/>
              </w:numPr>
              <w:tabs>
                <w:tab w:val="clear" w:pos="3600"/>
                <w:tab w:val="num" w:pos="459"/>
              </w:tabs>
              <w:spacing w:line="264" w:lineRule="auto"/>
              <w:ind w:left="459" w:hanging="459"/>
              <w:rPr>
                <w:rFonts w:cs="Arial"/>
                <w:lang w:eastAsia="en-NZ"/>
              </w:rPr>
            </w:pPr>
            <w:r w:rsidRPr="00F73022">
              <w:rPr>
                <w:rFonts w:cs="Arial"/>
                <w:lang w:eastAsia="en-NZ"/>
              </w:rPr>
              <w:t xml:space="preserve">the monetary value of the goods or services supplied, or to be supplied, under the </w:t>
            </w:r>
            <w:r w:rsidRPr="00F73022">
              <w:rPr>
                <w:rFonts w:cs="Arial"/>
                <w:b/>
                <w:lang w:eastAsia="en-NZ"/>
              </w:rPr>
              <w:t xml:space="preserve">contract </w:t>
            </w:r>
            <w:r w:rsidRPr="00F73022">
              <w:rPr>
                <w:rFonts w:cs="Arial"/>
                <w:lang w:eastAsia="en-NZ"/>
              </w:rPr>
              <w:t>referred to in (a)(</w:t>
            </w:r>
            <w:proofErr w:type="spellStart"/>
            <w:r w:rsidRPr="00F73022">
              <w:rPr>
                <w:rFonts w:cs="Arial"/>
                <w:lang w:eastAsia="en-NZ"/>
              </w:rPr>
              <w:t>i</w:t>
            </w:r>
            <w:proofErr w:type="spellEnd"/>
            <w:r w:rsidRPr="00F73022">
              <w:rPr>
                <w:rFonts w:cs="Arial"/>
                <w:lang w:eastAsia="en-NZ"/>
              </w:rPr>
              <w:t>) above, in respect of:</w:t>
            </w:r>
          </w:p>
          <w:p w:rsidR="00110F6A" w:rsidRPr="00F73022" w:rsidRDefault="00C67D9A" w:rsidP="00440341">
            <w:pPr>
              <w:pStyle w:val="ListParagraph"/>
              <w:numPr>
                <w:ilvl w:val="1"/>
                <w:numId w:val="41"/>
              </w:numPr>
              <w:tabs>
                <w:tab w:val="clear" w:pos="1920"/>
                <w:tab w:val="num" w:pos="459"/>
                <w:tab w:val="num" w:pos="884"/>
              </w:tabs>
              <w:spacing w:line="264" w:lineRule="auto"/>
              <w:ind w:left="884" w:hanging="425"/>
              <w:rPr>
                <w:rFonts w:cs="Arial"/>
                <w:lang w:eastAsia="en-NZ"/>
              </w:rPr>
            </w:pPr>
            <w:r w:rsidRPr="00F73022">
              <w:rPr>
                <w:rFonts w:cs="Arial"/>
                <w:lang w:eastAsia="en-NZ"/>
              </w:rPr>
              <w:t xml:space="preserve">the period of 12 months immediately before the information relating to the </w:t>
            </w:r>
            <w:r w:rsidRPr="00F73022">
              <w:rPr>
                <w:rFonts w:cs="Arial"/>
                <w:b/>
                <w:lang w:eastAsia="en-NZ"/>
              </w:rPr>
              <w:t xml:space="preserve">contract </w:t>
            </w:r>
            <w:r w:rsidRPr="00F73022">
              <w:rPr>
                <w:rFonts w:cs="Arial"/>
                <w:lang w:eastAsia="en-NZ"/>
              </w:rPr>
              <w:t>for the</w:t>
            </w:r>
            <w:r w:rsidRPr="00F73022">
              <w:rPr>
                <w:rFonts w:cs="Arial"/>
                <w:b/>
                <w:lang w:eastAsia="en-NZ"/>
              </w:rPr>
              <w:t xml:space="preserve"> </w:t>
            </w:r>
            <w:r w:rsidRPr="00F73022">
              <w:rPr>
                <w:rFonts w:cs="Arial"/>
                <w:lang w:eastAsia="en-NZ"/>
              </w:rPr>
              <w:t xml:space="preserve">supply or conveyance of gas that is </w:t>
            </w:r>
            <w:r w:rsidRPr="00F73022">
              <w:rPr>
                <w:rFonts w:cs="Arial"/>
                <w:b/>
                <w:lang w:eastAsia="en-NZ"/>
              </w:rPr>
              <w:t>publicly disclosed</w:t>
            </w:r>
            <w:r w:rsidRPr="00F73022">
              <w:rPr>
                <w:rFonts w:cs="Arial"/>
                <w:lang w:eastAsia="en-NZ"/>
              </w:rPr>
              <w:t xml:space="preserve"> as required by clauses 9 or 10 of section 2.4; or</w:t>
            </w:r>
          </w:p>
          <w:p w:rsidR="00C67D9A" w:rsidRPr="00F73022" w:rsidRDefault="00C67D9A" w:rsidP="00440341">
            <w:pPr>
              <w:pStyle w:val="ListParagraph"/>
              <w:numPr>
                <w:ilvl w:val="1"/>
                <w:numId w:val="41"/>
              </w:numPr>
              <w:tabs>
                <w:tab w:val="clear" w:pos="1920"/>
                <w:tab w:val="num" w:pos="459"/>
                <w:tab w:val="num" w:pos="884"/>
              </w:tabs>
              <w:spacing w:line="264" w:lineRule="auto"/>
              <w:ind w:left="884" w:hanging="425"/>
              <w:rPr>
                <w:rFonts w:cs="Arial"/>
                <w:lang w:eastAsia="en-NZ"/>
              </w:rPr>
            </w:pPr>
            <w:r w:rsidRPr="00F73022">
              <w:rPr>
                <w:rFonts w:cs="Arial"/>
                <w:lang w:eastAsia="en-NZ"/>
              </w:rPr>
              <w:t xml:space="preserve">the period of 12 months immediately after that information is </w:t>
            </w:r>
            <w:r w:rsidRPr="00F73022">
              <w:rPr>
                <w:rFonts w:cs="Arial"/>
                <w:b/>
                <w:lang w:eastAsia="en-NZ"/>
              </w:rPr>
              <w:t>publicly disclosed</w:t>
            </w:r>
            <w:r w:rsidRPr="00F73022">
              <w:rPr>
                <w:rFonts w:cs="Arial"/>
                <w:lang w:eastAsia="en-NZ"/>
              </w:rPr>
              <w:t>-</w:t>
            </w:r>
          </w:p>
          <w:p w:rsidR="00C67D9A" w:rsidRPr="00F73022" w:rsidRDefault="00C67D9A" w:rsidP="00E46BC1">
            <w:pPr>
              <w:tabs>
                <w:tab w:val="num" w:pos="884"/>
              </w:tabs>
              <w:spacing w:line="264" w:lineRule="auto"/>
              <w:ind w:left="459"/>
              <w:rPr>
                <w:rFonts w:cs="Arial"/>
                <w:lang w:eastAsia="en-NZ"/>
              </w:rPr>
            </w:pPr>
            <w:r w:rsidRPr="00F73022">
              <w:rPr>
                <w:rFonts w:cs="Arial"/>
                <w:lang w:eastAsia="en-NZ"/>
              </w:rPr>
              <w:t xml:space="preserve">amounts to or will amount to more than 1% of the monetary value or projected monetary value of the </w:t>
            </w:r>
            <w:r w:rsidRPr="00F73022">
              <w:rPr>
                <w:rFonts w:cs="Arial"/>
                <w:b/>
                <w:lang w:eastAsia="en-NZ"/>
              </w:rPr>
              <w:t xml:space="preserve">contract </w:t>
            </w:r>
            <w:r w:rsidRPr="00F73022">
              <w:rPr>
                <w:rFonts w:cs="Arial"/>
                <w:lang w:eastAsia="en-NZ"/>
              </w:rPr>
              <w:t>for the supply or conveyance of gas</w:t>
            </w:r>
          </w:p>
        </w:tc>
      </w:tr>
      <w:tr w:rsidR="00A67D87" w:rsidRPr="00F73022" w:rsidTr="00B47920">
        <w:tc>
          <w:tcPr>
            <w:tcW w:w="3510" w:type="dxa"/>
          </w:tcPr>
          <w:p w:rsidR="00A67D87" w:rsidRPr="00F73022" w:rsidRDefault="00A67D87" w:rsidP="00AE0D10">
            <w:pPr>
              <w:spacing w:line="264" w:lineRule="auto"/>
              <w:rPr>
                <w:rFonts w:cs="Arial"/>
                <w:b/>
                <w:bCs/>
                <w:lang w:eastAsia="en-NZ"/>
              </w:rPr>
            </w:pPr>
            <w:r w:rsidRPr="00F73022">
              <w:rPr>
                <w:rFonts w:cs="Arial"/>
                <w:b/>
                <w:bCs/>
                <w:lang w:eastAsia="en-NZ"/>
              </w:rPr>
              <w:t>Revenue</w:t>
            </w:r>
          </w:p>
        </w:tc>
        <w:tc>
          <w:tcPr>
            <w:tcW w:w="4882" w:type="dxa"/>
          </w:tcPr>
          <w:p w:rsidR="00A67D87" w:rsidRPr="00F73022" w:rsidRDefault="00A67D87" w:rsidP="004068A0">
            <w:r w:rsidRPr="00F73022">
              <w:t xml:space="preserve">means </w:t>
            </w:r>
            <w:r w:rsidRPr="00F73022">
              <w:rPr>
                <w:b/>
              </w:rPr>
              <w:t>total regulatory income</w:t>
            </w:r>
            <w:r w:rsidRPr="00F73022">
              <w:t xml:space="preserve"> accrued in each of the months of the </w:t>
            </w:r>
            <w:r w:rsidRPr="00F73022">
              <w:rPr>
                <w:b/>
              </w:rPr>
              <w:t>disclosure year</w:t>
            </w:r>
          </w:p>
        </w:tc>
      </w:tr>
      <w:tr w:rsidR="008D5589" w:rsidRPr="00F73022" w:rsidTr="00B47920">
        <w:tc>
          <w:tcPr>
            <w:tcW w:w="3510" w:type="dxa"/>
          </w:tcPr>
          <w:p w:rsidR="008D5589" w:rsidRPr="00F73022" w:rsidRDefault="008D5589" w:rsidP="00AE0D10">
            <w:pPr>
              <w:spacing w:line="264" w:lineRule="auto"/>
              <w:rPr>
                <w:rFonts w:cs="Arial"/>
                <w:b/>
                <w:bCs/>
                <w:lang w:eastAsia="en-NZ"/>
              </w:rPr>
            </w:pPr>
            <w:r w:rsidRPr="00F73022">
              <w:rPr>
                <w:b/>
              </w:rPr>
              <w:t>Routine and corrective maintenance and inspection</w:t>
            </w:r>
          </w:p>
        </w:tc>
        <w:tc>
          <w:tcPr>
            <w:tcW w:w="4882" w:type="dxa"/>
          </w:tcPr>
          <w:p w:rsidR="008D5589" w:rsidRPr="00F73022" w:rsidRDefault="008D5589" w:rsidP="004D1973">
            <w:pPr>
              <w:spacing w:line="264" w:lineRule="auto"/>
            </w:pPr>
            <w:r w:rsidRPr="00F73022">
              <w:t xml:space="preserve">in relation to expenditure, means </w:t>
            </w:r>
            <w:r w:rsidRPr="00F73022">
              <w:rPr>
                <w:b/>
              </w:rPr>
              <w:t>operational expenditure</w:t>
            </w:r>
            <w:r w:rsidRPr="00F73022">
              <w:t xml:space="preserve"> where the </w:t>
            </w:r>
            <w:r w:rsidRPr="00F73022">
              <w:rPr>
                <w:b/>
              </w:rPr>
              <w:t>primary driver</w:t>
            </w:r>
            <w:r w:rsidRPr="00F73022">
              <w:t xml:space="preserve"> is the activities specified in planned or programmed inspection, testing and maintenance work schedules and includes:</w:t>
            </w:r>
          </w:p>
          <w:p w:rsidR="008D5589" w:rsidRPr="00F73022" w:rsidRDefault="008D5589" w:rsidP="008D5589">
            <w:pPr>
              <w:pStyle w:val="Tablebullet"/>
              <w:numPr>
                <w:ilvl w:val="0"/>
                <w:numId w:val="63"/>
              </w:numPr>
              <w:spacing w:after="120"/>
              <w:rPr>
                <w:szCs w:val="24"/>
              </w:rPr>
            </w:pPr>
            <w:r w:rsidRPr="00F73022">
              <w:rPr>
                <w:szCs w:val="24"/>
              </w:rPr>
              <w:t>fault rectification work that is undertaken at a time or date subsequent to any initial fault response and restoration activities</w:t>
            </w:r>
          </w:p>
          <w:p w:rsidR="008D5589" w:rsidRPr="00F73022" w:rsidRDefault="008D5589" w:rsidP="008D5589">
            <w:pPr>
              <w:pStyle w:val="Tablebullet"/>
              <w:numPr>
                <w:ilvl w:val="0"/>
                <w:numId w:val="63"/>
              </w:numPr>
              <w:spacing w:after="120"/>
              <w:rPr>
                <w:szCs w:val="24"/>
              </w:rPr>
            </w:pPr>
            <w:r w:rsidRPr="00F73022">
              <w:rPr>
                <w:szCs w:val="24"/>
              </w:rPr>
              <w:t>routine inspection</w:t>
            </w:r>
          </w:p>
          <w:p w:rsidR="008D5589" w:rsidRPr="00F73022" w:rsidRDefault="008D5589" w:rsidP="008D5589">
            <w:pPr>
              <w:pStyle w:val="Tablebullet"/>
              <w:numPr>
                <w:ilvl w:val="0"/>
                <w:numId w:val="63"/>
              </w:numPr>
              <w:spacing w:after="120"/>
              <w:rPr>
                <w:szCs w:val="24"/>
              </w:rPr>
            </w:pPr>
            <w:r w:rsidRPr="00F73022">
              <w:rPr>
                <w:szCs w:val="24"/>
              </w:rPr>
              <w:t>functional and intrusive testing of assets, plant and equipment including critical spares and equipment</w:t>
            </w:r>
          </w:p>
          <w:p w:rsidR="008D5589" w:rsidRPr="00F73022" w:rsidRDefault="008D5589" w:rsidP="008D5589">
            <w:pPr>
              <w:pStyle w:val="Tablebullet"/>
              <w:numPr>
                <w:ilvl w:val="0"/>
                <w:numId w:val="63"/>
              </w:numPr>
              <w:spacing w:after="120"/>
              <w:rPr>
                <w:szCs w:val="24"/>
              </w:rPr>
            </w:pPr>
            <w:r w:rsidRPr="00F73022">
              <w:rPr>
                <w:szCs w:val="24"/>
              </w:rPr>
              <w:t>helicopter, vehicle and foot patrols, including negotiation of landowner access</w:t>
            </w:r>
          </w:p>
          <w:p w:rsidR="008D5589" w:rsidRPr="00F73022" w:rsidRDefault="008D5589" w:rsidP="008D5589">
            <w:pPr>
              <w:pStyle w:val="Tablebullet"/>
              <w:numPr>
                <w:ilvl w:val="0"/>
                <w:numId w:val="63"/>
              </w:numPr>
              <w:spacing w:after="120"/>
              <w:rPr>
                <w:szCs w:val="24"/>
              </w:rPr>
            </w:pPr>
            <w:r w:rsidRPr="00F73022">
              <w:rPr>
                <w:szCs w:val="24"/>
              </w:rPr>
              <w:t xml:space="preserve">asset surveys </w:t>
            </w:r>
          </w:p>
          <w:p w:rsidR="008D5589" w:rsidRPr="00F73022" w:rsidRDefault="008D5589" w:rsidP="008D5589">
            <w:pPr>
              <w:pStyle w:val="Tablebullet"/>
              <w:numPr>
                <w:ilvl w:val="0"/>
                <w:numId w:val="63"/>
              </w:numPr>
              <w:spacing w:after="120"/>
              <w:rPr>
                <w:szCs w:val="24"/>
              </w:rPr>
            </w:pPr>
            <w:r w:rsidRPr="00F73022">
              <w:rPr>
                <w:szCs w:val="24"/>
              </w:rPr>
              <w:t>environmental response</w:t>
            </w:r>
          </w:p>
          <w:p w:rsidR="008D5589" w:rsidRPr="00F73022" w:rsidRDefault="008D5589" w:rsidP="008D5589">
            <w:pPr>
              <w:pStyle w:val="Tablebullet"/>
              <w:numPr>
                <w:ilvl w:val="0"/>
                <w:numId w:val="63"/>
              </w:numPr>
              <w:spacing w:after="120"/>
              <w:rPr>
                <w:szCs w:val="24"/>
              </w:rPr>
            </w:pPr>
            <w:r w:rsidRPr="00F73022">
              <w:rPr>
                <w:szCs w:val="24"/>
              </w:rPr>
              <w:t>painting of network assets</w:t>
            </w:r>
          </w:p>
          <w:p w:rsidR="008D5589" w:rsidRPr="00F73022" w:rsidRDefault="008D5589" w:rsidP="008D5589">
            <w:pPr>
              <w:pStyle w:val="Tablebullet"/>
              <w:numPr>
                <w:ilvl w:val="0"/>
                <w:numId w:val="63"/>
              </w:numPr>
              <w:spacing w:after="120"/>
              <w:rPr>
                <w:szCs w:val="24"/>
              </w:rPr>
            </w:pPr>
            <w:r w:rsidRPr="00F73022">
              <w:rPr>
                <w:szCs w:val="24"/>
              </w:rPr>
              <w:t>outdoor and indoor maintenance of stations, including weed and vegetation clearance, lawn mowing and fencing</w:t>
            </w:r>
          </w:p>
          <w:p w:rsidR="008D5589" w:rsidRPr="00F73022" w:rsidRDefault="008D5589" w:rsidP="008D5589">
            <w:pPr>
              <w:pStyle w:val="Tablebullet"/>
              <w:numPr>
                <w:ilvl w:val="0"/>
                <w:numId w:val="63"/>
              </w:numPr>
              <w:spacing w:after="120"/>
              <w:rPr>
                <w:szCs w:val="24"/>
              </w:rPr>
            </w:pPr>
            <w:r w:rsidRPr="00F73022">
              <w:rPr>
                <w:szCs w:val="24"/>
              </w:rPr>
              <w:t>maintenance of access tracks, including associated security structures and weed and vegetation clearance</w:t>
            </w:r>
          </w:p>
          <w:p w:rsidR="008D5589" w:rsidRPr="00F73022" w:rsidRDefault="008D5589" w:rsidP="008D5589">
            <w:pPr>
              <w:pStyle w:val="Tablebullet"/>
              <w:numPr>
                <w:ilvl w:val="0"/>
                <w:numId w:val="63"/>
              </w:numPr>
              <w:spacing w:after="120"/>
              <w:rPr>
                <w:szCs w:val="24"/>
                <w:lang w:eastAsia="en-NZ"/>
              </w:rPr>
            </w:pPr>
            <w:r w:rsidRPr="00F73022">
              <w:rPr>
                <w:szCs w:val="24"/>
              </w:rPr>
              <w:t>customer-driven maintenance</w:t>
            </w:r>
          </w:p>
          <w:p w:rsidR="008D5589" w:rsidRPr="00F73022" w:rsidRDefault="008D5589" w:rsidP="008D5589">
            <w:pPr>
              <w:pStyle w:val="Tablebullet"/>
              <w:numPr>
                <w:ilvl w:val="0"/>
                <w:numId w:val="63"/>
              </w:numPr>
              <w:spacing w:after="120"/>
              <w:rPr>
                <w:szCs w:val="24"/>
                <w:lang w:val="en-AU"/>
              </w:rPr>
            </w:pPr>
            <w:r w:rsidRPr="00F73022">
              <w:rPr>
                <w:szCs w:val="24"/>
              </w:rPr>
              <w:t>notices issued</w:t>
            </w:r>
          </w:p>
        </w:tc>
      </w:tr>
      <w:tr w:rsidR="00B47920" w:rsidRPr="00F73022" w:rsidTr="00B47920">
        <w:tc>
          <w:tcPr>
            <w:tcW w:w="3510" w:type="dxa"/>
            <w:tcBorders>
              <w:top w:val="nil"/>
              <w:left w:val="nil"/>
              <w:bottom w:val="nil"/>
              <w:right w:val="nil"/>
            </w:tcBorders>
          </w:tcPr>
          <w:p w:rsidR="00B47920" w:rsidRPr="00F73022" w:rsidRDefault="002B6A67" w:rsidP="00B47920">
            <w:r w:rsidRPr="00F73022">
              <w:rPr>
                <w:b/>
                <w:bCs/>
              </w:rPr>
              <w:t>R</w:t>
            </w:r>
            <w:r w:rsidR="00B47920" w:rsidRPr="00F73022">
              <w:rPr>
                <w:b/>
                <w:bCs/>
              </w:rPr>
              <w:t xml:space="preserve">outine transaction </w:t>
            </w:r>
            <w:r w:rsidR="00B47920" w:rsidRPr="00F73022">
              <w:t> </w:t>
            </w:r>
          </w:p>
          <w:p w:rsidR="00B47920" w:rsidRPr="00F73022" w:rsidRDefault="00B47920" w:rsidP="0077705E">
            <w:pPr>
              <w:pStyle w:val="BodyText"/>
              <w:spacing w:line="264" w:lineRule="auto"/>
              <w:rPr>
                <w:b/>
                <w:bCs/>
              </w:rPr>
            </w:pPr>
          </w:p>
        </w:tc>
        <w:tc>
          <w:tcPr>
            <w:tcW w:w="4882" w:type="dxa"/>
            <w:tcBorders>
              <w:top w:val="nil"/>
              <w:left w:val="nil"/>
              <w:bottom w:val="nil"/>
              <w:right w:val="nil"/>
            </w:tcBorders>
          </w:tcPr>
          <w:p w:rsidR="00B47920" w:rsidRPr="00F73022" w:rsidRDefault="00B47920" w:rsidP="00B47920">
            <w:r w:rsidRPr="00F73022">
              <w:t xml:space="preserve">means a </w:t>
            </w:r>
            <w:r w:rsidR="00F86836" w:rsidRPr="00F73022">
              <w:rPr>
                <w:b/>
              </w:rPr>
              <w:t>related party transaction</w:t>
            </w:r>
            <w:r w:rsidRPr="00F73022">
              <w:t xml:space="preserve"> involving MDL and one its shareholder businesses which is conducted in accordance with </w:t>
            </w:r>
            <w:r w:rsidRPr="00F73022">
              <w:rPr>
                <w:rStyle w:val="TableText-12point"/>
              </w:rPr>
              <w:t xml:space="preserve">the Maui Pipeline Operating Code, </w:t>
            </w:r>
            <w:r w:rsidRPr="00F73022">
              <w:t xml:space="preserve">does not contain any non-routine terms and conditions and relates to </w:t>
            </w:r>
            <w:r w:rsidRPr="00F73022">
              <w:rPr>
                <w:rStyle w:val="TableText-12point"/>
              </w:rPr>
              <w:t>gas transmission shipments, balancing gas transactions, or transactions for the purchasing or selling of gas that was initiated on an exchange/trading platform for anonymous trading</w:t>
            </w:r>
            <w:r w:rsidRPr="00F73022">
              <w:t xml:space="preserve"> </w:t>
            </w:r>
          </w:p>
          <w:p w:rsidR="00B47920" w:rsidRPr="00F73022" w:rsidRDefault="00B47920" w:rsidP="0077705E">
            <w:pPr>
              <w:spacing w:line="264" w:lineRule="auto"/>
            </w:pPr>
          </w:p>
        </w:tc>
      </w:tr>
    </w:tbl>
    <w:p w:rsidR="003E69C4" w:rsidRPr="006441E4" w:rsidRDefault="003E69C4" w:rsidP="00AE0D10">
      <w:pPr>
        <w:pStyle w:val="Heading2"/>
        <w:spacing w:before="240" w:after="240" w:line="264" w:lineRule="auto"/>
        <w:jc w:val="center"/>
        <w:rPr>
          <w:lang w:eastAsia="en-GB"/>
        </w:rPr>
      </w:pPr>
      <w:r w:rsidRPr="006441E4">
        <w:rPr>
          <w:lang w:eastAsia="en-GB"/>
        </w:rPr>
        <w:t>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8539EC" w:rsidRPr="006441E4" w:rsidTr="00A03DC6">
        <w:tc>
          <w:tcPr>
            <w:tcW w:w="3510" w:type="dxa"/>
          </w:tcPr>
          <w:p w:rsidR="008539EC" w:rsidRPr="006441E4" w:rsidRDefault="008539EC" w:rsidP="00AE0D10">
            <w:pPr>
              <w:pStyle w:val="BodyText"/>
              <w:spacing w:line="264" w:lineRule="auto"/>
              <w:rPr>
                <w:b/>
                <w:bCs/>
              </w:rPr>
            </w:pPr>
            <w:r w:rsidRPr="006441E4">
              <w:rPr>
                <w:b/>
                <w:bCs/>
              </w:rPr>
              <w:t>Shared asset</w:t>
            </w:r>
          </w:p>
        </w:tc>
        <w:tc>
          <w:tcPr>
            <w:tcW w:w="4882" w:type="dxa"/>
          </w:tcPr>
          <w:p w:rsidR="008539EC" w:rsidRPr="006441E4" w:rsidRDefault="008539EC" w:rsidP="00EB7771">
            <w:pPr>
              <w:spacing w:line="264" w:lineRule="auto"/>
            </w:pPr>
            <w:r w:rsidRPr="006441E4">
              <w:t>means a</w:t>
            </w:r>
            <w:r w:rsidR="00B47920">
              <w:t xml:space="preserve"> </w:t>
            </w:r>
            <w:r w:rsidR="00EB7771">
              <w:t>network</w:t>
            </w:r>
            <w:r w:rsidRPr="006441E4">
              <w:t xml:space="preserve"> asset used by more than one </w:t>
            </w:r>
            <w:r w:rsidRPr="006441E4">
              <w:rPr>
                <w:b/>
              </w:rPr>
              <w:t>consumer</w:t>
            </w:r>
            <w:r w:rsidRPr="006441E4">
              <w:t xml:space="preserve"> in order to receive </w:t>
            </w:r>
            <w:r w:rsidR="00227B61" w:rsidRPr="006441E4">
              <w:rPr>
                <w:b/>
              </w:rPr>
              <w:t>gas transmission services</w:t>
            </w:r>
          </w:p>
        </w:tc>
      </w:tr>
      <w:tr w:rsidR="008539EC" w:rsidRPr="006441E4" w:rsidTr="00A03DC6">
        <w:tc>
          <w:tcPr>
            <w:tcW w:w="3510" w:type="dxa"/>
          </w:tcPr>
          <w:p w:rsidR="008539EC" w:rsidRPr="006441E4" w:rsidRDefault="008539EC" w:rsidP="00AE0D10">
            <w:pPr>
              <w:pStyle w:val="BodyText"/>
              <w:spacing w:line="264" w:lineRule="auto"/>
              <w:rPr>
                <w:b/>
                <w:bCs/>
              </w:rPr>
            </w:pPr>
            <w:r w:rsidRPr="006441E4">
              <w:rPr>
                <w:b/>
                <w:bCs/>
              </w:rPr>
              <w:t>Sole use assets</w:t>
            </w:r>
          </w:p>
        </w:tc>
        <w:tc>
          <w:tcPr>
            <w:tcW w:w="4882" w:type="dxa"/>
          </w:tcPr>
          <w:p w:rsidR="008539EC" w:rsidRPr="006441E4" w:rsidRDefault="00EB7771" w:rsidP="00B86378">
            <w:pPr>
              <w:spacing w:line="264" w:lineRule="auto"/>
              <w:rPr>
                <w:b/>
                <w:bCs/>
              </w:rPr>
            </w:pPr>
            <w:r>
              <w:t xml:space="preserve">means assets connected to the network for use by only 1 connecting </w:t>
            </w:r>
            <w:r w:rsidR="00F86836" w:rsidRPr="00F86836">
              <w:rPr>
                <w:b/>
              </w:rPr>
              <w:t>consumer</w:t>
            </w:r>
            <w:r>
              <w:t xml:space="preserve"> in order to receive </w:t>
            </w:r>
            <w:r w:rsidR="00227B61" w:rsidRPr="006441E4">
              <w:rPr>
                <w:b/>
              </w:rPr>
              <w:t>gas transmission services</w:t>
            </w:r>
          </w:p>
        </w:tc>
      </w:tr>
      <w:tr w:rsidR="00256618" w:rsidRPr="006441E4" w:rsidTr="00A03DC6">
        <w:tc>
          <w:tcPr>
            <w:tcW w:w="3510" w:type="dxa"/>
          </w:tcPr>
          <w:p w:rsidR="00256618" w:rsidRPr="006441E4" w:rsidRDefault="00256618" w:rsidP="00AE0D10">
            <w:pPr>
              <w:pStyle w:val="BodyText"/>
              <w:spacing w:line="264" w:lineRule="auto"/>
              <w:rPr>
                <w:b/>
                <w:bCs/>
              </w:rPr>
            </w:pPr>
            <w:r>
              <w:rPr>
                <w:b/>
                <w:bCs/>
              </w:rPr>
              <w:t>Special crossings</w:t>
            </w:r>
          </w:p>
        </w:tc>
        <w:tc>
          <w:tcPr>
            <w:tcW w:w="4882" w:type="dxa"/>
          </w:tcPr>
          <w:p w:rsidR="00256618" w:rsidRPr="006441E4" w:rsidRDefault="004C02C0" w:rsidP="00AE0D10">
            <w:pPr>
              <w:spacing w:line="264" w:lineRule="auto"/>
            </w:pPr>
            <w:r w:rsidRPr="004C02C0">
              <w:t>means a section of pipe and associated assets (</w:t>
            </w:r>
            <w:proofErr w:type="spellStart"/>
            <w:r w:rsidRPr="004C02C0">
              <w:t>ie</w:t>
            </w:r>
            <w:proofErr w:type="spellEnd"/>
            <w:r w:rsidRPr="004C02C0">
              <w:t>, support structures, vents, casings etc),  where the associated assets are installed for the purpose of crossing a road, railway or river etc.</w:t>
            </w:r>
          </w:p>
        </w:tc>
      </w:tr>
      <w:tr w:rsidR="008539EC" w:rsidRPr="006441E4" w:rsidTr="00A03DC6">
        <w:tc>
          <w:tcPr>
            <w:tcW w:w="3510" w:type="dxa"/>
          </w:tcPr>
          <w:p w:rsidR="008539EC" w:rsidRPr="006441E4" w:rsidRDefault="008539EC" w:rsidP="00AE0D10">
            <w:pPr>
              <w:pStyle w:val="BodyText"/>
              <w:spacing w:line="264" w:lineRule="auto"/>
              <w:rPr>
                <w:b/>
              </w:rPr>
            </w:pPr>
            <w:r w:rsidRPr="006441E4">
              <w:rPr>
                <w:b/>
                <w:bCs/>
              </w:rPr>
              <w:t>Standard contract</w:t>
            </w:r>
          </w:p>
        </w:tc>
        <w:tc>
          <w:tcPr>
            <w:tcW w:w="4882" w:type="dxa"/>
          </w:tcPr>
          <w:p w:rsidR="00110F6A" w:rsidRPr="00110F6A" w:rsidRDefault="008539EC" w:rsidP="00AE0D10">
            <w:pPr>
              <w:spacing w:line="264" w:lineRule="auto"/>
            </w:pPr>
            <w:r w:rsidRPr="006441E4">
              <w:t xml:space="preserve">means, any </w:t>
            </w:r>
            <w:r w:rsidRPr="006441E4">
              <w:rPr>
                <w:b/>
              </w:rPr>
              <w:t>contract</w:t>
            </w:r>
            <w:r w:rsidRPr="006441E4">
              <w:t xml:space="preserve"> (being a </w:t>
            </w:r>
            <w:r w:rsidRPr="006441E4">
              <w:rPr>
                <w:b/>
              </w:rPr>
              <w:t>contract</w:t>
            </w:r>
            <w:r w:rsidRPr="006441E4">
              <w:t xml:space="preserve"> for the carrying out of </w:t>
            </w:r>
            <w:r w:rsidR="00227B61" w:rsidRPr="006441E4">
              <w:rPr>
                <w:b/>
                <w:bCs/>
              </w:rPr>
              <w:t>gas transmission services</w:t>
            </w:r>
            <w:r w:rsidRPr="006441E4">
              <w:t xml:space="preserve">) between a </w:t>
            </w:r>
            <w:r w:rsidRPr="006441E4">
              <w:rPr>
                <w:b/>
                <w:bCs/>
              </w:rPr>
              <w:t>G</w:t>
            </w:r>
            <w:r w:rsidR="00495786" w:rsidRPr="006441E4">
              <w:rPr>
                <w:b/>
                <w:bCs/>
              </w:rPr>
              <w:t>T</w:t>
            </w:r>
            <w:r w:rsidRPr="006441E4">
              <w:rPr>
                <w:b/>
                <w:bCs/>
              </w:rPr>
              <w:t>B</w:t>
            </w:r>
            <w:r w:rsidRPr="006441E4">
              <w:t xml:space="preserve">, and any other </w:t>
            </w:r>
            <w:r w:rsidR="00B86378" w:rsidRPr="006441E4">
              <w:rPr>
                <w:b/>
              </w:rPr>
              <w:t>p</w:t>
            </w:r>
            <w:r w:rsidRPr="006441E4">
              <w:rPr>
                <w:b/>
              </w:rPr>
              <w:t>erson</w:t>
            </w:r>
            <w:r w:rsidRPr="006441E4">
              <w:t>, where –</w:t>
            </w:r>
          </w:p>
          <w:p w:rsidR="00110F6A" w:rsidRPr="00110F6A" w:rsidRDefault="008539EC" w:rsidP="00440341">
            <w:pPr>
              <w:pStyle w:val="HeadingH6ClausesubtextL2"/>
              <w:numPr>
                <w:ilvl w:val="5"/>
                <w:numId w:val="29"/>
              </w:numPr>
              <w:tabs>
                <w:tab w:val="clear" w:pos="1702"/>
                <w:tab w:val="num" w:pos="459"/>
              </w:tabs>
              <w:ind w:left="459" w:hanging="425"/>
              <w:outlineLvl w:val="9"/>
              <w:rPr>
                <w:bCs/>
              </w:rPr>
            </w:pPr>
            <w:r w:rsidRPr="006441E4">
              <w:t xml:space="preserve">the </w:t>
            </w:r>
            <w:r w:rsidRPr="006441E4">
              <w:rPr>
                <w:b/>
              </w:rPr>
              <w:t>price</w:t>
            </w:r>
            <w:r w:rsidRPr="006441E4">
              <w:t xml:space="preserve"> at which the </w:t>
            </w:r>
            <w:r w:rsidR="00227B61" w:rsidRPr="006441E4">
              <w:rPr>
                <w:b/>
              </w:rPr>
              <w:t>gas transmission services</w:t>
            </w:r>
            <w:r w:rsidRPr="006441E4">
              <w:t xml:space="preserve"> are to be carried out under the </w:t>
            </w:r>
            <w:r w:rsidRPr="006441E4">
              <w:rPr>
                <w:b/>
              </w:rPr>
              <w:t>contract</w:t>
            </w:r>
            <w:r w:rsidRPr="006441E4">
              <w:t xml:space="preserve"> is determined solely by reference to a schedule of </w:t>
            </w:r>
            <w:r w:rsidRPr="006441E4">
              <w:rPr>
                <w:b/>
              </w:rPr>
              <w:t>prescribed terms and conditions</w:t>
            </w:r>
            <w:r w:rsidRPr="006441E4">
              <w:t xml:space="preserve">, being a schedule that is </w:t>
            </w:r>
            <w:r w:rsidRPr="006441E4">
              <w:rPr>
                <w:b/>
              </w:rPr>
              <w:t>publicly disclosed</w:t>
            </w:r>
            <w:r w:rsidRPr="006441E4">
              <w:t>; and</w:t>
            </w:r>
          </w:p>
          <w:p w:rsidR="005F2584" w:rsidRPr="006441E4" w:rsidRDefault="008539EC" w:rsidP="00440341">
            <w:pPr>
              <w:pStyle w:val="HeadingH6ClausesubtextL2"/>
              <w:numPr>
                <w:ilvl w:val="5"/>
                <w:numId w:val="29"/>
              </w:numPr>
              <w:tabs>
                <w:tab w:val="clear" w:pos="1702"/>
                <w:tab w:val="num" w:pos="459"/>
              </w:tabs>
              <w:ind w:left="459" w:hanging="425"/>
              <w:outlineLvl w:val="9"/>
            </w:pPr>
            <w:r w:rsidRPr="006441E4">
              <w:t xml:space="preserve">at least four other </w:t>
            </w:r>
            <w:r w:rsidR="00B86378" w:rsidRPr="006441E4">
              <w:rPr>
                <w:b/>
              </w:rPr>
              <w:t>persons</w:t>
            </w:r>
            <w:r w:rsidR="00B86378" w:rsidRPr="006441E4">
              <w:t xml:space="preserve"> </w:t>
            </w:r>
            <w:r w:rsidRPr="006441E4">
              <w:t xml:space="preserve">have such contracts with the </w:t>
            </w:r>
            <w:r w:rsidRPr="006441E4">
              <w:rPr>
                <w:b/>
                <w:bCs/>
              </w:rPr>
              <w:t>G</w:t>
            </w:r>
            <w:r w:rsidR="00495786" w:rsidRPr="006441E4">
              <w:rPr>
                <w:b/>
                <w:bCs/>
              </w:rPr>
              <w:t>T</w:t>
            </w:r>
            <w:r w:rsidRPr="006441E4">
              <w:rPr>
                <w:b/>
                <w:bCs/>
              </w:rPr>
              <w:t>B</w:t>
            </w:r>
            <w:r w:rsidRPr="006441E4">
              <w:t xml:space="preserve">, and none of those other </w:t>
            </w:r>
            <w:r w:rsidR="00B86378" w:rsidRPr="006441E4">
              <w:rPr>
                <w:b/>
              </w:rPr>
              <w:t>persons</w:t>
            </w:r>
            <w:r w:rsidR="00B86378" w:rsidRPr="006441E4">
              <w:t xml:space="preserve"> </w:t>
            </w:r>
            <w:r w:rsidRPr="006441E4">
              <w:t>is</w:t>
            </w:r>
            <w:r w:rsidR="00F51C16">
              <w:t xml:space="preserve"> a</w:t>
            </w:r>
            <w:r w:rsidRPr="006441E4">
              <w:t xml:space="preserve"> </w:t>
            </w:r>
            <w:r w:rsidR="00F51C16">
              <w:rPr>
                <w:b/>
                <w:bCs/>
              </w:rPr>
              <w:t>related party</w:t>
            </w:r>
            <w:r w:rsidRPr="006441E4">
              <w:t xml:space="preserve"> </w:t>
            </w:r>
            <w:r w:rsidR="00F51C16">
              <w:t xml:space="preserve">of </w:t>
            </w:r>
            <w:r w:rsidRPr="006441E4">
              <w:t xml:space="preserve">the </w:t>
            </w:r>
            <w:r w:rsidRPr="006441E4">
              <w:rPr>
                <w:b/>
                <w:bCs/>
              </w:rPr>
              <w:t>G</w:t>
            </w:r>
            <w:r w:rsidR="00495786" w:rsidRPr="006441E4">
              <w:rPr>
                <w:b/>
                <w:bCs/>
              </w:rPr>
              <w:t>T</w:t>
            </w:r>
            <w:r w:rsidRPr="006441E4">
              <w:rPr>
                <w:b/>
                <w:bCs/>
              </w:rPr>
              <w:t>B</w:t>
            </w:r>
            <w:r w:rsidRPr="006441E4">
              <w:t>, or with any of th</w:t>
            </w:r>
            <w:r w:rsidR="00B30070" w:rsidRPr="006441E4">
              <w:t>os</w:t>
            </w:r>
            <w:r w:rsidRPr="006441E4">
              <w:t xml:space="preserve">e other </w:t>
            </w:r>
            <w:r w:rsidR="00B86378" w:rsidRPr="006441E4">
              <w:rPr>
                <w:b/>
              </w:rPr>
              <w:t>p</w:t>
            </w:r>
            <w:r w:rsidRPr="006441E4">
              <w:rPr>
                <w:b/>
              </w:rPr>
              <w:t>ersons</w:t>
            </w:r>
          </w:p>
        </w:tc>
      </w:tr>
      <w:tr w:rsidR="00B30070" w:rsidRPr="006441E4" w:rsidTr="00A03DC6">
        <w:tc>
          <w:tcPr>
            <w:tcW w:w="3510" w:type="dxa"/>
          </w:tcPr>
          <w:p w:rsidR="00B30070" w:rsidRPr="004C02C0" w:rsidRDefault="00B30070" w:rsidP="004C02C0">
            <w:pPr>
              <w:pStyle w:val="BodyText"/>
              <w:spacing w:line="264" w:lineRule="auto"/>
              <w:rPr>
                <w:b/>
                <w:bCs/>
              </w:rPr>
            </w:pPr>
            <w:r w:rsidRPr="004C02C0">
              <w:rPr>
                <w:b/>
                <w:bCs/>
              </w:rPr>
              <w:t>Stations</w:t>
            </w:r>
          </w:p>
        </w:tc>
        <w:tc>
          <w:tcPr>
            <w:tcW w:w="4882" w:type="dxa"/>
          </w:tcPr>
          <w:p w:rsidR="00B30070" w:rsidRPr="006441E4" w:rsidRDefault="004C02C0" w:rsidP="00B30070">
            <w:pPr>
              <w:tabs>
                <w:tab w:val="left" w:pos="4045"/>
              </w:tabs>
              <w:spacing w:line="264" w:lineRule="auto"/>
              <w:rPr>
                <w:rFonts w:cs="Arial"/>
                <w:lang w:eastAsia="en-NZ"/>
              </w:rPr>
            </w:pPr>
            <w:r w:rsidRPr="004C02C0">
              <w:rPr>
                <w:color w:val="000000"/>
                <w:lang w:val="en-US"/>
              </w:rPr>
              <w:t>Means an facility at which an operation on and/or measurement of the gas occurs by means of device(s) installed at the facility</w:t>
            </w:r>
          </w:p>
        </w:tc>
      </w:tr>
      <w:tr w:rsidR="004C02C0" w:rsidRPr="006441E4" w:rsidTr="00A03DC6">
        <w:tc>
          <w:tcPr>
            <w:tcW w:w="3510" w:type="dxa"/>
          </w:tcPr>
          <w:p w:rsidR="004C02C0" w:rsidRPr="006441E4" w:rsidRDefault="004C02C0" w:rsidP="00AE0D10">
            <w:pPr>
              <w:pStyle w:val="BodyText"/>
              <w:spacing w:line="264" w:lineRule="auto"/>
              <w:rPr>
                <w:b/>
              </w:rPr>
            </w:pPr>
            <w:r w:rsidRPr="006441E4">
              <w:rPr>
                <w:b/>
              </w:rPr>
              <w:t>System growth</w:t>
            </w:r>
          </w:p>
        </w:tc>
        <w:tc>
          <w:tcPr>
            <w:tcW w:w="4882" w:type="dxa"/>
          </w:tcPr>
          <w:p w:rsidR="004C02C0" w:rsidRDefault="004C02C0" w:rsidP="0096387E">
            <w:pPr>
              <w:pStyle w:val="BodyText"/>
            </w:pPr>
            <w:proofErr w:type="gramStart"/>
            <w:r>
              <w:t>in</w:t>
            </w:r>
            <w:proofErr w:type="gramEnd"/>
            <w:r>
              <w:t xml:space="preserve"> relation to expenditure, means </w:t>
            </w:r>
            <w:r>
              <w:rPr>
                <w:b/>
              </w:rPr>
              <w:t>gross capital expenditure</w:t>
            </w:r>
            <w:r>
              <w:t xml:space="preserve"> where the </w:t>
            </w:r>
            <w:r>
              <w:rPr>
                <w:b/>
              </w:rPr>
              <w:t>primary driver</w:t>
            </w:r>
            <w:r>
              <w:t xml:space="preserve"> is a change in demand or </w:t>
            </w:r>
            <w:r w:rsidR="0096387E">
              <w:t>injection</w:t>
            </w:r>
            <w:r>
              <w:t xml:space="preserve"> on a part of the </w:t>
            </w:r>
            <w:r>
              <w:rPr>
                <w:b/>
              </w:rPr>
              <w:t>network</w:t>
            </w:r>
            <w:r>
              <w:t xml:space="preserve"> which results in a requirement for either additional capacity to meet this demand or additional investment to maintain current security and/or quality of supply standards due to the increased demand.  This expenditure category includes </w:t>
            </w:r>
            <w:r>
              <w:rPr>
                <w:b/>
              </w:rPr>
              <w:t>gross capital expenditure</w:t>
            </w:r>
            <w:r>
              <w:t xml:space="preserve"> associated with SCADA and telecommunications assets.</w:t>
            </w:r>
          </w:p>
        </w:tc>
      </w:tr>
      <w:tr w:rsidR="00703057" w:rsidRPr="006441E4" w:rsidTr="00A03DC6">
        <w:tc>
          <w:tcPr>
            <w:tcW w:w="3510" w:type="dxa"/>
          </w:tcPr>
          <w:p w:rsidR="00703057" w:rsidRPr="006441E4" w:rsidRDefault="00703057" w:rsidP="00AE0D10">
            <w:pPr>
              <w:pStyle w:val="BodyText"/>
              <w:spacing w:line="264" w:lineRule="auto"/>
              <w:rPr>
                <w:b/>
              </w:rPr>
            </w:pPr>
            <w:r>
              <w:rPr>
                <w:b/>
              </w:rPr>
              <w:t>System peak</w:t>
            </w:r>
          </w:p>
        </w:tc>
        <w:tc>
          <w:tcPr>
            <w:tcW w:w="4882" w:type="dxa"/>
          </w:tcPr>
          <w:p w:rsidR="00703057" w:rsidRPr="006441E4" w:rsidRDefault="00703057" w:rsidP="00E22B7B">
            <w:proofErr w:type="gramStart"/>
            <w:r w:rsidRPr="00703057">
              <w:t>means</w:t>
            </w:r>
            <w:proofErr w:type="gramEnd"/>
            <w:r w:rsidRPr="00703057">
              <w:t xml:space="preserve">, in relation to a </w:t>
            </w:r>
            <w:r w:rsidR="00F86836" w:rsidRPr="00F86836">
              <w:rPr>
                <w:b/>
              </w:rPr>
              <w:t>transmission system</w:t>
            </w:r>
            <w:r w:rsidRPr="00703057">
              <w:t xml:space="preserve">, a period of specified duration during which the aggregate throughput of gas at all </w:t>
            </w:r>
            <w:proofErr w:type="spellStart"/>
            <w:r w:rsidRPr="00703057">
              <w:t>offtake</w:t>
            </w:r>
            <w:proofErr w:type="spellEnd"/>
            <w:r w:rsidRPr="00703057">
              <w:t xml:space="preserve"> points on the </w:t>
            </w:r>
            <w:r w:rsidR="00F86836" w:rsidRPr="00F86836">
              <w:rPr>
                <w:b/>
              </w:rPr>
              <w:t>transmission system</w:t>
            </w:r>
            <w:r w:rsidRPr="00703057">
              <w:t xml:space="preserve"> in the year ended 30 September is at its peak. The duration of the peak flow measurement period is specified to be that normally used by the business for its transmission system investment and capacity reservation evaluations</w:t>
            </w:r>
          </w:p>
        </w:tc>
      </w:tr>
    </w:tbl>
    <w:p w:rsidR="003E69C4" w:rsidRPr="006441E4" w:rsidRDefault="003E69C4" w:rsidP="00AE0D10">
      <w:pPr>
        <w:pStyle w:val="Heading2"/>
        <w:spacing w:before="240" w:after="240" w:line="264" w:lineRule="auto"/>
        <w:jc w:val="center"/>
        <w:rPr>
          <w:lang w:eastAsia="en-GB"/>
        </w:rPr>
      </w:pPr>
      <w:r w:rsidRPr="006441E4">
        <w:rPr>
          <w:lang w:eastAsia="en-GB"/>
        </w:rPr>
        <w:t>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AE7314" w:rsidRPr="006441E4" w:rsidTr="00A03DC6">
        <w:tc>
          <w:tcPr>
            <w:tcW w:w="3510" w:type="dxa"/>
          </w:tcPr>
          <w:p w:rsidR="00AE7314" w:rsidRPr="006441E4" w:rsidRDefault="00AE7314" w:rsidP="00AE0D10">
            <w:pPr>
              <w:pStyle w:val="BodyText"/>
              <w:spacing w:line="264" w:lineRule="auto"/>
              <w:rPr>
                <w:rFonts w:cs="Arial"/>
                <w:b/>
                <w:bCs/>
                <w:lang w:eastAsia="en-NZ"/>
              </w:rPr>
            </w:pPr>
            <w:r w:rsidRPr="006441E4">
              <w:rPr>
                <w:b/>
                <w:bCs/>
              </w:rPr>
              <w:t>Target revenue</w:t>
            </w:r>
          </w:p>
        </w:tc>
        <w:tc>
          <w:tcPr>
            <w:tcW w:w="4882" w:type="dxa"/>
          </w:tcPr>
          <w:p w:rsidR="00AE7314" w:rsidRPr="006441E4" w:rsidRDefault="00AE7314" w:rsidP="006231FE">
            <w:pPr>
              <w:spacing w:line="264" w:lineRule="auto"/>
            </w:pPr>
            <w:r w:rsidRPr="006441E4">
              <w:t xml:space="preserve">means the revenue that the </w:t>
            </w:r>
            <w:r w:rsidR="00B26735" w:rsidRPr="006441E4">
              <w:rPr>
                <w:b/>
              </w:rPr>
              <w:t>G</w:t>
            </w:r>
            <w:r w:rsidR="00BD252C" w:rsidRPr="006441E4">
              <w:rPr>
                <w:b/>
              </w:rPr>
              <w:t>T</w:t>
            </w:r>
            <w:r w:rsidR="00B26735" w:rsidRPr="006441E4">
              <w:rPr>
                <w:b/>
              </w:rPr>
              <w:t>B</w:t>
            </w:r>
            <w:r w:rsidR="00B26735" w:rsidRPr="006441E4">
              <w:t xml:space="preserve"> </w:t>
            </w:r>
            <w:r w:rsidRPr="006441E4">
              <w:t>expects to obtain</w:t>
            </w:r>
            <w:r w:rsidRPr="006441E4">
              <w:rPr>
                <w:b/>
                <w:bCs/>
              </w:rPr>
              <w:t xml:space="preserve"> </w:t>
            </w:r>
            <w:r w:rsidRPr="006441E4">
              <w:t xml:space="preserve">from </w:t>
            </w:r>
            <w:r w:rsidR="006231FE" w:rsidRPr="006441E4">
              <w:rPr>
                <w:b/>
                <w:bCs/>
              </w:rPr>
              <w:t>prices</w:t>
            </w:r>
            <w:r w:rsidRPr="006441E4">
              <w:t xml:space="preserve"> </w:t>
            </w:r>
          </w:p>
        </w:tc>
      </w:tr>
      <w:tr w:rsidR="008B2B63" w:rsidRPr="006441E4" w:rsidTr="00A03DC6">
        <w:tc>
          <w:tcPr>
            <w:tcW w:w="3510" w:type="dxa"/>
          </w:tcPr>
          <w:p w:rsidR="008B2B63" w:rsidRPr="006441E4" w:rsidRDefault="008B2B63" w:rsidP="00AE0D10">
            <w:pPr>
              <w:pStyle w:val="BodyText"/>
              <w:spacing w:line="264" w:lineRule="auto"/>
              <w:rPr>
                <w:rFonts w:cs="Arial"/>
                <w:b/>
                <w:bCs/>
                <w:lang w:eastAsia="en-NZ"/>
              </w:rPr>
            </w:pPr>
            <w:r w:rsidRPr="006441E4">
              <w:rPr>
                <w:rFonts w:cs="Arial"/>
                <w:b/>
                <w:bCs/>
                <w:lang w:eastAsia="en-NZ"/>
              </w:rPr>
              <w:t>Total opening RAB values</w:t>
            </w:r>
          </w:p>
        </w:tc>
        <w:tc>
          <w:tcPr>
            <w:tcW w:w="4882" w:type="dxa"/>
          </w:tcPr>
          <w:p w:rsidR="008B2B63" w:rsidRPr="006441E4" w:rsidRDefault="008B2B63" w:rsidP="00AE0D10">
            <w:pPr>
              <w:spacing w:line="264" w:lineRule="auto"/>
              <w:rPr>
                <w:rFonts w:cs="Arial"/>
                <w:lang w:eastAsia="en-NZ"/>
              </w:rPr>
            </w:pPr>
            <w:r w:rsidRPr="006441E4">
              <w:rPr>
                <w:rFonts w:cs="Arial"/>
                <w:lang w:eastAsia="en-NZ"/>
              </w:rPr>
              <w:t>means:</w:t>
            </w:r>
          </w:p>
          <w:p w:rsidR="008B2B63" w:rsidRPr="006441E4" w:rsidRDefault="008B2B63" w:rsidP="00AE0D10">
            <w:pPr>
              <w:spacing w:line="264" w:lineRule="auto"/>
              <w:ind w:left="459" w:hanging="459"/>
              <w:rPr>
                <w:rFonts w:cs="Arial"/>
                <w:lang w:eastAsia="en-NZ"/>
              </w:rPr>
            </w:pPr>
            <w:r w:rsidRPr="006441E4">
              <w:rPr>
                <w:rFonts w:cs="Arial"/>
                <w:lang w:eastAsia="en-NZ"/>
              </w:rPr>
              <w:t>(a)</w:t>
            </w:r>
            <w:r w:rsidRPr="006441E4">
              <w:rPr>
                <w:rFonts w:cs="Arial"/>
                <w:lang w:eastAsia="en-NZ"/>
              </w:rPr>
              <w:tab/>
              <w:t xml:space="preserve">in relation to the </w:t>
            </w:r>
            <w:r w:rsidRPr="006441E4">
              <w:rPr>
                <w:rFonts w:cs="Arial"/>
                <w:b/>
                <w:bCs/>
                <w:lang w:eastAsia="en-NZ"/>
              </w:rPr>
              <w:t>unallocated RAB</w:t>
            </w:r>
            <w:r w:rsidRPr="006441E4">
              <w:rPr>
                <w:rFonts w:cs="Arial"/>
                <w:lang w:eastAsia="en-NZ"/>
              </w:rPr>
              <w:t xml:space="preserve">, the sum of unallocated opening </w:t>
            </w:r>
            <w:r w:rsidRPr="006441E4">
              <w:rPr>
                <w:rFonts w:cs="Arial"/>
                <w:b/>
                <w:lang w:eastAsia="en-NZ"/>
              </w:rPr>
              <w:t>RAB</w:t>
            </w:r>
            <w:r w:rsidRPr="006441E4">
              <w:rPr>
                <w:rFonts w:cs="Arial"/>
                <w:lang w:eastAsia="en-NZ"/>
              </w:rPr>
              <w:t xml:space="preserve"> values as determined in accordance with the </w:t>
            </w:r>
            <w:r w:rsidRPr="006441E4">
              <w:rPr>
                <w:rFonts w:cs="Arial"/>
                <w:b/>
                <w:bCs/>
                <w:lang w:eastAsia="en-NZ"/>
              </w:rPr>
              <w:t>IM determination</w:t>
            </w:r>
            <w:r w:rsidR="00197BFD" w:rsidRPr="00197BFD">
              <w:rPr>
                <w:rFonts w:cs="Arial"/>
                <w:bCs/>
                <w:lang w:eastAsia="en-NZ"/>
              </w:rPr>
              <w:t>;</w:t>
            </w:r>
          </w:p>
          <w:p w:rsidR="008B2B63" w:rsidRPr="006441E4" w:rsidRDefault="008B2B63" w:rsidP="00AE0D10">
            <w:pPr>
              <w:tabs>
                <w:tab w:val="left" w:pos="4045"/>
              </w:tabs>
              <w:spacing w:line="264" w:lineRule="auto"/>
              <w:ind w:left="459" w:hanging="459"/>
              <w:rPr>
                <w:rFonts w:cs="Arial"/>
                <w:lang w:eastAsia="en-NZ"/>
              </w:rPr>
            </w:pPr>
            <w:r w:rsidRPr="006441E4">
              <w:rPr>
                <w:rFonts w:cs="Arial"/>
                <w:lang w:eastAsia="en-NZ"/>
              </w:rPr>
              <w:t>(b)</w:t>
            </w:r>
            <w:r w:rsidRPr="006441E4">
              <w:rPr>
                <w:rFonts w:cs="Arial"/>
                <w:lang w:eastAsia="en-NZ"/>
              </w:rPr>
              <w:tab/>
              <w:t xml:space="preserve">in relation to the </w:t>
            </w:r>
            <w:r w:rsidRPr="006441E4">
              <w:rPr>
                <w:rFonts w:cs="Arial"/>
                <w:b/>
                <w:bCs/>
                <w:lang w:eastAsia="en-NZ"/>
              </w:rPr>
              <w:t>RAB</w:t>
            </w:r>
            <w:r w:rsidRPr="006441E4">
              <w:rPr>
                <w:rFonts w:cs="Arial"/>
                <w:lang w:eastAsia="en-NZ"/>
              </w:rPr>
              <w:t xml:space="preserve">, the sum of opening </w:t>
            </w:r>
            <w:r w:rsidRPr="006441E4">
              <w:rPr>
                <w:rFonts w:cs="Arial"/>
                <w:b/>
                <w:lang w:eastAsia="en-NZ"/>
              </w:rPr>
              <w:t>RAB</w:t>
            </w:r>
            <w:r w:rsidRPr="006441E4">
              <w:rPr>
                <w:rFonts w:cs="Arial"/>
                <w:lang w:eastAsia="en-NZ"/>
              </w:rPr>
              <w:t xml:space="preserve"> values as determined in accordance with the </w:t>
            </w:r>
            <w:r w:rsidRPr="006441E4">
              <w:rPr>
                <w:rFonts w:cs="Arial"/>
                <w:b/>
                <w:bCs/>
                <w:lang w:eastAsia="en-NZ"/>
              </w:rPr>
              <w:t>IM determination</w:t>
            </w:r>
          </w:p>
        </w:tc>
      </w:tr>
      <w:tr w:rsidR="008B2B63" w:rsidRPr="006441E4" w:rsidTr="00A03DC6">
        <w:tc>
          <w:tcPr>
            <w:tcW w:w="3510" w:type="dxa"/>
          </w:tcPr>
          <w:p w:rsidR="008B2B63" w:rsidRPr="006441E4" w:rsidRDefault="008B2B63" w:rsidP="00AE0D10">
            <w:pPr>
              <w:pStyle w:val="BodyText"/>
              <w:spacing w:line="264" w:lineRule="auto"/>
              <w:rPr>
                <w:rFonts w:cs="Arial"/>
                <w:b/>
                <w:bCs/>
                <w:lang w:eastAsia="en-NZ"/>
              </w:rPr>
            </w:pPr>
            <w:r w:rsidRPr="006441E4">
              <w:rPr>
                <w:rFonts w:cs="Arial"/>
                <w:b/>
                <w:bCs/>
                <w:lang w:eastAsia="en-NZ"/>
              </w:rPr>
              <w:t>Total regulatory income</w:t>
            </w:r>
          </w:p>
        </w:tc>
        <w:tc>
          <w:tcPr>
            <w:tcW w:w="4882" w:type="dxa"/>
          </w:tcPr>
          <w:p w:rsidR="00110F6A" w:rsidRPr="00110F6A" w:rsidRDefault="008B2B63" w:rsidP="00AE0D10">
            <w:pPr>
              <w:tabs>
                <w:tab w:val="left" w:pos="4045"/>
              </w:tabs>
              <w:spacing w:line="264" w:lineRule="auto"/>
              <w:rPr>
                <w:rFonts w:cs="Arial"/>
                <w:lang w:eastAsia="en-NZ"/>
              </w:rPr>
            </w:pPr>
            <w:r w:rsidRPr="006441E4">
              <w:rPr>
                <w:rFonts w:cs="Arial"/>
                <w:lang w:eastAsia="en-NZ"/>
              </w:rPr>
              <w:t>means:</w:t>
            </w:r>
          </w:p>
          <w:p w:rsidR="005F2584" w:rsidRPr="006441E4" w:rsidRDefault="008B2B63" w:rsidP="00440341">
            <w:pPr>
              <w:pStyle w:val="ListParagraph"/>
              <w:numPr>
                <w:ilvl w:val="0"/>
                <w:numId w:val="22"/>
              </w:numPr>
              <w:spacing w:line="264" w:lineRule="auto"/>
              <w:ind w:left="459" w:hanging="425"/>
              <w:rPr>
                <w:rFonts w:cs="Arial"/>
                <w:lang w:eastAsia="en-NZ"/>
              </w:rPr>
            </w:pPr>
            <w:r w:rsidRPr="006441E4">
              <w:rPr>
                <w:rFonts w:cs="Arial"/>
                <w:lang w:eastAsia="en-NZ"/>
              </w:rPr>
              <w:t xml:space="preserve">in relation to the </w:t>
            </w:r>
            <w:r w:rsidR="009D6440" w:rsidRPr="006441E4">
              <w:rPr>
                <w:rFonts w:cs="Arial"/>
                <w:lang w:eastAsia="en-NZ"/>
              </w:rPr>
              <w:t>r</w:t>
            </w:r>
            <w:r w:rsidRPr="006441E4">
              <w:rPr>
                <w:rFonts w:cs="Arial"/>
                <w:lang w:eastAsia="en-NZ"/>
              </w:rPr>
              <w:t>eport o</w:t>
            </w:r>
            <w:r w:rsidR="009D6440" w:rsidRPr="006441E4">
              <w:rPr>
                <w:rFonts w:cs="Arial"/>
                <w:lang w:eastAsia="en-NZ"/>
              </w:rPr>
              <w:t>n</w:t>
            </w:r>
            <w:r w:rsidRPr="006441E4">
              <w:rPr>
                <w:rFonts w:cs="Arial"/>
                <w:lang w:eastAsia="en-NZ"/>
              </w:rPr>
              <w:t xml:space="preserve"> </w:t>
            </w:r>
            <w:r w:rsidR="009D6440" w:rsidRPr="006441E4">
              <w:rPr>
                <w:rFonts w:cs="Arial"/>
                <w:lang w:eastAsia="en-NZ"/>
              </w:rPr>
              <w:t>r</w:t>
            </w:r>
            <w:r w:rsidRPr="006441E4">
              <w:rPr>
                <w:rFonts w:cs="Arial"/>
                <w:lang w:eastAsia="en-NZ"/>
              </w:rPr>
              <w:t xml:space="preserve">egulatory </w:t>
            </w:r>
            <w:r w:rsidR="009D6440" w:rsidRPr="006441E4">
              <w:rPr>
                <w:rFonts w:cs="Arial"/>
                <w:lang w:eastAsia="en-NZ"/>
              </w:rPr>
              <w:t>p</w:t>
            </w:r>
            <w:r w:rsidRPr="006441E4">
              <w:rPr>
                <w:rFonts w:cs="Arial"/>
                <w:lang w:eastAsia="en-NZ"/>
              </w:rPr>
              <w:t xml:space="preserve">rofit, sum of </w:t>
            </w:r>
            <w:r w:rsidR="00903F6E" w:rsidRPr="006441E4">
              <w:rPr>
                <w:rFonts w:cs="Arial"/>
                <w:b/>
                <w:lang w:eastAsia="en-NZ"/>
              </w:rPr>
              <w:t>line charge revenue</w:t>
            </w:r>
            <w:r w:rsidR="009D6440" w:rsidRPr="006441E4">
              <w:rPr>
                <w:rFonts w:cs="Arial"/>
                <w:b/>
                <w:lang w:eastAsia="en-NZ"/>
              </w:rPr>
              <w:t xml:space="preserve"> </w:t>
            </w:r>
            <w:r w:rsidRPr="006441E4">
              <w:rPr>
                <w:rFonts w:cs="Arial"/>
                <w:lang w:eastAsia="en-NZ"/>
              </w:rPr>
              <w:t xml:space="preserve">and </w:t>
            </w:r>
            <w:r w:rsidRPr="006441E4">
              <w:rPr>
                <w:rFonts w:cs="Arial"/>
                <w:b/>
                <w:lang w:eastAsia="en-NZ"/>
              </w:rPr>
              <w:t>other regulatory income</w:t>
            </w:r>
          </w:p>
          <w:p w:rsidR="00F40DAE" w:rsidRDefault="008B2B63" w:rsidP="00440341">
            <w:pPr>
              <w:pStyle w:val="ListParagraph"/>
              <w:numPr>
                <w:ilvl w:val="0"/>
                <w:numId w:val="22"/>
              </w:numPr>
              <w:spacing w:line="264" w:lineRule="auto"/>
              <w:ind w:left="459" w:hanging="425"/>
              <w:rPr>
                <w:rFonts w:cs="Arial"/>
                <w:lang w:eastAsia="en-NZ"/>
              </w:rPr>
            </w:pPr>
            <w:r w:rsidRPr="006441E4">
              <w:rPr>
                <w:rFonts w:cs="Arial"/>
                <w:lang w:eastAsia="en-NZ"/>
              </w:rPr>
              <w:t xml:space="preserve">in relation to the report on </w:t>
            </w:r>
            <w:r w:rsidRPr="006441E4">
              <w:rPr>
                <w:rFonts w:cs="Arial"/>
                <w:b/>
                <w:lang w:eastAsia="en-NZ"/>
              </w:rPr>
              <w:t>related party transactions</w:t>
            </w:r>
            <w:r w:rsidRPr="006441E4">
              <w:rPr>
                <w:rFonts w:cs="Arial"/>
                <w:lang w:eastAsia="en-NZ"/>
              </w:rPr>
              <w:t xml:space="preserve">, </w:t>
            </w:r>
            <w:r w:rsidR="00800E4D">
              <w:rPr>
                <w:rFonts w:cs="Arial"/>
                <w:lang w:eastAsia="en-NZ"/>
              </w:rPr>
              <w:t xml:space="preserve">the </w:t>
            </w:r>
            <w:r w:rsidRPr="006441E4">
              <w:rPr>
                <w:rFonts w:cs="Arial"/>
                <w:lang w:eastAsia="en-NZ"/>
              </w:rPr>
              <w:t xml:space="preserve">total </w:t>
            </w:r>
            <w:r w:rsidRPr="006441E4">
              <w:rPr>
                <w:rFonts w:cs="Arial"/>
                <w:b/>
                <w:lang w:eastAsia="en-NZ"/>
              </w:rPr>
              <w:t>regulatory income</w:t>
            </w:r>
            <w:r w:rsidRPr="006441E4">
              <w:rPr>
                <w:rFonts w:cs="Arial"/>
                <w:lang w:eastAsia="en-NZ"/>
              </w:rPr>
              <w:t xml:space="preserve"> </w:t>
            </w:r>
            <w:r w:rsidR="00800E4D">
              <w:t xml:space="preserve"> from </w:t>
            </w:r>
            <w:r w:rsidR="00800E4D">
              <w:rPr>
                <w:b/>
                <w:bCs/>
              </w:rPr>
              <w:t>related party transactions</w:t>
            </w:r>
            <w:r w:rsidR="00800E4D">
              <w:t xml:space="preserve"> as determined after applying clause 2.3.6 of the IM</w:t>
            </w:r>
            <w:r w:rsidR="00DB1708">
              <w:t xml:space="preserve"> determination</w:t>
            </w:r>
          </w:p>
        </w:tc>
      </w:tr>
      <w:tr w:rsidR="009869E9" w:rsidRPr="006441E4" w:rsidTr="00A03DC6">
        <w:tc>
          <w:tcPr>
            <w:tcW w:w="3510" w:type="dxa"/>
          </w:tcPr>
          <w:p w:rsidR="009869E9" w:rsidRPr="006441E4" w:rsidRDefault="009869E9" w:rsidP="00AE0D10">
            <w:pPr>
              <w:pStyle w:val="BodyText"/>
              <w:spacing w:line="264" w:lineRule="auto"/>
              <w:rPr>
                <w:b/>
                <w:bCs/>
              </w:rPr>
            </w:pPr>
            <w:r>
              <w:rPr>
                <w:b/>
                <w:bCs/>
              </w:rPr>
              <w:t>Transitional AMP</w:t>
            </w:r>
          </w:p>
        </w:tc>
        <w:tc>
          <w:tcPr>
            <w:tcW w:w="4882" w:type="dxa"/>
          </w:tcPr>
          <w:p w:rsidR="009869E9" w:rsidRPr="006441E4" w:rsidRDefault="009869E9" w:rsidP="00DB1708">
            <w:pPr>
              <w:tabs>
                <w:tab w:val="left" w:pos="4045"/>
              </w:tabs>
              <w:spacing w:line="264" w:lineRule="auto"/>
            </w:pPr>
            <w:r>
              <w:t xml:space="preserve">has the meaning specified in clause </w:t>
            </w:r>
            <w:r w:rsidR="0033518E">
              <w:fldChar w:fldCharType="begin"/>
            </w:r>
            <w:r w:rsidR="00067C45">
              <w:instrText xml:space="preserve"> REF  _Ref329179965 \h \w </w:instrText>
            </w:r>
            <w:r w:rsidR="0033518E">
              <w:fldChar w:fldCharType="separate"/>
            </w:r>
            <w:r w:rsidR="00B06C04">
              <w:t>2.12.6(2)</w:t>
            </w:r>
            <w:r w:rsidR="0033518E">
              <w:fldChar w:fldCharType="end"/>
            </w:r>
          </w:p>
        </w:tc>
      </w:tr>
      <w:tr w:rsidR="008B2B63" w:rsidRPr="006441E4" w:rsidTr="00A03DC6">
        <w:tc>
          <w:tcPr>
            <w:tcW w:w="3510" w:type="dxa"/>
          </w:tcPr>
          <w:p w:rsidR="008B2B63" w:rsidRPr="006441E4" w:rsidRDefault="008B2B63" w:rsidP="00AE0D10">
            <w:pPr>
              <w:pStyle w:val="BodyText"/>
              <w:spacing w:line="264" w:lineRule="auto"/>
              <w:rPr>
                <w:rFonts w:cs="Arial"/>
                <w:b/>
                <w:bCs/>
                <w:lang w:eastAsia="en-NZ"/>
              </w:rPr>
            </w:pPr>
            <w:r w:rsidRPr="006441E4">
              <w:rPr>
                <w:rFonts w:cs="Arial"/>
                <w:b/>
                <w:bCs/>
                <w:lang w:eastAsia="en-NZ"/>
              </w:rPr>
              <w:t>Transmission system</w:t>
            </w:r>
          </w:p>
        </w:tc>
        <w:tc>
          <w:tcPr>
            <w:tcW w:w="4882" w:type="dxa"/>
          </w:tcPr>
          <w:p w:rsidR="008B2B63" w:rsidRPr="006441E4" w:rsidRDefault="008B2B63" w:rsidP="00AE0D10">
            <w:pPr>
              <w:tabs>
                <w:tab w:val="left" w:pos="4045"/>
              </w:tabs>
              <w:spacing w:line="264" w:lineRule="auto"/>
              <w:rPr>
                <w:rFonts w:cs="Arial"/>
                <w:lang w:eastAsia="en-NZ"/>
              </w:rPr>
            </w:pPr>
            <w:r w:rsidRPr="006441E4">
              <w:rPr>
                <w:rFonts w:cs="Arial"/>
                <w:lang w:eastAsia="en-NZ"/>
              </w:rPr>
              <w:t>means</w:t>
            </w:r>
            <w:r w:rsidR="00E22B7B" w:rsidRPr="006441E4">
              <w:rPr>
                <w:rFonts w:cs="Arial"/>
                <w:lang w:eastAsia="en-NZ"/>
              </w:rPr>
              <w:t>:</w:t>
            </w:r>
          </w:p>
          <w:p w:rsidR="009347FD" w:rsidRPr="006441E4" w:rsidRDefault="00FA1BB3" w:rsidP="00440341">
            <w:pPr>
              <w:pStyle w:val="ListParagraph"/>
              <w:numPr>
                <w:ilvl w:val="0"/>
                <w:numId w:val="31"/>
              </w:numPr>
              <w:tabs>
                <w:tab w:val="left" w:pos="4045"/>
              </w:tabs>
              <w:spacing w:line="264" w:lineRule="auto"/>
              <w:ind w:left="562" w:hanging="562"/>
              <w:rPr>
                <w:rFonts w:cs="Arial"/>
                <w:lang w:eastAsia="en-NZ"/>
              </w:rPr>
            </w:pPr>
            <w:r>
              <w:rPr>
                <w:rFonts w:cs="Arial"/>
                <w:lang w:eastAsia="en-NZ"/>
              </w:rPr>
              <w:t xml:space="preserve">in the case of </w:t>
            </w:r>
            <w:r w:rsidR="00F86836" w:rsidRPr="00F86836">
              <w:rPr>
                <w:rFonts w:cs="Arial"/>
                <w:lang w:eastAsia="en-NZ"/>
              </w:rPr>
              <w:t>Maui Devel</w:t>
            </w:r>
            <w:r>
              <w:rPr>
                <w:rFonts w:cs="Arial"/>
                <w:lang w:eastAsia="en-NZ"/>
              </w:rPr>
              <w:t>opment Limited</w:t>
            </w:r>
            <w:r w:rsidR="006A14C8">
              <w:rPr>
                <w:rFonts w:cs="Arial"/>
                <w:lang w:eastAsia="en-NZ"/>
              </w:rPr>
              <w:t>,</w:t>
            </w:r>
            <w:r>
              <w:rPr>
                <w:rFonts w:cs="Arial"/>
                <w:lang w:eastAsia="en-NZ"/>
              </w:rPr>
              <w:t xml:space="preserve"> </w:t>
            </w:r>
            <w:r w:rsidR="006A14C8">
              <w:rPr>
                <w:rFonts w:cs="Arial"/>
                <w:lang w:eastAsia="en-NZ"/>
              </w:rPr>
              <w:t xml:space="preserve">the </w:t>
            </w:r>
            <w:r w:rsidR="006A14C8" w:rsidRPr="00FA1BB3">
              <w:rPr>
                <w:rFonts w:cs="Arial"/>
                <w:b/>
                <w:lang w:eastAsia="en-NZ"/>
              </w:rPr>
              <w:t>network</w:t>
            </w:r>
            <w:r w:rsidR="006A14C8">
              <w:rPr>
                <w:rFonts w:cs="Arial"/>
                <w:lang w:eastAsia="en-NZ"/>
              </w:rPr>
              <w:t xml:space="preserve"> or </w:t>
            </w:r>
            <w:r>
              <w:rPr>
                <w:rFonts w:cs="Arial"/>
                <w:lang w:eastAsia="en-NZ"/>
              </w:rPr>
              <w:t xml:space="preserve">one of the component parts of the </w:t>
            </w:r>
            <w:r w:rsidR="00F86836" w:rsidRPr="00F86836">
              <w:rPr>
                <w:rFonts w:cs="Arial"/>
                <w:b/>
                <w:lang w:eastAsia="en-NZ"/>
              </w:rPr>
              <w:t>network</w:t>
            </w:r>
            <w:r>
              <w:rPr>
                <w:rFonts w:cs="Arial"/>
                <w:lang w:eastAsia="en-NZ"/>
              </w:rPr>
              <w:t xml:space="preserve"> </w:t>
            </w:r>
            <w:r w:rsidR="00E22B7B" w:rsidRPr="006441E4">
              <w:rPr>
                <w:rFonts w:cs="Arial"/>
                <w:lang w:eastAsia="en-NZ"/>
              </w:rPr>
              <w:t xml:space="preserve">owned by </w:t>
            </w:r>
            <w:r w:rsidRPr="00FA1BB3">
              <w:rPr>
                <w:rFonts w:cs="Arial"/>
                <w:lang w:eastAsia="en-NZ"/>
              </w:rPr>
              <w:t>Maui Devel</w:t>
            </w:r>
            <w:r>
              <w:rPr>
                <w:rFonts w:cs="Arial"/>
                <w:lang w:eastAsia="en-NZ"/>
              </w:rPr>
              <w:t>opment Limited</w:t>
            </w:r>
            <w:r>
              <w:rPr>
                <w:rFonts w:cs="Arial"/>
                <w:b/>
                <w:lang w:eastAsia="en-NZ"/>
              </w:rPr>
              <w:t>;</w:t>
            </w:r>
          </w:p>
          <w:p w:rsidR="00F40DAE" w:rsidRDefault="008B2B63" w:rsidP="00440341">
            <w:pPr>
              <w:pStyle w:val="ListParagraph"/>
              <w:numPr>
                <w:ilvl w:val="0"/>
                <w:numId w:val="31"/>
              </w:numPr>
              <w:tabs>
                <w:tab w:val="left" w:pos="4045"/>
              </w:tabs>
              <w:spacing w:line="264" w:lineRule="auto"/>
              <w:ind w:left="562" w:hanging="562"/>
            </w:pPr>
            <w:r w:rsidRPr="006441E4">
              <w:rPr>
                <w:rFonts w:cs="Arial"/>
                <w:lang w:eastAsia="en-NZ"/>
              </w:rPr>
              <w:t xml:space="preserve">in </w:t>
            </w:r>
            <w:r w:rsidR="00FA1BB3">
              <w:rPr>
                <w:rFonts w:cs="Arial"/>
                <w:lang w:eastAsia="en-NZ"/>
              </w:rPr>
              <w:t xml:space="preserve">the case of Vector Limited, </w:t>
            </w:r>
            <w:r w:rsidR="006A14C8">
              <w:rPr>
                <w:rFonts w:cs="Arial"/>
                <w:lang w:eastAsia="en-NZ"/>
              </w:rPr>
              <w:t xml:space="preserve">one of the component parts of the </w:t>
            </w:r>
            <w:r w:rsidR="006A14C8" w:rsidRPr="00FA1BB3">
              <w:rPr>
                <w:rFonts w:cs="Arial"/>
                <w:b/>
                <w:lang w:eastAsia="en-NZ"/>
              </w:rPr>
              <w:t>network</w:t>
            </w:r>
            <w:r w:rsidR="00FA1BB3">
              <w:t xml:space="preserve"> owned by Vector Limited</w:t>
            </w:r>
          </w:p>
        </w:tc>
      </w:tr>
    </w:tbl>
    <w:p w:rsidR="003E69C4" w:rsidRPr="006441E4" w:rsidRDefault="003E69C4" w:rsidP="00AE0D10">
      <w:pPr>
        <w:pStyle w:val="Heading2"/>
        <w:spacing w:before="240" w:after="240" w:line="264" w:lineRule="auto"/>
        <w:jc w:val="center"/>
        <w:rPr>
          <w:lang w:eastAsia="en-GB"/>
        </w:rPr>
      </w:pPr>
      <w:r w:rsidRPr="006441E4">
        <w:rPr>
          <w:lang w:eastAsia="en-GB"/>
        </w:rPr>
        <w:t>U</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6441E4" w:rsidTr="00A03DC6">
        <w:tc>
          <w:tcPr>
            <w:tcW w:w="3510" w:type="dxa"/>
          </w:tcPr>
          <w:p w:rsidR="00DE6E39" w:rsidRPr="006441E4" w:rsidRDefault="008B1098" w:rsidP="00AE0D10">
            <w:pPr>
              <w:pStyle w:val="BodyText"/>
              <w:spacing w:line="264" w:lineRule="auto"/>
              <w:rPr>
                <w:rFonts w:cs="Arial"/>
                <w:b/>
                <w:bCs/>
                <w:lang w:eastAsia="en-NZ"/>
              </w:rPr>
            </w:pPr>
            <w:r w:rsidRPr="006441E4">
              <w:rPr>
                <w:rFonts w:cs="Arial"/>
                <w:b/>
                <w:bCs/>
                <w:lang w:eastAsia="en-NZ"/>
              </w:rPr>
              <w:t>Unallocated RAB</w:t>
            </w:r>
          </w:p>
        </w:tc>
        <w:tc>
          <w:tcPr>
            <w:tcW w:w="4882" w:type="dxa"/>
          </w:tcPr>
          <w:p w:rsidR="00DE6E39" w:rsidRPr="006441E4" w:rsidRDefault="008B1098" w:rsidP="00AE0D10">
            <w:pPr>
              <w:tabs>
                <w:tab w:val="left" w:pos="4045"/>
              </w:tabs>
              <w:spacing w:line="264" w:lineRule="auto"/>
            </w:pPr>
            <w:r w:rsidRPr="006441E4">
              <w:rPr>
                <w:rFonts w:cs="Arial"/>
                <w:lang w:eastAsia="en-NZ"/>
              </w:rPr>
              <w:t xml:space="preserve">means for the components of the </w:t>
            </w:r>
            <w:r w:rsidRPr="006441E4">
              <w:rPr>
                <w:rFonts w:cs="Arial"/>
                <w:b/>
                <w:lang w:eastAsia="en-NZ"/>
              </w:rPr>
              <w:t>RAB</w:t>
            </w:r>
            <w:r w:rsidRPr="006441E4">
              <w:rPr>
                <w:rFonts w:cs="Arial"/>
                <w:lang w:eastAsia="en-NZ"/>
              </w:rPr>
              <w:t xml:space="preserve"> roll-forward, the values before the application of clause 2.1.1 of the </w:t>
            </w:r>
            <w:r w:rsidRPr="006441E4">
              <w:rPr>
                <w:rFonts w:cs="Arial"/>
                <w:b/>
                <w:lang w:eastAsia="en-NZ"/>
              </w:rPr>
              <w:t>IM determination</w:t>
            </w:r>
          </w:p>
        </w:tc>
      </w:tr>
      <w:tr w:rsidR="008B1098" w:rsidRPr="006441E4" w:rsidTr="00A03DC6">
        <w:tc>
          <w:tcPr>
            <w:tcW w:w="3510" w:type="dxa"/>
          </w:tcPr>
          <w:p w:rsidR="008B1098" w:rsidRPr="006441E4" w:rsidRDefault="008B1098" w:rsidP="00AE0D10">
            <w:pPr>
              <w:pStyle w:val="BodyText"/>
              <w:spacing w:line="264" w:lineRule="auto"/>
              <w:rPr>
                <w:rFonts w:cs="Arial"/>
                <w:b/>
                <w:bCs/>
                <w:lang w:eastAsia="en-NZ"/>
              </w:rPr>
            </w:pPr>
            <w:r w:rsidRPr="006441E4">
              <w:rPr>
                <w:rFonts w:cs="Arial"/>
                <w:b/>
                <w:bCs/>
                <w:lang w:eastAsia="en-NZ"/>
              </w:rPr>
              <w:t>Unallocated works under construction</w:t>
            </w:r>
          </w:p>
        </w:tc>
        <w:tc>
          <w:tcPr>
            <w:tcW w:w="4882" w:type="dxa"/>
          </w:tcPr>
          <w:p w:rsidR="008B1098" w:rsidRPr="006441E4" w:rsidRDefault="008B1098" w:rsidP="00AE0D10">
            <w:pPr>
              <w:tabs>
                <w:tab w:val="left" w:pos="4045"/>
              </w:tabs>
              <w:spacing w:line="264" w:lineRule="auto"/>
              <w:rPr>
                <w:rFonts w:cs="Arial"/>
                <w:lang w:eastAsia="en-NZ"/>
              </w:rPr>
            </w:pPr>
            <w:r w:rsidRPr="006441E4">
              <w:rPr>
                <w:rFonts w:cs="Arial"/>
                <w:lang w:eastAsia="en-NZ"/>
              </w:rPr>
              <w:t xml:space="preserve">means for the components of the </w:t>
            </w:r>
            <w:r w:rsidRPr="006441E4">
              <w:rPr>
                <w:rFonts w:cs="Arial"/>
                <w:b/>
                <w:lang w:eastAsia="en-NZ"/>
              </w:rPr>
              <w:t>works under construction</w:t>
            </w:r>
            <w:r w:rsidRPr="006441E4">
              <w:rPr>
                <w:rFonts w:cs="Arial"/>
                <w:lang w:eastAsia="en-NZ"/>
              </w:rPr>
              <w:t xml:space="preserve"> roll-forward, the </w:t>
            </w:r>
            <w:r w:rsidRPr="006441E4">
              <w:rPr>
                <w:rFonts w:cs="Arial"/>
                <w:b/>
                <w:lang w:eastAsia="en-NZ"/>
              </w:rPr>
              <w:t>works under construction</w:t>
            </w:r>
            <w:r w:rsidRPr="006441E4">
              <w:rPr>
                <w:rFonts w:cs="Arial"/>
                <w:lang w:eastAsia="en-NZ"/>
              </w:rPr>
              <w:t xml:space="preserve"> values before the application of clause 2.1.1 of the </w:t>
            </w:r>
            <w:r w:rsidRPr="006441E4">
              <w:rPr>
                <w:rFonts w:cs="Arial"/>
                <w:b/>
                <w:lang w:eastAsia="en-NZ"/>
              </w:rPr>
              <w:t>IM determination</w:t>
            </w:r>
          </w:p>
        </w:tc>
      </w:tr>
      <w:tr w:rsidR="008B1098" w:rsidRPr="006441E4" w:rsidTr="00A03DC6">
        <w:tc>
          <w:tcPr>
            <w:tcW w:w="3510" w:type="dxa"/>
          </w:tcPr>
          <w:p w:rsidR="008B1098" w:rsidRPr="006441E4" w:rsidRDefault="008B1098" w:rsidP="00AE0D10">
            <w:pPr>
              <w:pStyle w:val="BodyText"/>
              <w:spacing w:line="264" w:lineRule="auto"/>
              <w:rPr>
                <w:rFonts w:cs="Arial"/>
                <w:b/>
                <w:bCs/>
                <w:lang w:eastAsia="en-NZ"/>
              </w:rPr>
            </w:pPr>
            <w:r w:rsidRPr="006441E4">
              <w:rPr>
                <w:rFonts w:cs="Arial"/>
                <w:b/>
                <w:bCs/>
                <w:lang w:eastAsia="en-NZ"/>
              </w:rPr>
              <w:t>Unallocated 2009 modified asset values</w:t>
            </w:r>
          </w:p>
        </w:tc>
        <w:tc>
          <w:tcPr>
            <w:tcW w:w="4882" w:type="dxa"/>
          </w:tcPr>
          <w:p w:rsidR="008B1098" w:rsidRPr="006441E4" w:rsidRDefault="008B1098" w:rsidP="00AE0D10">
            <w:pPr>
              <w:tabs>
                <w:tab w:val="left" w:pos="4045"/>
              </w:tabs>
              <w:spacing w:line="264" w:lineRule="auto"/>
              <w:rPr>
                <w:rFonts w:cs="Arial"/>
                <w:lang w:eastAsia="en-NZ"/>
              </w:rPr>
            </w:pPr>
            <w:r w:rsidRPr="006441E4">
              <w:rPr>
                <w:rFonts w:cs="Arial"/>
                <w:lang w:eastAsia="en-NZ"/>
              </w:rPr>
              <w:t xml:space="preserve">means the value of the </w:t>
            </w:r>
            <w:r w:rsidRPr="006441E4">
              <w:rPr>
                <w:rFonts w:cs="Arial"/>
                <w:b/>
                <w:bCs/>
                <w:lang w:eastAsia="en-NZ"/>
              </w:rPr>
              <w:t xml:space="preserve">2009 modified asset values </w:t>
            </w:r>
            <w:r w:rsidRPr="006441E4">
              <w:rPr>
                <w:rFonts w:cs="Arial"/>
                <w:lang w:eastAsia="en-NZ"/>
              </w:rPr>
              <w:t>before any allocation of asset value relevant to the regulatory disclosures been undertaken</w:t>
            </w:r>
          </w:p>
        </w:tc>
      </w:tr>
      <w:tr w:rsidR="00BC30B4" w:rsidRPr="006441E4" w:rsidTr="00A03DC6">
        <w:tc>
          <w:tcPr>
            <w:tcW w:w="3510" w:type="dxa"/>
          </w:tcPr>
          <w:p w:rsidR="00BC30B4" w:rsidRPr="006441E4" w:rsidRDefault="00BC30B4" w:rsidP="00AE0D10">
            <w:pPr>
              <w:pStyle w:val="BodyText"/>
              <w:spacing w:line="264" w:lineRule="auto"/>
              <w:rPr>
                <w:rFonts w:cs="Arial"/>
                <w:b/>
                <w:bCs/>
                <w:lang w:eastAsia="en-NZ"/>
              </w:rPr>
            </w:pPr>
            <w:r w:rsidRPr="006441E4">
              <w:rPr>
                <w:rFonts w:cs="Arial"/>
                <w:b/>
                <w:lang w:eastAsia="en-NZ"/>
              </w:rPr>
              <w:t>Unplanned interruption</w:t>
            </w:r>
          </w:p>
        </w:tc>
        <w:tc>
          <w:tcPr>
            <w:tcW w:w="4882" w:type="dxa"/>
          </w:tcPr>
          <w:p w:rsidR="00BC30B4" w:rsidRPr="00BC30B4" w:rsidRDefault="00BC30B4" w:rsidP="00453104">
            <w:pPr>
              <w:pStyle w:val="BodyText"/>
              <w:keepNext/>
              <w:outlineLvl w:val="1"/>
            </w:pPr>
            <w:r w:rsidRPr="00BC30B4">
              <w:rPr>
                <w:szCs w:val="20"/>
              </w:rPr>
              <w:t xml:space="preserve">means any </w:t>
            </w:r>
            <w:r w:rsidRPr="00BC30B4">
              <w:rPr>
                <w:b/>
                <w:szCs w:val="20"/>
              </w:rPr>
              <w:t>interruption</w:t>
            </w:r>
            <w:r w:rsidRPr="00BC30B4">
              <w:rPr>
                <w:szCs w:val="20"/>
              </w:rPr>
              <w:t xml:space="preserve"> in respect of which less than </w:t>
            </w:r>
            <w:r w:rsidRPr="00BC30B4">
              <w:t>10 days</w:t>
            </w:r>
            <w:r w:rsidRPr="00BC30B4">
              <w:rPr>
                <w:szCs w:val="20"/>
              </w:rPr>
              <w:t xml:space="preserve"> notice, or no notice, was given, either to the </w:t>
            </w:r>
            <w:r w:rsidRPr="00BC30B4">
              <w:t>shipper</w:t>
            </w:r>
            <w:r w:rsidRPr="00BC30B4">
              <w:rPr>
                <w:szCs w:val="20"/>
              </w:rPr>
              <w:t xml:space="preserve"> or to all gas consumers affected by the interruption</w:t>
            </w:r>
          </w:p>
        </w:tc>
      </w:tr>
    </w:tbl>
    <w:p w:rsidR="003E69C4" w:rsidRPr="006441E4" w:rsidRDefault="003E69C4" w:rsidP="00AE0D10">
      <w:pPr>
        <w:pStyle w:val="Heading2"/>
        <w:spacing w:before="240" w:after="240" w:line="264" w:lineRule="auto"/>
        <w:jc w:val="center"/>
        <w:rPr>
          <w:lang w:eastAsia="en-GB"/>
        </w:rPr>
      </w:pPr>
      <w:r w:rsidRPr="006441E4">
        <w:rPr>
          <w:lang w:eastAsia="en-GB"/>
        </w:rPr>
        <w:t>V</w:t>
      </w:r>
    </w:p>
    <w:p w:rsidR="003E69C4" w:rsidRPr="006441E4" w:rsidRDefault="003E69C4" w:rsidP="00AE0D10">
      <w:pPr>
        <w:pStyle w:val="Heading2"/>
        <w:spacing w:before="240" w:after="240" w:line="264" w:lineRule="auto"/>
        <w:jc w:val="center"/>
        <w:rPr>
          <w:lang w:eastAsia="en-GB"/>
        </w:rPr>
      </w:pPr>
      <w:r w:rsidRPr="006441E4">
        <w:rPr>
          <w:lang w:eastAsia="en-GB"/>
        </w:rPr>
        <w:t>W</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2612F2" w:rsidRPr="006441E4" w:rsidTr="00A03DC6">
        <w:tc>
          <w:tcPr>
            <w:tcW w:w="3510" w:type="dxa"/>
          </w:tcPr>
          <w:p w:rsidR="002612F2" w:rsidRPr="006441E4" w:rsidRDefault="002612F2" w:rsidP="00AE0D10">
            <w:pPr>
              <w:pStyle w:val="BodyText"/>
              <w:spacing w:line="264" w:lineRule="auto"/>
              <w:rPr>
                <w:rFonts w:cs="Arial"/>
                <w:b/>
                <w:bCs/>
                <w:lang w:eastAsia="en-NZ"/>
              </w:rPr>
            </w:pPr>
            <w:r w:rsidRPr="006441E4">
              <w:rPr>
                <w:rFonts w:cs="Arial"/>
                <w:b/>
                <w:bCs/>
                <w:lang w:eastAsia="en-NZ"/>
              </w:rPr>
              <w:t>Works under construction</w:t>
            </w:r>
          </w:p>
        </w:tc>
        <w:tc>
          <w:tcPr>
            <w:tcW w:w="4882" w:type="dxa"/>
          </w:tcPr>
          <w:p w:rsidR="002612F2" w:rsidRPr="006441E4" w:rsidRDefault="002612F2" w:rsidP="00AE0D10">
            <w:pPr>
              <w:pStyle w:val="UnnumberedL3"/>
              <w:spacing w:line="264" w:lineRule="auto"/>
              <w:ind w:left="0"/>
              <w:rPr>
                <w:rFonts w:cs="Arial"/>
                <w:lang w:eastAsia="en-NZ"/>
              </w:rPr>
            </w:pPr>
            <w:r w:rsidRPr="006441E4">
              <w:rPr>
                <w:rFonts w:cs="Arial"/>
                <w:lang w:eastAsia="en-NZ"/>
              </w:rPr>
              <w:t>means:</w:t>
            </w:r>
          </w:p>
          <w:p w:rsidR="002612F2" w:rsidRPr="006441E4" w:rsidRDefault="002612F2" w:rsidP="00440341">
            <w:pPr>
              <w:pStyle w:val="UnnumberedL3"/>
              <w:numPr>
                <w:ilvl w:val="0"/>
                <w:numId w:val="23"/>
              </w:numPr>
              <w:spacing w:line="264" w:lineRule="auto"/>
              <w:ind w:left="459" w:hanging="459"/>
            </w:pPr>
            <w:r w:rsidRPr="006441E4">
              <w:rPr>
                <w:rFonts w:cs="Arial"/>
                <w:lang w:eastAsia="en-NZ"/>
              </w:rPr>
              <w:t xml:space="preserve">in relation to </w:t>
            </w:r>
            <w:r w:rsidRPr="006441E4">
              <w:rPr>
                <w:rFonts w:cs="Arial"/>
                <w:b/>
                <w:bCs/>
                <w:lang w:eastAsia="en-NZ"/>
              </w:rPr>
              <w:t>unallocated works under construction</w:t>
            </w:r>
            <w:r w:rsidRPr="006441E4">
              <w:rPr>
                <w:rFonts w:cs="Arial"/>
                <w:lang w:eastAsia="en-NZ"/>
              </w:rPr>
              <w:t>, the value of calculated using the following formula:</w:t>
            </w:r>
            <w:r w:rsidRPr="006441E4">
              <w:rPr>
                <w:rFonts w:cs="Arial"/>
                <w:lang w:eastAsia="en-NZ"/>
              </w:rPr>
              <w:br/>
            </w:r>
            <w:r w:rsidRPr="006441E4">
              <w:rPr>
                <w:rFonts w:cs="Arial"/>
                <w:lang w:eastAsia="en-NZ"/>
              </w:rPr>
              <w:tab/>
              <w:t xml:space="preserve"> </w:t>
            </w:r>
            <w:r w:rsidRPr="006441E4">
              <w:rPr>
                <w:position w:val="-10"/>
              </w:rPr>
              <w:object w:dxaOrig="16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9pt;height:15.25pt" o:ole="">
                  <v:imagedata r:id="rId15" o:title=""/>
                </v:shape>
                <o:OLEObject Type="Embed" ProgID="Equation.3" ShapeID="_x0000_i1025" DrawAspect="Content" ObjectID="_1403043243" r:id="rId16"/>
              </w:object>
            </w:r>
          </w:p>
          <w:p w:rsidR="002612F2" w:rsidRPr="006441E4" w:rsidRDefault="002612F2" w:rsidP="00AE0D10">
            <w:pPr>
              <w:tabs>
                <w:tab w:val="left" w:pos="4045"/>
              </w:tabs>
              <w:spacing w:line="264" w:lineRule="auto"/>
              <w:ind w:left="459" w:hanging="425"/>
              <w:rPr>
                <w:rFonts w:cs="Arial"/>
                <w:lang w:eastAsia="en-NZ"/>
              </w:rPr>
            </w:pPr>
            <w:r w:rsidRPr="006441E4">
              <w:rPr>
                <w:rFonts w:cs="Arial"/>
                <w:lang w:eastAsia="en-NZ"/>
              </w:rPr>
              <w:tab/>
              <w:t>where:</w:t>
            </w:r>
          </w:p>
          <w:p w:rsidR="002612F2" w:rsidRPr="006441E4" w:rsidRDefault="002612F2" w:rsidP="00562F23">
            <w:pPr>
              <w:tabs>
                <w:tab w:val="left" w:pos="4045"/>
              </w:tabs>
              <w:spacing w:line="264" w:lineRule="auto"/>
              <w:ind w:left="884" w:hanging="425"/>
              <w:rPr>
                <w:rFonts w:cs="Arial"/>
                <w:lang w:eastAsia="en-NZ"/>
              </w:rPr>
            </w:pPr>
            <w:r w:rsidRPr="006441E4">
              <w:rPr>
                <w:position w:val="-6"/>
              </w:rPr>
              <w:object w:dxaOrig="200" w:dyaOrig="220">
                <v:shape id="_x0000_i1026" type="#_x0000_t75" style="width:10.9pt;height:12pt" o:ole="">
                  <v:imagedata r:id="rId17" o:title=""/>
                </v:shape>
                <o:OLEObject Type="Embed" ProgID="Equation.3" ShapeID="_x0000_i1026" DrawAspect="Content" ObjectID="_1403043244" r:id="rId18"/>
              </w:object>
            </w:r>
            <w:r w:rsidRPr="006441E4">
              <w:rPr>
                <w:rFonts w:cs="Arial"/>
                <w:lang w:eastAsia="en-NZ"/>
              </w:rPr>
              <w:t xml:space="preserve"> = </w:t>
            </w:r>
            <w:r w:rsidRPr="006441E4">
              <w:rPr>
                <w:rFonts w:cs="Arial"/>
                <w:b/>
                <w:bCs/>
                <w:lang w:eastAsia="en-NZ"/>
              </w:rPr>
              <w:t>unallocated</w:t>
            </w:r>
            <w:r w:rsidRPr="006441E4">
              <w:rPr>
                <w:rFonts w:cs="Arial"/>
                <w:lang w:eastAsia="en-NZ"/>
              </w:rPr>
              <w:t xml:space="preserve"> </w:t>
            </w:r>
            <w:r w:rsidRPr="006441E4">
              <w:rPr>
                <w:rFonts w:cs="Arial"/>
                <w:b/>
                <w:bCs/>
                <w:lang w:eastAsia="en-NZ"/>
              </w:rPr>
              <w:t>works under construction</w:t>
            </w:r>
            <w:r w:rsidRPr="006441E4">
              <w:rPr>
                <w:rFonts w:cs="Arial"/>
                <w:lang w:eastAsia="en-NZ"/>
              </w:rPr>
              <w:t xml:space="preserve"> - preceding disclosure year;</w:t>
            </w:r>
          </w:p>
          <w:p w:rsidR="002612F2" w:rsidRPr="006441E4" w:rsidRDefault="002612F2" w:rsidP="00562F23">
            <w:pPr>
              <w:tabs>
                <w:tab w:val="left" w:pos="4045"/>
              </w:tabs>
              <w:spacing w:line="264" w:lineRule="auto"/>
              <w:ind w:left="884" w:hanging="425"/>
              <w:rPr>
                <w:rFonts w:cs="Arial"/>
                <w:lang w:eastAsia="en-NZ"/>
              </w:rPr>
            </w:pPr>
            <w:r w:rsidRPr="006441E4">
              <w:rPr>
                <w:position w:val="-6"/>
              </w:rPr>
              <w:object w:dxaOrig="200" w:dyaOrig="279">
                <v:shape id="_x0000_i1027" type="#_x0000_t75" style="width:10.9pt;height:15.25pt" o:ole="">
                  <v:imagedata r:id="rId19" o:title=""/>
                </v:shape>
                <o:OLEObject Type="Embed" ProgID="Equation.3" ShapeID="_x0000_i1027" DrawAspect="Content" ObjectID="_1403043245" r:id="rId20"/>
              </w:object>
            </w:r>
            <w:r w:rsidRPr="006441E4">
              <w:rPr>
                <w:rFonts w:cs="Arial"/>
                <w:lang w:eastAsia="en-NZ"/>
              </w:rPr>
              <w:t xml:space="preserve"> = </w:t>
            </w:r>
            <w:r w:rsidRPr="006441E4">
              <w:rPr>
                <w:rFonts w:cs="Arial"/>
                <w:b/>
                <w:bCs/>
                <w:lang w:eastAsia="en-NZ"/>
              </w:rPr>
              <w:t>unallocated</w:t>
            </w:r>
            <w:r w:rsidRPr="006441E4">
              <w:rPr>
                <w:rFonts w:cs="Arial"/>
                <w:lang w:eastAsia="en-NZ"/>
              </w:rPr>
              <w:t xml:space="preserve"> </w:t>
            </w:r>
            <w:r w:rsidRPr="006441E4">
              <w:rPr>
                <w:rFonts w:cs="Arial"/>
                <w:b/>
                <w:bCs/>
                <w:lang w:eastAsia="en-NZ"/>
              </w:rPr>
              <w:t>capital expenditure</w:t>
            </w:r>
            <w:r w:rsidR="00197BFD" w:rsidRPr="00197BFD">
              <w:rPr>
                <w:rFonts w:cs="Arial"/>
                <w:bCs/>
                <w:lang w:eastAsia="en-NZ"/>
              </w:rPr>
              <w:t>;</w:t>
            </w:r>
          </w:p>
          <w:p w:rsidR="002612F2" w:rsidRPr="006441E4" w:rsidRDefault="002612F2" w:rsidP="00562F23">
            <w:pPr>
              <w:tabs>
                <w:tab w:val="left" w:pos="4045"/>
              </w:tabs>
              <w:spacing w:line="264" w:lineRule="auto"/>
              <w:ind w:left="884" w:hanging="425"/>
              <w:rPr>
                <w:rFonts w:cs="Arial"/>
                <w:lang w:eastAsia="en-NZ"/>
              </w:rPr>
            </w:pPr>
            <w:r w:rsidRPr="006441E4">
              <w:rPr>
                <w:position w:val="-6"/>
              </w:rPr>
              <w:object w:dxaOrig="180" w:dyaOrig="220">
                <v:shape id="_x0000_i1028" type="#_x0000_t75" style="width:10.9pt;height:12pt" o:ole="">
                  <v:imagedata r:id="rId21" o:title=""/>
                </v:shape>
                <o:OLEObject Type="Embed" ProgID="Equation.3" ShapeID="_x0000_i1028" DrawAspect="Content" ObjectID="_1403043246" r:id="rId22"/>
              </w:object>
            </w:r>
            <w:r w:rsidRPr="006441E4">
              <w:rPr>
                <w:rFonts w:cs="Arial"/>
                <w:lang w:eastAsia="en-NZ"/>
              </w:rPr>
              <w:t xml:space="preserve"> = </w:t>
            </w:r>
            <w:r w:rsidRPr="006441E4">
              <w:rPr>
                <w:rFonts w:cs="Arial"/>
                <w:b/>
                <w:bCs/>
                <w:lang w:eastAsia="en-NZ"/>
              </w:rPr>
              <w:t>unallocated</w:t>
            </w:r>
            <w:r w:rsidRPr="006441E4">
              <w:rPr>
                <w:rFonts w:cs="Arial"/>
                <w:lang w:eastAsia="en-NZ"/>
              </w:rPr>
              <w:t xml:space="preserve"> </w:t>
            </w:r>
            <w:r w:rsidRPr="006441E4">
              <w:rPr>
                <w:rFonts w:cs="Arial"/>
                <w:b/>
                <w:bCs/>
                <w:lang w:eastAsia="en-NZ"/>
              </w:rPr>
              <w:t>assets commissioned</w:t>
            </w:r>
            <w:r w:rsidRPr="006441E4">
              <w:rPr>
                <w:rFonts w:cs="Arial"/>
                <w:lang w:eastAsia="en-NZ"/>
              </w:rPr>
              <w:t>; and</w:t>
            </w:r>
          </w:p>
          <w:p w:rsidR="00110F6A" w:rsidRPr="00110F6A" w:rsidRDefault="002612F2" w:rsidP="00562F23">
            <w:pPr>
              <w:tabs>
                <w:tab w:val="left" w:pos="884"/>
              </w:tabs>
              <w:spacing w:line="264" w:lineRule="auto"/>
              <w:ind w:left="884" w:hanging="425"/>
              <w:rPr>
                <w:rFonts w:cs="Arial"/>
                <w:lang w:eastAsia="en-NZ"/>
              </w:rPr>
            </w:pPr>
            <w:r w:rsidRPr="006441E4">
              <w:rPr>
                <w:position w:val="-6"/>
              </w:rPr>
              <w:object w:dxaOrig="220" w:dyaOrig="260">
                <v:shape id="_x0000_i1029" type="#_x0000_t75" style="width:12pt;height:12pt" o:ole="">
                  <v:imagedata r:id="rId23" o:title=""/>
                </v:shape>
                <o:OLEObject Type="Embed" ProgID="Equation.3" ShapeID="_x0000_i1029" DrawAspect="Content" ObjectID="_1403043247" r:id="rId24"/>
              </w:object>
            </w:r>
            <w:r w:rsidRPr="006441E4">
              <w:rPr>
                <w:rFonts w:cs="Arial"/>
                <w:lang w:eastAsia="en-NZ"/>
              </w:rPr>
              <w:t xml:space="preserve"> = </w:t>
            </w:r>
            <w:r w:rsidRPr="006441E4">
              <w:rPr>
                <w:rFonts w:cs="Arial"/>
                <w:b/>
                <w:bCs/>
                <w:lang w:eastAsia="en-NZ"/>
              </w:rPr>
              <w:t>adjustment resulting from cost allocation</w:t>
            </w:r>
            <w:r w:rsidRPr="006441E4">
              <w:rPr>
                <w:rFonts w:cs="Arial"/>
                <w:lang w:eastAsia="en-NZ"/>
              </w:rPr>
              <w:t>;</w:t>
            </w:r>
          </w:p>
          <w:p w:rsidR="002612F2" w:rsidRPr="006441E4" w:rsidRDefault="002612F2" w:rsidP="00AE0D10">
            <w:pPr>
              <w:tabs>
                <w:tab w:val="left" w:pos="4045"/>
              </w:tabs>
              <w:spacing w:line="264" w:lineRule="auto"/>
              <w:ind w:left="459" w:hanging="425"/>
              <w:rPr>
                <w:rFonts w:cs="Arial"/>
                <w:lang w:eastAsia="en-NZ"/>
              </w:rPr>
            </w:pPr>
            <w:r w:rsidRPr="006441E4">
              <w:rPr>
                <w:rFonts w:cs="Arial"/>
                <w:lang w:eastAsia="en-NZ"/>
              </w:rPr>
              <w:t>(b)</w:t>
            </w:r>
            <w:r w:rsidRPr="006441E4">
              <w:rPr>
                <w:rFonts w:cs="Arial"/>
                <w:lang w:eastAsia="en-NZ"/>
              </w:rPr>
              <w:tab/>
              <w:t xml:space="preserve">in relation to </w:t>
            </w:r>
            <w:r w:rsidRPr="006441E4">
              <w:rPr>
                <w:rFonts w:cs="Arial"/>
                <w:b/>
                <w:bCs/>
                <w:lang w:eastAsia="en-NZ"/>
              </w:rPr>
              <w:t>allocated works under construction</w:t>
            </w:r>
            <w:r w:rsidRPr="006441E4">
              <w:rPr>
                <w:rFonts w:cs="Arial"/>
                <w:lang w:eastAsia="en-NZ"/>
              </w:rPr>
              <w:t xml:space="preserve">, the value (as determined in accordance with paragraph (a)) which was allocated to </w:t>
            </w:r>
            <w:r w:rsidRPr="006441E4">
              <w:rPr>
                <w:rFonts w:cs="Arial"/>
                <w:b/>
                <w:bCs/>
                <w:lang w:eastAsia="en-NZ"/>
              </w:rPr>
              <w:t xml:space="preserve">gas transmission services </w:t>
            </w:r>
            <w:r w:rsidRPr="006441E4">
              <w:rPr>
                <w:rFonts w:cs="Arial"/>
                <w:lang w:eastAsia="en-NZ"/>
              </w:rPr>
              <w:t xml:space="preserve">in accordance with clause 2.1.1 of the </w:t>
            </w:r>
            <w:r w:rsidRPr="006441E4">
              <w:rPr>
                <w:rFonts w:cs="Arial"/>
                <w:b/>
                <w:bCs/>
                <w:lang w:eastAsia="en-NZ"/>
              </w:rPr>
              <w:t>IM determination</w:t>
            </w:r>
          </w:p>
          <w:p w:rsidR="002612F2" w:rsidRPr="006441E4" w:rsidRDefault="002612F2" w:rsidP="00562F23">
            <w:pPr>
              <w:tabs>
                <w:tab w:val="left" w:pos="4045"/>
              </w:tabs>
              <w:spacing w:line="264" w:lineRule="auto"/>
              <w:ind w:left="459" w:hanging="425"/>
              <w:rPr>
                <w:rFonts w:cs="Arial"/>
                <w:lang w:eastAsia="en-NZ"/>
              </w:rPr>
            </w:pPr>
            <w:r w:rsidRPr="006441E4">
              <w:rPr>
                <w:rFonts w:cs="Arial"/>
                <w:lang w:eastAsia="en-NZ"/>
              </w:rPr>
              <w:t>(c)</w:t>
            </w:r>
            <w:r w:rsidRPr="006441E4">
              <w:rPr>
                <w:rFonts w:cs="Arial"/>
                <w:lang w:eastAsia="en-NZ"/>
              </w:rPr>
              <w:tab/>
              <w:t xml:space="preserve">in relation to the establishment of the initial </w:t>
            </w:r>
            <w:r w:rsidRPr="006441E4">
              <w:rPr>
                <w:rFonts w:cs="Arial"/>
                <w:b/>
                <w:lang w:eastAsia="en-NZ"/>
              </w:rPr>
              <w:t>RAB</w:t>
            </w:r>
            <w:r w:rsidRPr="006441E4">
              <w:rPr>
                <w:rFonts w:cs="Arial"/>
                <w:lang w:eastAsia="en-NZ"/>
              </w:rPr>
              <w:t xml:space="preserve"> value, the value of works under construction  included in </w:t>
            </w:r>
            <w:r w:rsidRPr="006441E4">
              <w:rPr>
                <w:rFonts w:cs="Arial"/>
                <w:b/>
                <w:bCs/>
                <w:lang w:eastAsia="en-NZ"/>
              </w:rPr>
              <w:t xml:space="preserve">unallocated 2009 modified asset values </w:t>
            </w:r>
            <w:r w:rsidRPr="006441E4">
              <w:rPr>
                <w:rFonts w:cs="Arial"/>
                <w:lang w:eastAsia="en-NZ"/>
              </w:rPr>
              <w:t>as works under construction is defined in the</w:t>
            </w:r>
            <w:r w:rsidRPr="006441E4">
              <w:rPr>
                <w:rFonts w:cs="Arial"/>
                <w:b/>
                <w:bCs/>
                <w:lang w:eastAsia="en-NZ"/>
              </w:rPr>
              <w:t xml:space="preserve"> IM determination</w:t>
            </w:r>
          </w:p>
        </w:tc>
      </w:tr>
    </w:tbl>
    <w:p w:rsidR="003E69C4" w:rsidRPr="006441E4" w:rsidRDefault="003E69C4" w:rsidP="00ED011C">
      <w:pPr>
        <w:pStyle w:val="BodyText"/>
        <w:spacing w:line="264" w:lineRule="auto"/>
      </w:pPr>
    </w:p>
    <w:p w:rsidR="000B08C6" w:rsidRPr="006441E4" w:rsidRDefault="000B08C6" w:rsidP="00AE0D10">
      <w:pPr>
        <w:spacing w:line="264" w:lineRule="auto"/>
        <w:sectPr w:rsidR="000B08C6" w:rsidRPr="006441E4" w:rsidSect="000A7887">
          <w:pgSz w:w="11907" w:h="16840" w:code="9"/>
          <w:pgMar w:top="1440" w:right="1440" w:bottom="1440" w:left="1440" w:header="1134" w:footer="431" w:gutter="0"/>
          <w:cols w:space="720"/>
          <w:docGrid w:linePitch="326"/>
        </w:sectPr>
      </w:pPr>
    </w:p>
    <w:p w:rsidR="00F40DAE" w:rsidRDefault="006D2597">
      <w:pPr>
        <w:pStyle w:val="HeadingH2"/>
      </w:pPr>
      <w:bookmarkStart w:id="12" w:name="_Toc329296356"/>
      <w:r w:rsidRPr="006441E4">
        <w:t>Disclosure Requirements</w:t>
      </w:r>
      <w:bookmarkEnd w:id="12"/>
    </w:p>
    <w:p w:rsidR="00C307C8" w:rsidRPr="006441E4" w:rsidRDefault="00C307C8" w:rsidP="00AE0D10">
      <w:pPr>
        <w:spacing w:line="264" w:lineRule="auto"/>
      </w:pPr>
    </w:p>
    <w:p w:rsidR="00F40DAE" w:rsidRDefault="000D4C8C">
      <w:pPr>
        <w:pStyle w:val="HeadingH3SectionHeading"/>
      </w:pPr>
      <w:bookmarkStart w:id="13" w:name="_Toc329296357"/>
      <w:r w:rsidRPr="006441E4">
        <w:t>INformation DIsclosure</w:t>
      </w:r>
      <w:bookmarkEnd w:id="13"/>
    </w:p>
    <w:p w:rsidR="00F40DAE" w:rsidRDefault="004A44CB">
      <w:pPr>
        <w:pStyle w:val="HeadingH4Clausetext"/>
      </w:pPr>
      <w:r w:rsidRPr="006441E4">
        <w:t xml:space="preserve">Subject to </w:t>
      </w:r>
      <w:r w:rsidR="00665232" w:rsidRPr="006441E4">
        <w:t>sections</w:t>
      </w:r>
      <w:r w:rsidRPr="006441E4">
        <w:t xml:space="preserve"> </w:t>
      </w:r>
      <w:r w:rsidR="00665232" w:rsidRPr="006441E4">
        <w:t>2.9</w:t>
      </w:r>
      <w:r w:rsidRPr="006441E4">
        <w:t xml:space="preserve"> and </w:t>
      </w:r>
      <w:r w:rsidR="00665232" w:rsidRPr="006441E4">
        <w:t>2.10</w:t>
      </w:r>
      <w:r w:rsidRPr="006441E4">
        <w:t xml:space="preserve">, from the </w:t>
      </w:r>
      <w:r w:rsidRPr="006441E4">
        <w:rPr>
          <w:b/>
        </w:rPr>
        <w:t xml:space="preserve">commencement date </w:t>
      </w:r>
      <w:r w:rsidRPr="006441E4">
        <w:t xml:space="preserve">every </w:t>
      </w:r>
      <w:r w:rsidR="00B86378" w:rsidRPr="006441E4">
        <w:rPr>
          <w:b/>
        </w:rPr>
        <w:t xml:space="preserve">GTB </w:t>
      </w:r>
      <w:r w:rsidRPr="006441E4">
        <w:t>must comply with the information disclosure requirements set out in this determination and, in particular, must comply with:</w:t>
      </w:r>
    </w:p>
    <w:p w:rsidR="00F40DAE" w:rsidRDefault="004A44CB">
      <w:pPr>
        <w:pStyle w:val="HeadingH5ClausesubtextL1"/>
      </w:pPr>
      <w:bookmarkStart w:id="14" w:name="_Ref313451205"/>
      <w:r w:rsidRPr="006441E4">
        <w:t xml:space="preserve">The requirements to disclose financial and other information in section </w:t>
      </w:r>
      <w:r w:rsidR="0033518E">
        <w:fldChar w:fldCharType="begin"/>
      </w:r>
      <w:r w:rsidR="00232C91">
        <w:instrText xml:space="preserve"> REF _Ref329061354 \r \h </w:instrText>
      </w:r>
      <w:r w:rsidR="0033518E">
        <w:fldChar w:fldCharType="separate"/>
      </w:r>
      <w:r w:rsidR="00B06C04">
        <w:t>2.3</w:t>
      </w:r>
      <w:r w:rsidR="0033518E">
        <w:fldChar w:fldCharType="end"/>
      </w:r>
      <w:bookmarkEnd w:id="14"/>
    </w:p>
    <w:p w:rsidR="00F40DAE" w:rsidRDefault="004A44CB">
      <w:pPr>
        <w:pStyle w:val="HeadingH5ClausesubtextL1"/>
      </w:pPr>
      <w:r w:rsidRPr="006441E4">
        <w:t xml:space="preserve">The requirement to disclose pricing </w:t>
      </w:r>
      <w:r w:rsidR="00665232" w:rsidRPr="006441E4">
        <w:t xml:space="preserve">and related </w:t>
      </w:r>
      <w:r w:rsidRPr="006441E4">
        <w:t xml:space="preserve">information in section </w:t>
      </w:r>
      <w:r w:rsidR="0033518E">
        <w:fldChar w:fldCharType="begin"/>
      </w:r>
      <w:r w:rsidR="00232C91">
        <w:instrText xml:space="preserve"> REF _Ref329061372 \r \h </w:instrText>
      </w:r>
      <w:r w:rsidR="0033518E">
        <w:fldChar w:fldCharType="separate"/>
      </w:r>
      <w:r w:rsidR="00B06C04">
        <w:t>2.4</w:t>
      </w:r>
      <w:r w:rsidR="0033518E">
        <w:fldChar w:fldCharType="end"/>
      </w:r>
    </w:p>
    <w:p w:rsidR="00232C91" w:rsidRPr="002F2828" w:rsidRDefault="00232C91" w:rsidP="00232C91">
      <w:pPr>
        <w:pStyle w:val="HeadingH5ClausesubtextL1"/>
        <w:tabs>
          <w:tab w:val="num" w:pos="709"/>
        </w:tabs>
      </w:pPr>
      <w:r>
        <w:t xml:space="preserve">The requirement to disclose non-financial information relating to network assets in section </w:t>
      </w:r>
      <w:r w:rsidR="0033518E">
        <w:fldChar w:fldCharType="begin"/>
      </w:r>
      <w:r>
        <w:instrText xml:space="preserve"> REF _Ref329061416 \r \h </w:instrText>
      </w:r>
      <w:r w:rsidR="0033518E">
        <w:fldChar w:fldCharType="separate"/>
      </w:r>
      <w:r w:rsidR="00B06C04">
        <w:t>2.5</w:t>
      </w:r>
      <w:r w:rsidR="0033518E">
        <w:fldChar w:fldCharType="end"/>
      </w:r>
    </w:p>
    <w:p w:rsidR="00F40DAE" w:rsidRDefault="004A44CB">
      <w:pPr>
        <w:pStyle w:val="HeadingH5ClausesubtextL1"/>
      </w:pPr>
      <w:r w:rsidRPr="006441E4">
        <w:t xml:space="preserve">The requirement to disclose </w:t>
      </w:r>
      <w:r w:rsidR="006D2597" w:rsidRPr="006441E4">
        <w:t>a</w:t>
      </w:r>
      <w:r w:rsidR="00665232" w:rsidRPr="006441E4">
        <w:t xml:space="preserve">sset management </w:t>
      </w:r>
      <w:r w:rsidR="00232C91">
        <w:t xml:space="preserve">plans and forecast </w:t>
      </w:r>
      <w:r w:rsidR="00665232" w:rsidRPr="006441E4">
        <w:t xml:space="preserve">information </w:t>
      </w:r>
      <w:r w:rsidRPr="006441E4">
        <w:t xml:space="preserve">in section </w:t>
      </w:r>
      <w:r w:rsidR="0033518E">
        <w:fldChar w:fldCharType="begin"/>
      </w:r>
      <w:r w:rsidR="00232C91">
        <w:instrText xml:space="preserve"> REF _Ref329061452 \r \h </w:instrText>
      </w:r>
      <w:r w:rsidR="0033518E">
        <w:fldChar w:fldCharType="separate"/>
      </w:r>
      <w:r w:rsidR="00B06C04">
        <w:t>2.6</w:t>
      </w:r>
      <w:r w:rsidR="0033518E">
        <w:fldChar w:fldCharType="end"/>
      </w:r>
    </w:p>
    <w:p w:rsidR="00232C91" w:rsidRPr="002F2828" w:rsidRDefault="00232C91" w:rsidP="00232C91">
      <w:pPr>
        <w:pStyle w:val="HeadingH5ClausesubtextL1"/>
        <w:tabs>
          <w:tab w:val="num" w:pos="709"/>
        </w:tabs>
      </w:pPr>
      <w:r>
        <w:t xml:space="preserve">The requirement to disclose explanatory notes in relation to disclosed information in section </w:t>
      </w:r>
      <w:r w:rsidR="0033518E">
        <w:fldChar w:fldCharType="begin"/>
      </w:r>
      <w:r>
        <w:instrText xml:space="preserve"> REF _Ref329061615 \r \h </w:instrText>
      </w:r>
      <w:r w:rsidR="0033518E">
        <w:fldChar w:fldCharType="separate"/>
      </w:r>
      <w:r w:rsidR="00B06C04">
        <w:t>2.7</w:t>
      </w:r>
      <w:r w:rsidR="0033518E">
        <w:fldChar w:fldCharType="end"/>
      </w:r>
    </w:p>
    <w:p w:rsidR="00F40DAE" w:rsidRDefault="004A44CB">
      <w:pPr>
        <w:pStyle w:val="HeadingH5ClausesubtextL1"/>
      </w:pPr>
      <w:r w:rsidRPr="006441E4">
        <w:t>The audit, certification and verification requirements in section</w:t>
      </w:r>
      <w:r w:rsidR="00B86378" w:rsidRPr="006441E4">
        <w:t>s</w:t>
      </w:r>
      <w:r w:rsidRPr="006441E4">
        <w:t xml:space="preserve"> </w:t>
      </w:r>
      <w:r w:rsidR="0033518E">
        <w:fldChar w:fldCharType="begin"/>
      </w:r>
      <w:r w:rsidR="00232C91">
        <w:instrText xml:space="preserve"> REF _Ref329061481 \r \h </w:instrText>
      </w:r>
      <w:r w:rsidR="0033518E">
        <w:fldChar w:fldCharType="separate"/>
      </w:r>
      <w:r w:rsidR="00B06C04">
        <w:t>2.8</w:t>
      </w:r>
      <w:r w:rsidR="0033518E">
        <w:fldChar w:fldCharType="end"/>
      </w:r>
      <w:r w:rsidR="00B86378" w:rsidRPr="006441E4">
        <w:t xml:space="preserve"> and </w:t>
      </w:r>
      <w:r w:rsidR="0033518E">
        <w:fldChar w:fldCharType="begin"/>
      </w:r>
      <w:r w:rsidR="00232C91">
        <w:instrText xml:space="preserve"> REF _Ref329061656 \r \h </w:instrText>
      </w:r>
      <w:r w:rsidR="0033518E">
        <w:fldChar w:fldCharType="separate"/>
      </w:r>
      <w:r w:rsidR="00B06C04">
        <w:t>2.9</w:t>
      </w:r>
      <w:r w:rsidR="0033518E">
        <w:fldChar w:fldCharType="end"/>
      </w:r>
    </w:p>
    <w:p w:rsidR="00F40DAE" w:rsidRDefault="004A44CB">
      <w:pPr>
        <w:pStyle w:val="HeadingH5ClausesubtextL1"/>
      </w:pPr>
      <w:r w:rsidRPr="006441E4">
        <w:t xml:space="preserve">The retention and continuous disclosure requirements in section </w:t>
      </w:r>
      <w:r w:rsidR="0033518E">
        <w:fldChar w:fldCharType="begin"/>
      </w:r>
      <w:r w:rsidR="00232C91">
        <w:instrText xml:space="preserve"> REF _Ref329061492 \r \h </w:instrText>
      </w:r>
      <w:r w:rsidR="0033518E">
        <w:fldChar w:fldCharType="separate"/>
      </w:r>
      <w:r w:rsidR="00B06C04">
        <w:t>2.10</w:t>
      </w:r>
      <w:r w:rsidR="0033518E">
        <w:fldChar w:fldCharType="end"/>
      </w:r>
    </w:p>
    <w:p w:rsidR="00F40DAE" w:rsidRDefault="005E7E33">
      <w:pPr>
        <w:pStyle w:val="HeadingH5ClausesubtextL1"/>
      </w:pPr>
      <w:r w:rsidRPr="006441E4">
        <w:t xml:space="preserve">The transitional provisions in section </w:t>
      </w:r>
      <w:r w:rsidR="0033518E">
        <w:fldChar w:fldCharType="begin"/>
      </w:r>
      <w:r w:rsidR="00232C91">
        <w:instrText xml:space="preserve"> REF _Ref329061512 \r \h </w:instrText>
      </w:r>
      <w:r w:rsidR="0033518E">
        <w:fldChar w:fldCharType="separate"/>
      </w:r>
      <w:r w:rsidR="00B06C04">
        <w:t>2.12</w:t>
      </w:r>
      <w:r w:rsidR="0033518E">
        <w:fldChar w:fldCharType="end"/>
      </w:r>
      <w:r w:rsidRPr="006441E4">
        <w:t>.</w:t>
      </w:r>
    </w:p>
    <w:p w:rsidR="00001C43" w:rsidRPr="006441E4" w:rsidRDefault="00001C43" w:rsidP="006D2597">
      <w:pPr>
        <w:pStyle w:val="ListParagraph"/>
        <w:spacing w:after="120" w:line="264" w:lineRule="auto"/>
        <w:ind w:left="1276" w:hanging="567"/>
        <w:contextualSpacing w:val="0"/>
        <w:sectPr w:rsidR="00001C43" w:rsidRPr="006441E4" w:rsidSect="000A7887">
          <w:pgSz w:w="11907" w:h="16840" w:code="9"/>
          <w:pgMar w:top="1440" w:right="1440" w:bottom="1440" w:left="1440" w:header="1134" w:footer="431" w:gutter="0"/>
          <w:cols w:space="720"/>
          <w:titlePg/>
        </w:sectPr>
      </w:pPr>
    </w:p>
    <w:p w:rsidR="00001C43" w:rsidRPr="006441E4" w:rsidRDefault="00001C43" w:rsidP="002B1F59">
      <w:pPr>
        <w:pStyle w:val="ListParagraph"/>
        <w:spacing w:line="264" w:lineRule="auto"/>
        <w:ind w:left="1418"/>
      </w:pPr>
    </w:p>
    <w:p w:rsidR="00F40DAE" w:rsidRDefault="0084688E">
      <w:pPr>
        <w:pStyle w:val="HeadingH3SectionHeading"/>
      </w:pPr>
      <w:bookmarkStart w:id="15" w:name="_Toc329296358"/>
      <w:r w:rsidRPr="006441E4">
        <w:t>APPLICABLE INPUT METHODOLOGIES</w:t>
      </w:r>
      <w:bookmarkEnd w:id="15"/>
    </w:p>
    <w:p w:rsidR="00F40DAE" w:rsidRDefault="00870D08">
      <w:pPr>
        <w:pStyle w:val="HeadingH4Clausetext"/>
      </w:pPr>
      <w:bookmarkStart w:id="16" w:name="_Ref312318466"/>
      <w:r w:rsidRPr="006441E4">
        <w:t xml:space="preserve">Every </w:t>
      </w:r>
      <w:r w:rsidR="00B86378" w:rsidRPr="006441E4">
        <w:rPr>
          <w:b/>
        </w:rPr>
        <w:t xml:space="preserve">GTB </w:t>
      </w:r>
      <w:r w:rsidRPr="006441E4">
        <w:t xml:space="preserve">must apply the following </w:t>
      </w:r>
      <w:r w:rsidR="00965CD1" w:rsidRPr="006441E4">
        <w:t>input methodologies</w:t>
      </w:r>
      <w:r w:rsidRPr="006441E4">
        <w:t xml:space="preserve"> as applicable, when complying with this determination:</w:t>
      </w:r>
      <w:bookmarkEnd w:id="16"/>
    </w:p>
    <w:p w:rsidR="0025429B" w:rsidRPr="00604256" w:rsidRDefault="0025429B" w:rsidP="00817B2E">
      <w:pPr>
        <w:pStyle w:val="HeadingH5ClausesubtextL1"/>
      </w:pPr>
      <w:r>
        <w:t xml:space="preserve">Subpart 1 of part 2, </w:t>
      </w:r>
      <w:r w:rsidRPr="00604256">
        <w:t>cost allocation</w:t>
      </w:r>
    </w:p>
    <w:p w:rsidR="0025429B" w:rsidRPr="00604256" w:rsidRDefault="0025429B" w:rsidP="00817B2E">
      <w:pPr>
        <w:pStyle w:val="HeadingH5ClausesubtextL1"/>
      </w:pPr>
      <w:r>
        <w:t xml:space="preserve">Subpart 2 of part 2, </w:t>
      </w:r>
      <w:r w:rsidRPr="00604256">
        <w:t>asset valuation</w:t>
      </w:r>
    </w:p>
    <w:p w:rsidR="0025429B" w:rsidRDefault="0025429B" w:rsidP="00817B2E">
      <w:pPr>
        <w:pStyle w:val="HeadingH5ClausesubtextL1"/>
      </w:pPr>
      <w:r>
        <w:t xml:space="preserve">Subpart 3 of part 2, </w:t>
      </w:r>
      <w:r w:rsidRPr="00604256">
        <w:t>treatment of taxation</w:t>
      </w:r>
    </w:p>
    <w:p w:rsidR="0025429B" w:rsidRPr="00604256" w:rsidRDefault="0025429B" w:rsidP="00817B2E">
      <w:pPr>
        <w:pStyle w:val="HeadingH5ClausesubtextL1"/>
      </w:pPr>
      <w:r>
        <w:t>Subpart 4 of part 2, cost of capital</w:t>
      </w:r>
    </w:p>
    <w:p w:rsidR="0025429B" w:rsidRDefault="0025429B" w:rsidP="00817B2E">
      <w:pPr>
        <w:pStyle w:val="HeadingH5ClausesubtextL1"/>
      </w:pPr>
      <w:r>
        <w:t xml:space="preserve">Subpart 4 of part 2, </w:t>
      </w:r>
      <w:r w:rsidRPr="009764C2">
        <w:t>pricing methodologies</w:t>
      </w:r>
    </w:p>
    <w:p w:rsidR="00001C43" w:rsidRPr="006441E4" w:rsidRDefault="00001C43" w:rsidP="006D2597">
      <w:pPr>
        <w:pStyle w:val="ListParagraph"/>
        <w:spacing w:line="264" w:lineRule="auto"/>
        <w:ind w:left="1276" w:hanging="567"/>
        <w:contextualSpacing w:val="0"/>
        <w:sectPr w:rsidR="00001C43" w:rsidRPr="006441E4" w:rsidSect="000A7887">
          <w:type w:val="continuous"/>
          <w:pgSz w:w="11907" w:h="16840" w:code="9"/>
          <w:pgMar w:top="1440" w:right="1440" w:bottom="1440" w:left="1440" w:header="1134" w:footer="431" w:gutter="0"/>
          <w:cols w:space="720"/>
          <w:titlePg/>
        </w:sectPr>
      </w:pPr>
    </w:p>
    <w:p w:rsidR="00001C43" w:rsidRPr="006441E4" w:rsidRDefault="00001C43" w:rsidP="002B1F59">
      <w:pPr>
        <w:pStyle w:val="ListParagraph"/>
        <w:spacing w:line="264" w:lineRule="auto"/>
        <w:ind w:left="1800"/>
        <w:contextualSpacing w:val="0"/>
      </w:pPr>
    </w:p>
    <w:p w:rsidR="00F40DAE" w:rsidRDefault="000D4C8C">
      <w:pPr>
        <w:pStyle w:val="HeadingH3SectionHeading"/>
      </w:pPr>
      <w:bookmarkStart w:id="17" w:name="_Ref329061354"/>
      <w:bookmarkStart w:id="18" w:name="_Ref329179791"/>
      <w:bookmarkStart w:id="19" w:name="_Toc329296359"/>
      <w:r w:rsidRPr="006441E4">
        <w:t>FINANCIAL INFORMATION</w:t>
      </w:r>
      <w:bookmarkEnd w:id="17"/>
      <w:r w:rsidR="00232C91" w:rsidRPr="00232C91">
        <w:t xml:space="preserve"> </w:t>
      </w:r>
      <w:r w:rsidR="00232C91" w:rsidRPr="0020267E">
        <w:t>FOR THE DISCLOSURE YEAR</w:t>
      </w:r>
      <w:bookmarkEnd w:id="18"/>
      <w:bookmarkEnd w:id="19"/>
    </w:p>
    <w:p w:rsidR="0084688E" w:rsidRPr="006441E4" w:rsidRDefault="0084688E" w:rsidP="002B1F59">
      <w:pPr>
        <w:pStyle w:val="Heading3"/>
        <w:spacing w:line="264" w:lineRule="auto"/>
      </w:pPr>
      <w:bookmarkStart w:id="20" w:name="_Ref279614394"/>
      <w:bookmarkStart w:id="21" w:name="_Ref279615310"/>
      <w:bookmarkStart w:id="22" w:name="_Ref279615319"/>
      <w:bookmarkStart w:id="23" w:name="_Ref279616503"/>
      <w:bookmarkStart w:id="24" w:name="_Ref279616757"/>
      <w:bookmarkStart w:id="25" w:name="_Ref279617093"/>
      <w:bookmarkStart w:id="26" w:name="_Toc280783000"/>
      <w:r w:rsidRPr="006441E4">
        <w:t>Annual Disclosure Relating to Financial Information</w:t>
      </w:r>
      <w:bookmarkEnd w:id="20"/>
      <w:bookmarkEnd w:id="21"/>
      <w:bookmarkEnd w:id="22"/>
      <w:bookmarkEnd w:id="23"/>
      <w:bookmarkEnd w:id="24"/>
      <w:bookmarkEnd w:id="25"/>
      <w:bookmarkEnd w:id="26"/>
      <w:r w:rsidR="00232C91" w:rsidRPr="00232C91">
        <w:t xml:space="preserve"> </w:t>
      </w:r>
      <w:r w:rsidR="00232C91" w:rsidRPr="006927B6">
        <w:t>for the Disclosure Year</w:t>
      </w:r>
    </w:p>
    <w:p w:rsidR="00F40DAE" w:rsidRDefault="0084688E">
      <w:pPr>
        <w:pStyle w:val="HeadingH4Clausetext"/>
        <w:tabs>
          <w:tab w:val="clear" w:pos="4679"/>
          <w:tab w:val="num" w:pos="709"/>
        </w:tabs>
      </w:pPr>
      <w:bookmarkStart w:id="27" w:name="_Ref279613342"/>
      <w:r w:rsidRPr="006441E4">
        <w:t xml:space="preserve">Subject to </w:t>
      </w:r>
      <w:r w:rsidR="00CF6394" w:rsidRPr="006441E4">
        <w:t xml:space="preserve">section </w:t>
      </w:r>
      <w:r w:rsidR="0033518E">
        <w:fldChar w:fldCharType="begin"/>
      </w:r>
      <w:r w:rsidR="00484694">
        <w:instrText xml:space="preserve"> REF _Ref329176011 \r \h </w:instrText>
      </w:r>
      <w:r w:rsidR="0033518E">
        <w:fldChar w:fldCharType="separate"/>
      </w:r>
      <w:r w:rsidR="00B06C04">
        <w:t>2.12</w:t>
      </w:r>
      <w:r w:rsidR="0033518E">
        <w:fldChar w:fldCharType="end"/>
      </w:r>
      <w:r w:rsidR="008F6452" w:rsidRPr="006441E4">
        <w:t>,</w:t>
      </w:r>
      <w:r w:rsidRPr="006441E4">
        <w:t xml:space="preserve"> within </w:t>
      </w:r>
      <w:r w:rsidR="00232C91">
        <w:t>6</w:t>
      </w:r>
      <w:r w:rsidR="00232C91" w:rsidRPr="006441E4">
        <w:t xml:space="preserve"> </w:t>
      </w:r>
      <w:r w:rsidRPr="006441E4">
        <w:rPr>
          <w:rStyle w:val="Emphasis-Bold"/>
          <w:b w:val="0"/>
        </w:rPr>
        <w:t>months</w:t>
      </w:r>
      <w:r w:rsidRPr="006441E4">
        <w:rPr>
          <w:b/>
        </w:rPr>
        <w:t xml:space="preserve"> </w:t>
      </w:r>
      <w:r w:rsidRPr="006441E4">
        <w:t xml:space="preserve">after the end of each </w:t>
      </w:r>
      <w:r w:rsidRPr="006441E4">
        <w:rPr>
          <w:rStyle w:val="Emphasis-Bold"/>
        </w:rPr>
        <w:t>disclosure year</w:t>
      </w:r>
      <w:r w:rsidRPr="006441E4">
        <w:t xml:space="preserve">, every </w:t>
      </w:r>
      <w:r w:rsidR="00F045F6" w:rsidRPr="006441E4">
        <w:rPr>
          <w:rStyle w:val="Emphasis-Bold"/>
        </w:rPr>
        <w:t>G</w:t>
      </w:r>
      <w:r w:rsidR="00BD252C" w:rsidRPr="006441E4">
        <w:rPr>
          <w:rStyle w:val="Emphasis-Bold"/>
        </w:rPr>
        <w:t>T</w:t>
      </w:r>
      <w:r w:rsidR="00F045F6" w:rsidRPr="006441E4">
        <w:rPr>
          <w:rStyle w:val="Emphasis-Bold"/>
        </w:rPr>
        <w:t>B</w:t>
      </w:r>
      <w:r w:rsidR="00F045F6" w:rsidRPr="006441E4">
        <w:t xml:space="preserve"> </w:t>
      </w:r>
      <w:r w:rsidRPr="006441E4">
        <w:t>must disclose information relating to its financial position by:</w:t>
      </w:r>
      <w:bookmarkEnd w:id="27"/>
    </w:p>
    <w:p w:rsidR="00476A3F" w:rsidRDefault="00F5798C">
      <w:pPr>
        <w:pStyle w:val="HeadingH5ClausesubtextL1"/>
      </w:pPr>
      <w:bookmarkStart w:id="28" w:name="_Ref307473293"/>
      <w:r>
        <w:t>C</w:t>
      </w:r>
      <w:r w:rsidR="0084688E" w:rsidRPr="006441E4">
        <w:t xml:space="preserve">ompleting each of the following reports by inserting all information relating to the </w:t>
      </w:r>
      <w:r w:rsidR="00227B61" w:rsidRPr="006441E4">
        <w:rPr>
          <w:b/>
        </w:rPr>
        <w:t>gas transmission services</w:t>
      </w:r>
      <w:r w:rsidR="0084688E" w:rsidRPr="006441E4">
        <w:t xml:space="preserve"> supplied by the </w:t>
      </w:r>
      <w:r w:rsidR="00F045F6" w:rsidRPr="006441E4">
        <w:rPr>
          <w:rStyle w:val="Emphasis-Bold"/>
        </w:rPr>
        <w:t>G</w:t>
      </w:r>
      <w:r w:rsidR="00BD252C" w:rsidRPr="006441E4">
        <w:rPr>
          <w:rStyle w:val="Emphasis-Bold"/>
        </w:rPr>
        <w:t>T</w:t>
      </w:r>
      <w:r w:rsidR="00F045F6" w:rsidRPr="006441E4">
        <w:rPr>
          <w:rStyle w:val="Emphasis-Bold"/>
        </w:rPr>
        <w:t>B</w:t>
      </w:r>
      <w:r w:rsidR="00F045F6" w:rsidRPr="006441E4">
        <w:t xml:space="preserve"> </w:t>
      </w:r>
      <w:r w:rsidR="0084688E" w:rsidRPr="006441E4">
        <w:t xml:space="preserve">for that </w:t>
      </w:r>
      <w:r w:rsidR="0084688E" w:rsidRPr="006441E4">
        <w:rPr>
          <w:rStyle w:val="Emphasis-Bold"/>
        </w:rPr>
        <w:t>disclosure year</w:t>
      </w:r>
      <w:r w:rsidR="0084688E" w:rsidRPr="006441E4">
        <w:t>:</w:t>
      </w:r>
      <w:bookmarkEnd w:id="28"/>
    </w:p>
    <w:p w:rsidR="00F40DAE" w:rsidRDefault="00B22601">
      <w:pPr>
        <w:pStyle w:val="HeadingH6ClausesubtextL2"/>
      </w:pPr>
      <w:r>
        <w:t>The Comparison of Forecasts to Actual Expenditure set out in Schedule 2</w:t>
      </w:r>
    </w:p>
    <w:p w:rsidR="00F40DAE" w:rsidRDefault="0084688E">
      <w:pPr>
        <w:pStyle w:val="HeadingH6ClausesubtextL2"/>
      </w:pPr>
      <w:r w:rsidRPr="006441E4">
        <w:t xml:space="preserve">the Report on Return on Investment set out in Schedule </w:t>
      </w:r>
      <w:r w:rsidR="00B22601">
        <w:t>3</w:t>
      </w:r>
      <w:r w:rsidRPr="006441E4">
        <w:t>;</w:t>
      </w:r>
    </w:p>
    <w:p w:rsidR="00B22601" w:rsidRDefault="00B22601" w:rsidP="00B22601">
      <w:pPr>
        <w:pStyle w:val="HeadingH6ClausesubtextL2"/>
        <w:tabs>
          <w:tab w:val="clear" w:pos="1418"/>
          <w:tab w:val="num" w:pos="0"/>
        </w:tabs>
      </w:pPr>
      <w:r w:rsidRPr="00604256">
        <w:t xml:space="preserve">the Report on Term Credit Spread Differential Allowance set out in Schedule </w:t>
      </w:r>
      <w:r>
        <w:t>3a</w:t>
      </w:r>
    </w:p>
    <w:p w:rsidR="00B22601" w:rsidRDefault="00B22601" w:rsidP="00B22601">
      <w:pPr>
        <w:pStyle w:val="HeadingH6ClausesubtextL2"/>
        <w:tabs>
          <w:tab w:val="clear" w:pos="1418"/>
          <w:tab w:val="num" w:pos="0"/>
        </w:tabs>
      </w:pPr>
      <w:r w:rsidRPr="00604256">
        <w:t xml:space="preserve">the Report on Regulatory Asset Base Roll Forward set out in Schedule </w:t>
      </w:r>
      <w:r>
        <w:t>4</w:t>
      </w:r>
    </w:p>
    <w:p w:rsidR="00B22601" w:rsidRPr="002F2828" w:rsidRDefault="00B22601" w:rsidP="00B22601">
      <w:pPr>
        <w:pStyle w:val="HeadingH6ClausesubtextL2"/>
        <w:tabs>
          <w:tab w:val="clear" w:pos="1418"/>
          <w:tab w:val="num" w:pos="0"/>
        </w:tabs>
      </w:pPr>
      <w:r w:rsidRPr="00604256">
        <w:t xml:space="preserve">the Report on Asset Allocations set out in Schedule </w:t>
      </w:r>
      <w:r>
        <w:t>4a</w:t>
      </w:r>
    </w:p>
    <w:p w:rsidR="00F40DAE" w:rsidRDefault="0084688E">
      <w:pPr>
        <w:pStyle w:val="HeadingH6ClausesubtextL2"/>
      </w:pPr>
      <w:r w:rsidRPr="006441E4">
        <w:t xml:space="preserve">the Report on Regulatory Profit set out in Schedule </w:t>
      </w:r>
      <w:r w:rsidR="00B22601">
        <w:t>5</w:t>
      </w:r>
      <w:r w:rsidRPr="006441E4">
        <w:t>;</w:t>
      </w:r>
    </w:p>
    <w:p w:rsidR="00F40DAE" w:rsidRDefault="00B22601">
      <w:pPr>
        <w:pStyle w:val="HeadingH6ClausesubtextL2"/>
        <w:tabs>
          <w:tab w:val="clear" w:pos="1418"/>
          <w:tab w:val="num" w:pos="0"/>
        </w:tabs>
      </w:pPr>
      <w:r>
        <w:t xml:space="preserve">the </w:t>
      </w:r>
      <w:r w:rsidRPr="002F2828">
        <w:t xml:space="preserve">Report on Regulatory Tax Allowance set out in Schedule </w:t>
      </w:r>
      <w:r>
        <w:t>5a</w:t>
      </w:r>
    </w:p>
    <w:p w:rsidR="00B22601" w:rsidRPr="00974450" w:rsidRDefault="00B22601" w:rsidP="00B22601">
      <w:pPr>
        <w:pStyle w:val="HeadingH6ClausesubtextL2"/>
        <w:tabs>
          <w:tab w:val="clear" w:pos="1418"/>
          <w:tab w:val="num" w:pos="0"/>
        </w:tabs>
      </w:pPr>
      <w:bookmarkStart w:id="29" w:name="_Ref279614676"/>
      <w:r>
        <w:t>the Report on Related Party Transactions set out in Schedule 5b;</w:t>
      </w:r>
    </w:p>
    <w:p w:rsidR="00B22601" w:rsidRPr="00974450" w:rsidRDefault="00B22601" w:rsidP="00B22601">
      <w:pPr>
        <w:pStyle w:val="HeadingH6ClausesubtextL2"/>
        <w:tabs>
          <w:tab w:val="clear" w:pos="1418"/>
          <w:tab w:val="num" w:pos="0"/>
        </w:tabs>
      </w:pPr>
      <w:r>
        <w:t>the Report on Cost Allocations set out in Schedule 5c;</w:t>
      </w:r>
    </w:p>
    <w:p w:rsidR="00F40DAE" w:rsidRDefault="0084688E">
      <w:pPr>
        <w:pStyle w:val="HeadingH6ClausesubtextL2"/>
      </w:pPr>
      <w:r w:rsidRPr="006441E4">
        <w:t xml:space="preserve">the Report on </w:t>
      </w:r>
      <w:r w:rsidR="00B22601">
        <w:t xml:space="preserve">Capital </w:t>
      </w:r>
      <w:r w:rsidRPr="006441E4">
        <w:t xml:space="preserve">Expenditure </w:t>
      </w:r>
      <w:r w:rsidR="00B22601">
        <w:t xml:space="preserve">for the Disclosure Year </w:t>
      </w:r>
      <w:r w:rsidRPr="006441E4">
        <w:t>set out in Schedule 6;</w:t>
      </w:r>
    </w:p>
    <w:p w:rsidR="00B22601" w:rsidRDefault="00B22601" w:rsidP="00B22601">
      <w:pPr>
        <w:pStyle w:val="HeadingH6ClausesubtextL2"/>
        <w:tabs>
          <w:tab w:val="clear" w:pos="1418"/>
          <w:tab w:val="num" w:pos="0"/>
        </w:tabs>
      </w:pPr>
      <w:r w:rsidRPr="002F2828">
        <w:t xml:space="preserve">the Report on </w:t>
      </w:r>
      <w:r>
        <w:t xml:space="preserve">Operational </w:t>
      </w:r>
      <w:r w:rsidRPr="002F2828">
        <w:t xml:space="preserve">Expenditure </w:t>
      </w:r>
      <w:r>
        <w:t xml:space="preserve">for the Disclosure Year </w:t>
      </w:r>
      <w:r w:rsidRPr="002F2828">
        <w:t>set out</w:t>
      </w:r>
      <w:r>
        <w:t xml:space="preserve"> in Schedule 7</w:t>
      </w:r>
      <w:r w:rsidRPr="002F2828">
        <w:t>; and</w:t>
      </w:r>
    </w:p>
    <w:bookmarkEnd w:id="29"/>
    <w:p w:rsidR="00F40DAE" w:rsidRDefault="0084688E">
      <w:pPr>
        <w:pStyle w:val="HeadingH5ClausesubtextL1"/>
      </w:pPr>
      <w:r w:rsidRPr="006441E4">
        <w:rPr>
          <w:b/>
          <w:bCs/>
        </w:rPr>
        <w:t>publicly disclosing</w:t>
      </w:r>
      <w:r w:rsidRPr="006441E4">
        <w:t xml:space="preserve"> each of those reports</w:t>
      </w:r>
      <w:r w:rsidR="00311CFD" w:rsidRPr="006441E4">
        <w:t>;</w:t>
      </w:r>
    </w:p>
    <w:p w:rsidR="00B22601" w:rsidRPr="002F2828" w:rsidRDefault="00B22601" w:rsidP="00B22601">
      <w:pPr>
        <w:pStyle w:val="HeadingH4Clausetext"/>
      </w:pPr>
      <w:bookmarkStart w:id="30" w:name="_Ref328953470"/>
      <w:bookmarkStart w:id="31" w:name="_Ref312318433"/>
      <w:r>
        <w:t xml:space="preserve">Subject to section </w:t>
      </w:r>
      <w:r w:rsidR="0033518E">
        <w:fldChar w:fldCharType="begin"/>
      </w:r>
      <w:r w:rsidR="00836F3A">
        <w:instrText xml:space="preserve"> REF _Ref329080209 \r \h </w:instrText>
      </w:r>
      <w:r w:rsidR="0033518E">
        <w:fldChar w:fldCharType="separate"/>
      </w:r>
      <w:r w:rsidR="00B06C04">
        <w:t>2.12</w:t>
      </w:r>
      <w:r w:rsidR="0033518E">
        <w:fldChar w:fldCharType="end"/>
      </w:r>
      <w:r>
        <w:t>, within 6</w:t>
      </w:r>
      <w:r w:rsidRPr="002F2828">
        <w:t xml:space="preserve"> months after the end of each </w:t>
      </w:r>
      <w:r w:rsidRPr="002F2828">
        <w:rPr>
          <w:b/>
        </w:rPr>
        <w:t>disclosure year</w:t>
      </w:r>
      <w:r w:rsidRPr="002F2828">
        <w:t xml:space="preserve">, every </w:t>
      </w:r>
      <w:r w:rsidR="00B120AC">
        <w:rPr>
          <w:b/>
        </w:rPr>
        <w:t>GTB</w:t>
      </w:r>
      <w:r w:rsidRPr="002F2828">
        <w:rPr>
          <w:b/>
        </w:rPr>
        <w:t xml:space="preserve"> </w:t>
      </w:r>
      <w:r w:rsidRPr="002F2828">
        <w:t xml:space="preserve">must disclose to the </w:t>
      </w:r>
      <w:r w:rsidRPr="002F2828">
        <w:rPr>
          <w:b/>
        </w:rPr>
        <w:t>Commission</w:t>
      </w:r>
      <w:r w:rsidRPr="002F2828">
        <w:t xml:space="preserve"> information supporting the information disclosed in accordance with clause </w:t>
      </w:r>
      <w:r w:rsidR="0033518E">
        <w:fldChar w:fldCharType="begin"/>
      </w:r>
      <w:r w:rsidR="00836F3A">
        <w:instrText xml:space="preserve"> REF _Ref279613342 \r \h </w:instrText>
      </w:r>
      <w:r w:rsidR="0033518E">
        <w:fldChar w:fldCharType="separate"/>
      </w:r>
      <w:r w:rsidR="00B06C04">
        <w:t>2.3.1</w:t>
      </w:r>
      <w:r w:rsidR="0033518E">
        <w:fldChar w:fldCharType="end"/>
      </w:r>
      <w:r w:rsidR="00800E4D">
        <w:t xml:space="preserve"> </w:t>
      </w:r>
      <w:r w:rsidRPr="002F2828">
        <w:t>by:</w:t>
      </w:r>
      <w:bookmarkEnd w:id="30"/>
    </w:p>
    <w:p w:rsidR="00B22601" w:rsidRPr="002F2828" w:rsidRDefault="00B22601" w:rsidP="00B22601">
      <w:pPr>
        <w:pStyle w:val="HeadingH5ClausesubtextL1"/>
        <w:tabs>
          <w:tab w:val="num" w:pos="709"/>
        </w:tabs>
      </w:pPr>
      <w:r w:rsidRPr="002F2828">
        <w:t xml:space="preserve">Completing each of the following reports by inserting all information relating to the information supplied by the </w:t>
      </w:r>
      <w:r w:rsidR="00B120AC">
        <w:rPr>
          <w:b/>
        </w:rPr>
        <w:t>GTB</w:t>
      </w:r>
      <w:r>
        <w:t xml:space="preserve"> in Schedules 4a and 5c</w:t>
      </w:r>
      <w:r w:rsidRPr="002F2828">
        <w:t xml:space="preserve"> for that </w:t>
      </w:r>
      <w:r w:rsidRPr="002F2828">
        <w:rPr>
          <w:b/>
        </w:rPr>
        <w:t>disclosure year</w:t>
      </w:r>
      <w:r w:rsidRPr="002F2828">
        <w:t>:</w:t>
      </w:r>
    </w:p>
    <w:p w:rsidR="00B22601" w:rsidRPr="002F2828" w:rsidRDefault="00B22601" w:rsidP="00B22601">
      <w:pPr>
        <w:pStyle w:val="HeadingH6ClausesubtextL2"/>
        <w:tabs>
          <w:tab w:val="clear" w:pos="1418"/>
          <w:tab w:val="num" w:pos="0"/>
        </w:tabs>
      </w:pPr>
      <w:r w:rsidRPr="002F2828">
        <w:t xml:space="preserve">the Report Supporting Asset Allocation set out in Schedule </w:t>
      </w:r>
      <w:r>
        <w:t>4b</w:t>
      </w:r>
      <w:r w:rsidRPr="002F2828">
        <w:t>;</w:t>
      </w:r>
    </w:p>
    <w:p w:rsidR="00B22601" w:rsidRDefault="00B22601" w:rsidP="00B22601">
      <w:pPr>
        <w:pStyle w:val="HeadingH6ClausesubtextL2"/>
        <w:tabs>
          <w:tab w:val="clear" w:pos="1418"/>
          <w:tab w:val="num" w:pos="0"/>
        </w:tabs>
      </w:pPr>
      <w:r>
        <w:t>the Report Supporting Cost Allocation set out in Schedule 5d;</w:t>
      </w:r>
    </w:p>
    <w:p w:rsidR="00F40DAE" w:rsidRDefault="00F86836">
      <w:pPr>
        <w:pStyle w:val="BodyText"/>
        <w:rPr>
          <w:i/>
        </w:rPr>
      </w:pPr>
      <w:r w:rsidRPr="00F86836">
        <w:rPr>
          <w:i/>
        </w:rPr>
        <w:t xml:space="preserve">Alternative Method for Return on Investment Information </w:t>
      </w:r>
    </w:p>
    <w:p w:rsidR="002E32F1" w:rsidRDefault="002E32F1" w:rsidP="002E32F1">
      <w:pPr>
        <w:pStyle w:val="HeadingH4Clausetext"/>
        <w:tabs>
          <w:tab w:val="clear" w:pos="4679"/>
        </w:tabs>
        <w:outlineLvl w:val="9"/>
        <w:rPr>
          <w:rFonts w:eastAsiaTheme="minorHAnsi"/>
        </w:rPr>
      </w:pPr>
      <w:bookmarkStart w:id="32" w:name="_Ref329270576"/>
      <w:r>
        <w:t>Subject to section 2.12, in completing the Report on Return on Investment in Schedule 3:</w:t>
      </w:r>
      <w:bookmarkEnd w:id="32"/>
    </w:p>
    <w:p w:rsidR="002E32F1" w:rsidRDefault="002E32F1" w:rsidP="002E32F1">
      <w:pPr>
        <w:pStyle w:val="HeadingH5ClausesubtextL1"/>
        <w:outlineLvl w:val="9"/>
        <w:rPr>
          <w:rFonts w:eastAsiaTheme="minorHAnsi"/>
        </w:rPr>
      </w:pPr>
      <w:r>
        <w:t xml:space="preserve">a </w:t>
      </w:r>
      <w:r>
        <w:rPr>
          <w:b/>
          <w:bCs/>
        </w:rPr>
        <w:t>GTB</w:t>
      </w:r>
      <w:r>
        <w:t xml:space="preserve"> must disclose information in accordance with part 3(iii) of Schedule 3 if the calculation of ROI under part 3(iii), to the extent it relates to the specific timing and value of </w:t>
      </w:r>
      <w:r>
        <w:rPr>
          <w:b/>
          <w:bCs/>
        </w:rPr>
        <w:t>assets commissioned</w:t>
      </w:r>
      <w:r>
        <w:t xml:space="preserve"> by the </w:t>
      </w:r>
      <w:r>
        <w:rPr>
          <w:b/>
          <w:bCs/>
        </w:rPr>
        <w:t>GTB</w:t>
      </w:r>
      <w:r>
        <w:t xml:space="preserve"> during the </w:t>
      </w:r>
      <w:r>
        <w:rPr>
          <w:b/>
          <w:bCs/>
        </w:rPr>
        <w:t>disclosure year,</w:t>
      </w:r>
      <w:r>
        <w:t xml:space="preserve"> would lead to a difference of 50 basis points or more compared to the ROI calculation set out in part 3(</w:t>
      </w:r>
      <w:proofErr w:type="spellStart"/>
      <w:r>
        <w:t>i</w:t>
      </w:r>
      <w:proofErr w:type="spellEnd"/>
      <w:r>
        <w:t>) of Schedule 3;</w:t>
      </w:r>
    </w:p>
    <w:p w:rsidR="00F40DAE" w:rsidRDefault="002E32F1">
      <w:pPr>
        <w:pStyle w:val="HeadingH5ClausesubtextL1"/>
        <w:outlineLvl w:val="9"/>
      </w:pPr>
      <w:r>
        <w:t xml:space="preserve">Otherwise a </w:t>
      </w:r>
      <w:r w:rsidR="00F86836" w:rsidRPr="00F86836">
        <w:rPr>
          <w:b/>
        </w:rPr>
        <w:t>GT</w:t>
      </w:r>
      <w:r w:rsidR="00F86836" w:rsidRPr="00F86836">
        <w:rPr>
          <w:b/>
          <w:bCs/>
        </w:rPr>
        <w:t xml:space="preserve">B </w:t>
      </w:r>
      <w:r>
        <w:t>may elect to disclose information in accordance with part 3(iii) of Schedule 3;</w:t>
      </w:r>
      <w:bookmarkEnd w:id="31"/>
    </w:p>
    <w:p w:rsidR="00F40DAE" w:rsidRDefault="00D233B9">
      <w:pPr>
        <w:pStyle w:val="BodyText"/>
        <w:rPr>
          <w:i/>
        </w:rPr>
      </w:pPr>
      <w:bookmarkStart w:id="33" w:name="_Ref312318445"/>
      <w:r>
        <w:rPr>
          <w:i/>
        </w:rPr>
        <w:t>Tax rate applicable to MDL</w:t>
      </w:r>
    </w:p>
    <w:p w:rsidR="00D233B9" w:rsidRDefault="00D233B9" w:rsidP="00D233B9">
      <w:pPr>
        <w:pStyle w:val="HeadingH4Clausetext"/>
      </w:pPr>
      <w:r w:rsidRPr="006441E4">
        <w:t>In completing Schedule</w:t>
      </w:r>
      <w:r>
        <w:t xml:space="preserve"> 3, MDL must use the statutory tax rate as the value for the corporate tax rate.</w:t>
      </w:r>
    </w:p>
    <w:p w:rsidR="00F40DAE" w:rsidRDefault="00F86836">
      <w:pPr>
        <w:pStyle w:val="BodyText"/>
        <w:rPr>
          <w:i/>
        </w:rPr>
      </w:pPr>
      <w:r w:rsidRPr="00F86836">
        <w:rPr>
          <w:i/>
        </w:rPr>
        <w:t>Term Credit Spread Differential Allowance</w:t>
      </w:r>
    </w:p>
    <w:p w:rsidR="00F40DAE" w:rsidRDefault="00311CFD">
      <w:pPr>
        <w:pStyle w:val="HeadingH4Clausetext"/>
      </w:pPr>
      <w:r w:rsidRPr="006441E4">
        <w:t xml:space="preserve">Schedule </w:t>
      </w:r>
      <w:r w:rsidR="00E03EC7">
        <w:t>3a</w:t>
      </w:r>
      <w:r w:rsidR="00E03EC7" w:rsidRPr="006441E4">
        <w:t xml:space="preserve"> </w:t>
      </w:r>
      <w:r w:rsidRPr="006441E4">
        <w:t xml:space="preserve">is only </w:t>
      </w:r>
      <w:r w:rsidR="00F934CF" w:rsidRPr="006441E4">
        <w:t>required to be</w:t>
      </w:r>
      <w:r w:rsidRPr="006441E4">
        <w:t xml:space="preserve"> completed by qualifying suppliers as qualifying suppliers is defined in the </w:t>
      </w:r>
      <w:r w:rsidRPr="006441E4">
        <w:rPr>
          <w:b/>
        </w:rPr>
        <w:t>IM determination</w:t>
      </w:r>
      <w:r w:rsidRPr="006441E4">
        <w:t>.</w:t>
      </w:r>
      <w:bookmarkStart w:id="34" w:name="_Ref312318333"/>
      <w:bookmarkEnd w:id="33"/>
    </w:p>
    <w:p w:rsidR="00F40DAE" w:rsidRDefault="00D233B9">
      <w:pPr>
        <w:pStyle w:val="BodyText"/>
        <w:rPr>
          <w:i/>
        </w:rPr>
      </w:pPr>
      <w:r>
        <w:rPr>
          <w:i/>
        </w:rPr>
        <w:t>Allocation of Assets and Operating Costs</w:t>
      </w:r>
    </w:p>
    <w:p w:rsidR="00F40DAE" w:rsidRDefault="0084688E">
      <w:pPr>
        <w:pStyle w:val="HeadingH4Clausetext"/>
      </w:pPr>
      <w:bookmarkStart w:id="35" w:name="_Ref329270371"/>
      <w:r w:rsidRPr="006441E4">
        <w:t xml:space="preserve">In completing </w:t>
      </w:r>
      <w:r w:rsidR="00D233B9">
        <w:t>the Report on Asset Allocations in Schedule 4a and the Report on Cost Allocations in Schedule 5c</w:t>
      </w:r>
      <w:r w:rsidR="00873DCD" w:rsidRPr="006441E4">
        <w:t xml:space="preserve"> </w:t>
      </w:r>
      <w:r w:rsidR="00284C57" w:rsidRPr="006441E4">
        <w:t>e</w:t>
      </w:r>
      <w:r w:rsidR="00587923" w:rsidRPr="006441E4">
        <w:t xml:space="preserve">very </w:t>
      </w:r>
      <w:r w:rsidR="00587923" w:rsidRPr="006441E4">
        <w:rPr>
          <w:b/>
        </w:rPr>
        <w:t>GTB</w:t>
      </w:r>
      <w:r w:rsidR="00587923" w:rsidRPr="006441E4">
        <w:t xml:space="preserve"> must </w:t>
      </w:r>
      <w:r w:rsidRPr="006441E4">
        <w:rPr>
          <w:b/>
        </w:rPr>
        <w:t>publicly disclos</w:t>
      </w:r>
      <w:r w:rsidR="00587923" w:rsidRPr="006441E4">
        <w:rPr>
          <w:b/>
        </w:rPr>
        <w:t>e</w:t>
      </w:r>
      <w:r w:rsidRPr="006441E4">
        <w:t xml:space="preserve">, for each </w:t>
      </w:r>
      <w:r w:rsidRPr="00453104">
        <w:t>asset category</w:t>
      </w:r>
      <w:r w:rsidRPr="006441E4">
        <w:t xml:space="preserve"> in Schedule </w:t>
      </w:r>
      <w:r w:rsidR="00D233B9">
        <w:t>4a</w:t>
      </w:r>
      <w:r w:rsidR="00D233B9" w:rsidRPr="006441E4">
        <w:t xml:space="preserve"> </w:t>
      </w:r>
      <w:r w:rsidRPr="006441E4">
        <w:t xml:space="preserve">and each </w:t>
      </w:r>
      <w:r w:rsidRPr="006441E4">
        <w:rPr>
          <w:b/>
        </w:rPr>
        <w:t>operational expenditure</w:t>
      </w:r>
      <w:r w:rsidRPr="006441E4">
        <w:t xml:space="preserve"> category in Schedule </w:t>
      </w:r>
      <w:r w:rsidR="00D233B9">
        <w:t>5c</w:t>
      </w:r>
      <w:r w:rsidR="00D233B9" w:rsidRPr="006441E4">
        <w:t xml:space="preserve"> </w:t>
      </w:r>
      <w:r w:rsidRPr="006441E4">
        <w:t xml:space="preserve">that has </w:t>
      </w:r>
      <w:r w:rsidRPr="006441E4">
        <w:rPr>
          <w:b/>
        </w:rPr>
        <w:t xml:space="preserve">not directly attributable </w:t>
      </w:r>
      <w:r w:rsidRPr="006441E4">
        <w:t>costs</w:t>
      </w:r>
      <w:r w:rsidR="00A40BE3" w:rsidRPr="006441E4">
        <w:t>:</w:t>
      </w:r>
      <w:bookmarkEnd w:id="34"/>
      <w:bookmarkEnd w:id="35"/>
    </w:p>
    <w:p w:rsidR="00F40DAE" w:rsidRDefault="0084688E">
      <w:pPr>
        <w:pStyle w:val="HeadingH5ClausesubtextL1"/>
      </w:pPr>
      <w:r w:rsidRPr="006441E4">
        <w:t xml:space="preserve">a description of the </w:t>
      </w:r>
      <w:r w:rsidR="00F86836" w:rsidRPr="00F86836">
        <w:rPr>
          <w:b/>
        </w:rPr>
        <w:t>not directly attributable</w:t>
      </w:r>
      <w:r w:rsidRPr="006441E4">
        <w:t xml:space="preserve"> costs or assets;</w:t>
      </w:r>
    </w:p>
    <w:p w:rsidR="00F40DAE" w:rsidRDefault="0084688E">
      <w:pPr>
        <w:pStyle w:val="HeadingH5ClausesubtextL1"/>
      </w:pPr>
      <w:r w:rsidRPr="006441E4">
        <w:t xml:space="preserve">the </w:t>
      </w:r>
      <w:r w:rsidR="00F86836" w:rsidRPr="00F86836">
        <w:rPr>
          <w:b/>
        </w:rPr>
        <w:t>allocation methodology types</w:t>
      </w:r>
      <w:r w:rsidRPr="006441E4">
        <w:t xml:space="preserve"> used to allocate the </w:t>
      </w:r>
      <w:r w:rsidR="00F86836" w:rsidRPr="00F86836">
        <w:rPr>
          <w:b/>
        </w:rPr>
        <w:t>not directly attributable</w:t>
      </w:r>
      <w:r w:rsidRPr="006441E4">
        <w:t xml:space="preserve"> costs or assets;</w:t>
      </w:r>
    </w:p>
    <w:p w:rsidR="00F40DAE" w:rsidRDefault="0084688E">
      <w:pPr>
        <w:pStyle w:val="HeadingH5ClausesubtextL1"/>
      </w:pPr>
      <w:r w:rsidRPr="006441E4">
        <w:t xml:space="preserve">where more than one allocation method is used, the percentage of </w:t>
      </w:r>
      <w:r w:rsidRPr="006441E4">
        <w:rPr>
          <w:b/>
        </w:rPr>
        <w:t>not directly attributable</w:t>
      </w:r>
      <w:r w:rsidRPr="006441E4">
        <w:t xml:space="preserve"> costs or assets allocated using each method;</w:t>
      </w:r>
    </w:p>
    <w:p w:rsidR="00F40DAE" w:rsidRDefault="0084688E">
      <w:pPr>
        <w:pStyle w:val="HeadingH5ClausesubtextL1"/>
      </w:pPr>
      <w:r w:rsidRPr="006441E4">
        <w:t xml:space="preserve">where ABAA or OVABAA methodologies are used, whether the </w:t>
      </w:r>
      <w:r w:rsidRPr="006441E4">
        <w:rPr>
          <w:b/>
        </w:rPr>
        <w:t>allocators</w:t>
      </w:r>
      <w:r w:rsidRPr="006441E4">
        <w:t xml:space="preserve"> are proxy asset allocators, proxy cost allocators or causal allocators,</w:t>
      </w:r>
      <w:r w:rsidR="00A40BE3" w:rsidRPr="006441E4">
        <w:t xml:space="preserve"> </w:t>
      </w:r>
      <w:r w:rsidRPr="006441E4">
        <w:t xml:space="preserve">as ABAA, OVABAA, proxy assets allocator, proxy cost allocator and causal are defined in the </w:t>
      </w:r>
      <w:r w:rsidRPr="006441E4">
        <w:rPr>
          <w:b/>
        </w:rPr>
        <w:t>IM determination</w:t>
      </w:r>
      <w:r w:rsidRPr="006441E4">
        <w:t>; and</w:t>
      </w:r>
    </w:p>
    <w:p w:rsidR="00F40DAE" w:rsidRDefault="0084688E">
      <w:pPr>
        <w:pStyle w:val="HeadingH5ClausesubtextL1"/>
      </w:pPr>
      <w:r w:rsidRPr="006441E4">
        <w:t xml:space="preserve">the </w:t>
      </w:r>
      <w:r w:rsidRPr="006441E4">
        <w:rPr>
          <w:b/>
        </w:rPr>
        <w:t>allocators</w:t>
      </w:r>
      <w:r w:rsidRPr="006441E4">
        <w:t xml:space="preserve"> used and the rationale for using each </w:t>
      </w:r>
      <w:r w:rsidRPr="006441E4">
        <w:rPr>
          <w:b/>
        </w:rPr>
        <w:t>allocator</w:t>
      </w:r>
    </w:p>
    <w:p w:rsidR="002E32F1" w:rsidRDefault="002E32F1" w:rsidP="002E32F1">
      <w:pPr>
        <w:pStyle w:val="HeadingH4Clausetext"/>
        <w:tabs>
          <w:tab w:val="clear" w:pos="4679"/>
        </w:tabs>
        <w:outlineLvl w:val="9"/>
      </w:pPr>
      <w:bookmarkStart w:id="36" w:name="_Ref329270373"/>
      <w:bookmarkStart w:id="37" w:name="_Ref309711615"/>
      <w:r>
        <w:t xml:space="preserve">For the purpose of clause 2.3.1, the cost of any service, good, or asset from a </w:t>
      </w:r>
      <w:r>
        <w:rPr>
          <w:b/>
          <w:bCs/>
        </w:rPr>
        <w:t xml:space="preserve">related party </w:t>
      </w:r>
      <w:r>
        <w:t>must be:</w:t>
      </w:r>
      <w:bookmarkEnd w:id="36"/>
    </w:p>
    <w:p w:rsidR="002E32F1" w:rsidRDefault="002E32F1" w:rsidP="002E32F1">
      <w:pPr>
        <w:pStyle w:val="HeadingH5ClausesubtextL1"/>
        <w:outlineLvl w:val="9"/>
      </w:pPr>
      <w:r>
        <w:t xml:space="preserve">for any </w:t>
      </w:r>
      <w:r>
        <w:rPr>
          <w:b/>
          <w:bCs/>
        </w:rPr>
        <w:t>assets acquired from a related party</w:t>
      </w:r>
      <w:r>
        <w:t xml:space="preserve">, as determined in accordance with clause 2.2.11(1)(g) of the </w:t>
      </w:r>
      <w:r>
        <w:rPr>
          <w:b/>
          <w:bCs/>
        </w:rPr>
        <w:t>IM determination</w:t>
      </w:r>
      <w:r>
        <w:t>; or</w:t>
      </w:r>
    </w:p>
    <w:p w:rsidR="002E32F1" w:rsidRDefault="002E32F1" w:rsidP="002E32F1">
      <w:pPr>
        <w:pStyle w:val="HeadingH5ClausesubtextL1"/>
        <w:outlineLvl w:val="9"/>
      </w:pPr>
      <w:r>
        <w:t xml:space="preserve">for any service, good, or for any assets other than </w:t>
      </w:r>
      <w:r>
        <w:rPr>
          <w:b/>
          <w:bCs/>
        </w:rPr>
        <w:t>assets acquired from a related party</w:t>
      </w:r>
      <w:r>
        <w:t>, one of the following:</w:t>
      </w:r>
    </w:p>
    <w:p w:rsidR="002E32F1" w:rsidRDefault="002E32F1" w:rsidP="002E32F1">
      <w:pPr>
        <w:pStyle w:val="HeadingH6ClausesubtextL2"/>
        <w:tabs>
          <w:tab w:val="clear" w:pos="1418"/>
        </w:tabs>
        <w:ind w:left="2126" w:hanging="708"/>
        <w:outlineLvl w:val="9"/>
      </w:pPr>
      <w:r>
        <w:t xml:space="preserve">at the directly attributable cost incurred by the </w:t>
      </w:r>
      <w:r>
        <w:rPr>
          <w:b/>
          <w:bCs/>
        </w:rPr>
        <w:t>related party</w:t>
      </w:r>
      <w:r>
        <w:t xml:space="preserve"> in accordance with the cost allocation process set out in clauses [clause references] of the </w:t>
      </w:r>
      <w:r>
        <w:rPr>
          <w:b/>
          <w:bCs/>
        </w:rPr>
        <w:t>IM determination</w:t>
      </w:r>
      <w:r>
        <w:t>, provided that</w:t>
      </w:r>
      <w:r w:rsidRPr="00601BDD">
        <w:t xml:space="preserve"> </w:t>
      </w:r>
      <w:r>
        <w:t xml:space="preserve">the cost incurred by the </w:t>
      </w:r>
      <w:r w:rsidRPr="00601BDD">
        <w:rPr>
          <w:b/>
          <w:bCs/>
        </w:rPr>
        <w:t>related party</w:t>
      </w:r>
      <w:r>
        <w:t xml:space="preserve"> in providing the service to the </w:t>
      </w:r>
      <w:r w:rsidRPr="006602A8">
        <w:rPr>
          <w:b/>
        </w:rPr>
        <w:t>GT</w:t>
      </w:r>
      <w:r w:rsidRPr="00601BDD">
        <w:rPr>
          <w:b/>
          <w:bCs/>
        </w:rPr>
        <w:t>B</w:t>
      </w:r>
      <w:r w:rsidRPr="00601BDD">
        <w:rPr>
          <w:bCs/>
        </w:rPr>
        <w:t>–</w:t>
      </w:r>
    </w:p>
    <w:p w:rsidR="002E32F1" w:rsidRDefault="002E32F1" w:rsidP="00817B2E">
      <w:pPr>
        <w:pStyle w:val="HeadingH7ClausesubtextL3"/>
        <w:tabs>
          <w:tab w:val="clear" w:pos="2126"/>
        </w:tabs>
        <w:ind w:left="2552" w:hanging="360"/>
        <w:outlineLvl w:val="9"/>
      </w:pPr>
      <w:r>
        <w:t xml:space="preserve">is fair and reasonable to the </w:t>
      </w:r>
      <w:r>
        <w:rPr>
          <w:b/>
          <w:bCs/>
        </w:rPr>
        <w:t>GT</w:t>
      </w:r>
      <w:r w:rsidRPr="00601BDD">
        <w:rPr>
          <w:b/>
          <w:bCs/>
        </w:rPr>
        <w:t>B</w:t>
      </w:r>
      <w:r>
        <w:t>, and</w:t>
      </w:r>
    </w:p>
    <w:p w:rsidR="002E32F1" w:rsidRDefault="002E32F1" w:rsidP="00817B2E">
      <w:pPr>
        <w:pStyle w:val="HeadingH7ClausesubtextL3"/>
        <w:tabs>
          <w:tab w:val="clear" w:pos="2126"/>
        </w:tabs>
        <w:ind w:left="2552" w:hanging="360"/>
        <w:outlineLvl w:val="9"/>
      </w:pPr>
      <w:r>
        <w:t xml:space="preserve">is substantially the same as the cost incurred by the </w:t>
      </w:r>
      <w:r w:rsidRPr="00601BDD">
        <w:rPr>
          <w:b/>
          <w:bCs/>
        </w:rPr>
        <w:t>related party</w:t>
      </w:r>
      <w:r>
        <w:t xml:space="preserve"> in providing the same type of services to third parties,; or</w:t>
      </w:r>
    </w:p>
    <w:p w:rsidR="002E32F1" w:rsidRDefault="002E32F1" w:rsidP="002E32F1">
      <w:pPr>
        <w:pStyle w:val="HeadingH6ClausesubtextL2"/>
        <w:tabs>
          <w:tab w:val="clear" w:pos="1418"/>
        </w:tabs>
        <w:ind w:left="2126" w:hanging="708"/>
        <w:outlineLvl w:val="9"/>
      </w:pPr>
      <w:bookmarkStart w:id="38" w:name="_Ref329294431"/>
      <w:r>
        <w:t xml:space="preserve">for </w:t>
      </w:r>
      <w:r>
        <w:rPr>
          <w:b/>
          <w:bCs/>
        </w:rPr>
        <w:t>electrical contracting services</w:t>
      </w:r>
      <w:r>
        <w:t xml:space="preserve"> to maintain or develop the </w:t>
      </w:r>
      <w:r>
        <w:rPr>
          <w:b/>
          <w:bCs/>
        </w:rPr>
        <w:t>network</w:t>
      </w:r>
      <w:r>
        <w:t xml:space="preserve">, at the directly attributable cost incurred by the </w:t>
      </w:r>
      <w:r>
        <w:rPr>
          <w:b/>
          <w:bCs/>
        </w:rPr>
        <w:t xml:space="preserve">related party, </w:t>
      </w:r>
      <w:r>
        <w:t xml:space="preserve">determined in accordance with the cost allocation process and approaches of the </w:t>
      </w:r>
      <w:r>
        <w:rPr>
          <w:b/>
          <w:bCs/>
        </w:rPr>
        <w:t>IM determination</w:t>
      </w:r>
      <w:r>
        <w:rPr>
          <w:bCs/>
        </w:rPr>
        <w:t>,</w:t>
      </w:r>
      <w:r>
        <w:t xml:space="preserve"> plus a </w:t>
      </w:r>
      <w:r>
        <w:rPr>
          <w:b/>
          <w:bCs/>
        </w:rPr>
        <w:t>mark-up</w:t>
      </w:r>
      <w:r>
        <w:t xml:space="preserve"> which does not exceed 17.2%; or</w:t>
      </w:r>
      <w:bookmarkEnd w:id="38"/>
    </w:p>
    <w:p w:rsidR="002E32F1" w:rsidRDefault="002E32F1" w:rsidP="002E32F1">
      <w:pPr>
        <w:pStyle w:val="HeadingH6ClausesubtextL2"/>
        <w:tabs>
          <w:tab w:val="clear" w:pos="1418"/>
        </w:tabs>
        <w:ind w:left="2126" w:hanging="708"/>
        <w:outlineLvl w:val="9"/>
      </w:pPr>
      <w:r>
        <w:t xml:space="preserve">the price paid by the </w:t>
      </w:r>
      <w:r>
        <w:rPr>
          <w:b/>
        </w:rPr>
        <w:t>GTB</w:t>
      </w:r>
      <w:r>
        <w:t>, where–</w:t>
      </w:r>
    </w:p>
    <w:p w:rsidR="002E32F1" w:rsidRDefault="002E32F1" w:rsidP="002E32F1">
      <w:pPr>
        <w:pStyle w:val="HeadingH7ClausesubtextL3"/>
        <w:tabs>
          <w:tab w:val="clear" w:pos="2126"/>
        </w:tabs>
        <w:ind w:left="2552" w:hanging="360"/>
        <w:outlineLvl w:val="9"/>
      </w:pPr>
      <w:r>
        <w:t>at least 50%</w:t>
      </w:r>
      <w:r w:rsidRPr="00A618B3">
        <w:rPr>
          <w:rStyle w:val="CommentReference"/>
        </w:rPr>
        <w:t> </w:t>
      </w:r>
      <w:r>
        <w:t xml:space="preserve"> of the </w:t>
      </w:r>
      <w:r w:rsidRPr="00A618B3">
        <w:rPr>
          <w:b/>
          <w:bCs/>
        </w:rPr>
        <w:t>related party’s</w:t>
      </w:r>
      <w:r>
        <w:t xml:space="preserve"> sales of services, goods, and assets are to third parties, and third parties may purchase the same or similar services, goods, and assets from the </w:t>
      </w:r>
      <w:r w:rsidRPr="00A618B3">
        <w:rPr>
          <w:b/>
          <w:bCs/>
        </w:rPr>
        <w:t>related party</w:t>
      </w:r>
      <w:r>
        <w:t xml:space="preserve"> on substantially the same terms and conditions, including price; or</w:t>
      </w:r>
    </w:p>
    <w:p w:rsidR="002E32F1" w:rsidRDefault="002E32F1" w:rsidP="002E32F1">
      <w:pPr>
        <w:pStyle w:val="HeadingH7ClausesubtextL3"/>
        <w:tabs>
          <w:tab w:val="clear" w:pos="2126"/>
        </w:tabs>
        <w:ind w:left="2552" w:hanging="360"/>
        <w:outlineLvl w:val="9"/>
      </w:pPr>
      <w:r>
        <w:t xml:space="preserve">that price is substantially the same as the price paid for the same or substantially similar services (including any adjustments for inflation using CPI or an appropriate input price index) on substantially the same terms and conditions in the preceding 3 </w:t>
      </w:r>
      <w:r w:rsidRPr="00A618B3">
        <w:rPr>
          <w:b/>
        </w:rPr>
        <w:t>disclosure years</w:t>
      </w:r>
      <w:r>
        <w:t xml:space="preserve"> from a party other than a </w:t>
      </w:r>
      <w:r w:rsidRPr="00A618B3">
        <w:rPr>
          <w:b/>
          <w:bCs/>
        </w:rPr>
        <w:t>related party</w:t>
      </w:r>
      <w:r>
        <w:t>; or</w:t>
      </w:r>
      <w:r w:rsidRPr="00A618B3">
        <w:rPr>
          <w:rStyle w:val="CommentReference"/>
        </w:rPr>
        <w:t> </w:t>
      </w:r>
    </w:p>
    <w:p w:rsidR="002E32F1" w:rsidRDefault="002E32F1" w:rsidP="002E32F1">
      <w:pPr>
        <w:pStyle w:val="HeadingH6ClausesubtextL2"/>
        <w:tabs>
          <w:tab w:val="clear" w:pos="1418"/>
        </w:tabs>
        <w:ind w:left="2126" w:hanging="708"/>
        <w:outlineLvl w:val="9"/>
      </w:pPr>
      <w:r>
        <w:t xml:space="preserve">at the price paid by the </w:t>
      </w:r>
      <w:r>
        <w:rPr>
          <w:b/>
        </w:rPr>
        <w:t>GTB</w:t>
      </w:r>
      <w:r>
        <w:t>, where –</w:t>
      </w:r>
    </w:p>
    <w:p w:rsidR="002E32F1" w:rsidRDefault="002E32F1" w:rsidP="002E32F1">
      <w:pPr>
        <w:pStyle w:val="HeadingH7ClausesubtextL3"/>
        <w:tabs>
          <w:tab w:val="clear" w:pos="2126"/>
        </w:tabs>
        <w:ind w:left="2552" w:hanging="360"/>
        <w:outlineLvl w:val="9"/>
      </w:pPr>
      <w:r>
        <w:t xml:space="preserve">the price paid for all services, goods, and assets acquired from that </w:t>
      </w:r>
      <w:r w:rsidRPr="00750AD7">
        <w:rPr>
          <w:b/>
          <w:bCs/>
        </w:rPr>
        <w:t>related party</w:t>
      </w:r>
      <w:r>
        <w:t xml:space="preserve"> is less than 1% of the </w:t>
      </w:r>
      <w:r>
        <w:rPr>
          <w:b/>
          <w:bCs/>
        </w:rPr>
        <w:t>GT</w:t>
      </w:r>
      <w:r w:rsidRPr="00750AD7">
        <w:rPr>
          <w:b/>
          <w:bCs/>
        </w:rPr>
        <w:t>B</w:t>
      </w:r>
      <w:r>
        <w:t xml:space="preserve">’s total revenue from the </w:t>
      </w:r>
      <w:r w:rsidRPr="00750AD7">
        <w:rPr>
          <w:b/>
          <w:bCs/>
        </w:rPr>
        <w:t>regulated service</w:t>
      </w:r>
      <w:r>
        <w:t xml:space="preserve"> for that year, and</w:t>
      </w:r>
    </w:p>
    <w:p w:rsidR="002E32F1" w:rsidRDefault="002E32F1" w:rsidP="002E32F1">
      <w:pPr>
        <w:pStyle w:val="HeadingH7ClausesubtextL3"/>
        <w:tabs>
          <w:tab w:val="clear" w:pos="2126"/>
        </w:tabs>
        <w:ind w:left="2552" w:hanging="360"/>
        <w:outlineLvl w:val="9"/>
      </w:pPr>
      <w:r>
        <w:t xml:space="preserve">the total price paid for all </w:t>
      </w:r>
      <w:r w:rsidRPr="00750AD7">
        <w:rPr>
          <w:b/>
          <w:bCs/>
        </w:rPr>
        <w:t>related party transactions</w:t>
      </w:r>
      <w:r>
        <w:t xml:space="preserve"> is less than 5% of the </w:t>
      </w:r>
      <w:r>
        <w:rPr>
          <w:b/>
          <w:bCs/>
        </w:rPr>
        <w:t>GT</w:t>
      </w:r>
      <w:r w:rsidRPr="00750AD7">
        <w:rPr>
          <w:b/>
          <w:bCs/>
        </w:rPr>
        <w:t>B</w:t>
      </w:r>
      <w:r>
        <w:t xml:space="preserve">’s total revenue from the </w:t>
      </w:r>
      <w:r w:rsidRPr="00750AD7">
        <w:rPr>
          <w:b/>
          <w:bCs/>
        </w:rPr>
        <w:t>regulated service</w:t>
      </w:r>
      <w:r>
        <w:t>; or</w:t>
      </w:r>
    </w:p>
    <w:p w:rsidR="002E32F1" w:rsidRDefault="002E32F1" w:rsidP="002E32F1">
      <w:pPr>
        <w:pStyle w:val="HeadingH6ClausesubtextL2"/>
        <w:tabs>
          <w:tab w:val="clear" w:pos="1418"/>
        </w:tabs>
        <w:ind w:left="2126" w:hanging="708"/>
        <w:outlineLvl w:val="9"/>
      </w:pPr>
      <w:r>
        <w:t xml:space="preserve">at the price paid by the </w:t>
      </w:r>
      <w:r w:rsidRPr="006602A8">
        <w:rPr>
          <w:b/>
        </w:rPr>
        <w:t>GTB</w:t>
      </w:r>
      <w:r>
        <w:t xml:space="preserve"> to the </w:t>
      </w:r>
      <w:r>
        <w:rPr>
          <w:b/>
        </w:rPr>
        <w:t>related party</w:t>
      </w:r>
      <w:r>
        <w:t xml:space="preserve"> following a competitive tender process, provided that–</w:t>
      </w:r>
    </w:p>
    <w:p w:rsidR="002E32F1" w:rsidRPr="00750AD7" w:rsidRDefault="002E32F1" w:rsidP="002E32F1">
      <w:pPr>
        <w:pStyle w:val="HeadingH7ClausesubtextL3"/>
        <w:tabs>
          <w:tab w:val="clear" w:pos="2126"/>
        </w:tabs>
        <w:ind w:left="2552" w:hanging="360"/>
        <w:outlineLvl w:val="9"/>
      </w:pPr>
      <w:r w:rsidRPr="00750AD7">
        <w:t>the price is no more than 5% higher than the price of the lowest conforming tender received;</w:t>
      </w:r>
    </w:p>
    <w:p w:rsidR="002E32F1" w:rsidRPr="00750AD7" w:rsidRDefault="002E32F1" w:rsidP="002E32F1">
      <w:pPr>
        <w:pStyle w:val="HeadingH7ClausesubtextL3"/>
        <w:tabs>
          <w:tab w:val="clear" w:pos="2126"/>
        </w:tabs>
        <w:ind w:left="2552" w:hanging="360"/>
        <w:outlineLvl w:val="9"/>
      </w:pPr>
      <w:r w:rsidRPr="00750AD7">
        <w:t>all relevant information material to consideration of a proposal was provided to third parties, or made available upon request;</w:t>
      </w:r>
    </w:p>
    <w:p w:rsidR="002E32F1" w:rsidRDefault="002E32F1" w:rsidP="002E32F1">
      <w:pPr>
        <w:pStyle w:val="HeadingH7ClausesubtextL3"/>
        <w:tabs>
          <w:tab w:val="clear" w:pos="2126"/>
        </w:tabs>
        <w:ind w:left="2552" w:hanging="360"/>
        <w:outlineLvl w:val="9"/>
      </w:pPr>
      <w:r w:rsidRPr="00750AD7">
        <w:t>at least one other qualifying proposal was received;</w:t>
      </w:r>
    </w:p>
    <w:p w:rsidR="002E32F1" w:rsidRPr="00750AD7" w:rsidRDefault="002E32F1" w:rsidP="002E32F1">
      <w:pPr>
        <w:pStyle w:val="HeadingH7ClausesubtextL3"/>
        <w:tabs>
          <w:tab w:val="clear" w:pos="2126"/>
        </w:tabs>
        <w:ind w:left="2552" w:hanging="360"/>
        <w:outlineLvl w:val="9"/>
      </w:pPr>
      <w:r>
        <w:t xml:space="preserve">the final agreement for the provision of the services, goods, or assets by the </w:t>
      </w:r>
      <w:r>
        <w:rPr>
          <w:b/>
        </w:rPr>
        <w:t>related party</w:t>
      </w:r>
      <w:r>
        <w:t xml:space="preserve"> does not include any </w:t>
      </w:r>
      <w:r>
        <w:rPr>
          <w:b/>
        </w:rPr>
        <w:t>special contract terms</w:t>
      </w:r>
      <w:r>
        <w:t xml:space="preserve">; </w:t>
      </w:r>
    </w:p>
    <w:p w:rsidR="002E32F1" w:rsidRDefault="002E32F1" w:rsidP="002E32F1">
      <w:pPr>
        <w:pStyle w:val="HeadingH7ClausesubtextL3"/>
        <w:tabs>
          <w:tab w:val="clear" w:pos="2126"/>
        </w:tabs>
        <w:ind w:left="2552" w:hanging="360"/>
        <w:outlineLvl w:val="9"/>
      </w:pPr>
      <w:r w:rsidRPr="00750AD7">
        <w:t xml:space="preserve">the </w:t>
      </w:r>
      <w:r w:rsidRPr="006602A8">
        <w:rPr>
          <w:b/>
        </w:rPr>
        <w:t>GTB</w:t>
      </w:r>
      <w:r w:rsidRPr="00750AD7">
        <w:t xml:space="preserve"> 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t>
      </w:r>
      <w:r w:rsidRPr="000755E1">
        <w:t xml:space="preserve"> </w:t>
      </w:r>
      <w:r>
        <w:t>and</w:t>
      </w:r>
    </w:p>
    <w:p w:rsidR="002E32F1" w:rsidRDefault="002E32F1" w:rsidP="002E32F1">
      <w:pPr>
        <w:pStyle w:val="HeadingH7ClausesubtextL3"/>
        <w:tabs>
          <w:tab w:val="clear" w:pos="2126"/>
        </w:tabs>
        <w:ind w:left="2552" w:hanging="360"/>
        <w:outlineLvl w:val="9"/>
      </w:pPr>
      <w:r>
        <w:t xml:space="preserve">its </w:t>
      </w:r>
      <w:r w:rsidRPr="000755E1">
        <w:rPr>
          <w:b/>
        </w:rPr>
        <w:t>directly attributable</w:t>
      </w:r>
      <w:r>
        <w:t xml:space="preserve"> cost would be as incurred by the group to which the </w:t>
      </w:r>
      <w:r>
        <w:rPr>
          <w:b/>
        </w:rPr>
        <w:t>GT</w:t>
      </w:r>
      <w:r w:rsidRPr="000755E1">
        <w:rPr>
          <w:b/>
        </w:rPr>
        <w:t>B</w:t>
      </w:r>
      <w:r>
        <w:t xml:space="preserve"> and </w:t>
      </w:r>
      <w:r w:rsidRPr="000755E1">
        <w:rPr>
          <w:b/>
        </w:rPr>
        <w:t>related party</w:t>
      </w:r>
      <w:r>
        <w:t xml:space="preserve"> are a part, determined in accordance with GAAP, as the if the consolidate group was the </w:t>
      </w:r>
      <w:r w:rsidRPr="006602A8">
        <w:rPr>
          <w:b/>
        </w:rPr>
        <w:t>GTB</w:t>
      </w:r>
      <w:r>
        <w:t>;</w:t>
      </w:r>
    </w:p>
    <w:p w:rsidR="002E32F1" w:rsidRDefault="002E32F1" w:rsidP="002E32F1">
      <w:pPr>
        <w:pStyle w:val="HeadingH6ClausesubtextL2"/>
        <w:tabs>
          <w:tab w:val="clear" w:pos="1418"/>
        </w:tabs>
        <w:ind w:left="2126" w:hanging="708"/>
        <w:outlineLvl w:val="9"/>
      </w:pPr>
      <w:r>
        <w:t xml:space="preserve">the price paid by the </w:t>
      </w:r>
      <w:r>
        <w:rPr>
          <w:b/>
          <w:bCs/>
        </w:rPr>
        <w:t>GTB</w:t>
      </w:r>
      <w:r>
        <w:t>, provided–</w:t>
      </w:r>
    </w:p>
    <w:p w:rsidR="002E32F1" w:rsidRDefault="002E32F1" w:rsidP="002E32F1">
      <w:pPr>
        <w:pStyle w:val="HeadingH7ClausesubtextL3"/>
        <w:tabs>
          <w:tab w:val="clear" w:pos="2126"/>
        </w:tabs>
        <w:ind w:left="2552" w:hanging="360"/>
        <w:outlineLvl w:val="9"/>
      </w:pPr>
      <w:r>
        <w:t xml:space="preserve">the price cannot otherwise be determined under </w:t>
      </w:r>
      <w:proofErr w:type="spellStart"/>
      <w:r>
        <w:t>subclauses</w:t>
      </w:r>
      <w:proofErr w:type="spellEnd"/>
      <w:r>
        <w:t xml:space="preserve"> (a) to (e), and</w:t>
      </w:r>
    </w:p>
    <w:p w:rsidR="002E32F1" w:rsidRDefault="002E32F1" w:rsidP="002E32F1">
      <w:pPr>
        <w:pStyle w:val="HeadingH7ClausesubtextL3"/>
        <w:tabs>
          <w:tab w:val="clear" w:pos="2126"/>
        </w:tabs>
        <w:ind w:left="2552" w:hanging="360"/>
        <w:outlineLvl w:val="9"/>
      </w:pPr>
      <w:r>
        <w:t xml:space="preserve">no fewer than 2 </w:t>
      </w:r>
      <w:r w:rsidRPr="009B5A6C">
        <w:rPr>
          <w:b/>
          <w:bCs/>
        </w:rPr>
        <w:t>director</w:t>
      </w:r>
      <w:r>
        <w:t xml:space="preserve">s of the </w:t>
      </w:r>
      <w:r>
        <w:rPr>
          <w:b/>
          <w:bCs/>
        </w:rPr>
        <w:t>GT</w:t>
      </w:r>
      <w:r w:rsidRPr="009B5A6C">
        <w:rPr>
          <w:b/>
          <w:bCs/>
        </w:rPr>
        <w:t>B</w:t>
      </w:r>
      <w:r>
        <w:t xml:space="preserve"> provide a written certification that they are satisfied that the price or prices paid for all services, goods, or assets determined in accordance with this paragraph reflect the price or prices that would be received in an arm’s-length transaction; or</w:t>
      </w:r>
    </w:p>
    <w:p w:rsidR="002E32F1" w:rsidRDefault="002E32F1" w:rsidP="002E32F1">
      <w:pPr>
        <w:pStyle w:val="HeadingH6ClausesubtextL2"/>
        <w:tabs>
          <w:tab w:val="clear" w:pos="1418"/>
        </w:tabs>
        <w:ind w:left="2126" w:hanging="708"/>
        <w:outlineLvl w:val="9"/>
      </w:pPr>
      <w:proofErr w:type="gramStart"/>
      <w:r>
        <w:t>nil</w:t>
      </w:r>
      <w:proofErr w:type="gramEnd"/>
      <w:r>
        <w:t>.</w:t>
      </w:r>
    </w:p>
    <w:p w:rsidR="002E32F1" w:rsidRDefault="002E32F1" w:rsidP="002E32F1">
      <w:pPr>
        <w:pStyle w:val="HeadingH4Clausetext"/>
        <w:tabs>
          <w:tab w:val="clear" w:pos="4679"/>
        </w:tabs>
        <w:outlineLvl w:val="9"/>
      </w:pPr>
      <w:bookmarkStart w:id="39" w:name="_Ref329270392"/>
      <w:r>
        <w:t xml:space="preserve">For the purpose of clause 2.3.1 above, the price received for any sale or supply of services, goods, or assets to a </w:t>
      </w:r>
      <w:r>
        <w:rPr>
          <w:b/>
          <w:bCs/>
        </w:rPr>
        <w:t>related party</w:t>
      </w:r>
      <w:r>
        <w:t>, must be one of the following:</w:t>
      </w:r>
      <w:bookmarkEnd w:id="39"/>
    </w:p>
    <w:p w:rsidR="002E32F1" w:rsidRDefault="002E32F1" w:rsidP="002E32F1">
      <w:pPr>
        <w:pStyle w:val="HeadingH5ClausesubtextL1"/>
        <w:outlineLvl w:val="9"/>
      </w:pPr>
      <w:r>
        <w:t xml:space="preserve">if the </w:t>
      </w:r>
      <w:r>
        <w:rPr>
          <w:b/>
          <w:bCs/>
        </w:rPr>
        <w:t>related party</w:t>
      </w:r>
      <w:r>
        <w:t xml:space="preserve"> is another </w:t>
      </w:r>
      <w:r>
        <w:rPr>
          <w:b/>
          <w:bCs/>
        </w:rPr>
        <w:t>GTB</w:t>
      </w:r>
      <w:r w:rsidRPr="0015446F">
        <w:rPr>
          <w:bCs/>
        </w:rPr>
        <w:t>,</w:t>
      </w:r>
      <w:r w:rsidRPr="0015446F">
        <w:t xml:space="preserve"> </w:t>
      </w:r>
      <w:r>
        <w:t xml:space="preserve">an </w:t>
      </w:r>
      <w:r w:rsidRPr="006602A8">
        <w:rPr>
          <w:b/>
        </w:rPr>
        <w:t>E</w:t>
      </w:r>
      <w:r>
        <w:rPr>
          <w:b/>
          <w:bCs/>
        </w:rPr>
        <w:t>DB</w:t>
      </w:r>
      <w:r>
        <w:rPr>
          <w:bCs/>
        </w:rPr>
        <w:t>,</w:t>
      </w:r>
      <w:r>
        <w:t xml:space="preserve"> or </w:t>
      </w:r>
      <w:r>
        <w:rPr>
          <w:b/>
          <w:bCs/>
        </w:rPr>
        <w:t>GDB</w:t>
      </w:r>
      <w:r>
        <w:t xml:space="preserve"> required to publicly disclose the price paid or cost incurred in accordance with another </w:t>
      </w:r>
      <w:r w:rsidRPr="006602A8">
        <w:rPr>
          <w:b/>
        </w:rPr>
        <w:t xml:space="preserve">Commission </w:t>
      </w:r>
      <w:r>
        <w:t xml:space="preserve">determination, then the price received must be that disclosed by the </w:t>
      </w:r>
      <w:r>
        <w:rPr>
          <w:b/>
          <w:bCs/>
        </w:rPr>
        <w:t>related party</w:t>
      </w:r>
      <w:r>
        <w:t>; or</w:t>
      </w:r>
    </w:p>
    <w:p w:rsidR="002E32F1" w:rsidRDefault="002E32F1" w:rsidP="002E32F1">
      <w:pPr>
        <w:pStyle w:val="HeadingH5ClausesubtextL1"/>
        <w:outlineLvl w:val="9"/>
      </w:pPr>
      <w:r>
        <w:t xml:space="preserve">if the price received cannot be determined under </w:t>
      </w:r>
      <w:proofErr w:type="spellStart"/>
      <w:r>
        <w:t>subclause</w:t>
      </w:r>
      <w:proofErr w:type="spellEnd"/>
      <w:r>
        <w:t xml:space="preserve"> (1), then:</w:t>
      </w:r>
    </w:p>
    <w:p w:rsidR="002E32F1" w:rsidRDefault="002E32F1" w:rsidP="002E32F1">
      <w:pPr>
        <w:pStyle w:val="HeadingH6ClausesubtextL2"/>
        <w:tabs>
          <w:tab w:val="clear" w:pos="1418"/>
        </w:tabs>
        <w:ind w:left="2126" w:hanging="708"/>
        <w:outlineLvl w:val="9"/>
      </w:pPr>
      <w:r>
        <w:t xml:space="preserve">at the price received from the </w:t>
      </w:r>
      <w:r w:rsidRPr="009B5A6C">
        <w:rPr>
          <w:b/>
        </w:rPr>
        <w:t>related party</w:t>
      </w:r>
      <w:r>
        <w:t xml:space="preserve">, where the </w:t>
      </w:r>
      <w:r>
        <w:rPr>
          <w:b/>
          <w:bCs/>
        </w:rPr>
        <w:t xml:space="preserve">GTB </w:t>
      </w:r>
      <w:r>
        <w:t xml:space="preserve">makes at least 50% </w:t>
      </w:r>
      <w:r>
        <w:rPr>
          <w:rStyle w:val="CommentReference"/>
        </w:rPr>
        <w:t> </w:t>
      </w:r>
      <w:r>
        <w:t xml:space="preserve">of its revenue from the provision of similar services to unrelated parties, and the price charged by the </w:t>
      </w:r>
      <w:r>
        <w:rPr>
          <w:b/>
          <w:bCs/>
        </w:rPr>
        <w:t>GTB</w:t>
      </w:r>
      <w:r>
        <w:t xml:space="preserve"> to the </w:t>
      </w:r>
      <w:r>
        <w:rPr>
          <w:b/>
          <w:bCs/>
        </w:rPr>
        <w:t>related party</w:t>
      </w:r>
      <w:r>
        <w:t xml:space="preserve"> is substantially the same as the price charged to third parties for similar services, goods, or assets on substantially the same terms and conditions; or</w:t>
      </w:r>
    </w:p>
    <w:p w:rsidR="002E32F1" w:rsidRDefault="002E32F1" w:rsidP="002E32F1">
      <w:pPr>
        <w:pStyle w:val="HeadingH6ClausesubtextL2"/>
        <w:tabs>
          <w:tab w:val="clear" w:pos="1418"/>
        </w:tabs>
        <w:ind w:left="2126" w:hanging="708"/>
        <w:outlineLvl w:val="9"/>
      </w:pPr>
      <w:r>
        <w:t xml:space="preserve">at the price received from the </w:t>
      </w:r>
      <w:r>
        <w:rPr>
          <w:b/>
        </w:rPr>
        <w:t>related party</w:t>
      </w:r>
      <w:r>
        <w:t xml:space="preserve">, provided that no fewer than 2 directors of the </w:t>
      </w:r>
      <w:r>
        <w:rPr>
          <w:b/>
          <w:bCs/>
        </w:rPr>
        <w:t>GTB</w:t>
      </w:r>
      <w:r>
        <w:t xml:space="preserve">'s </w:t>
      </w:r>
      <w:r>
        <w:rPr>
          <w:bCs/>
        </w:rPr>
        <w:t xml:space="preserve">provide a written certification that they are satisfied that the prices received for all services, goods, or assets provided to </w:t>
      </w:r>
      <w:r>
        <w:rPr>
          <w:b/>
          <w:bCs/>
        </w:rPr>
        <w:t>related parties</w:t>
      </w:r>
      <w:r>
        <w:rPr>
          <w:bCs/>
        </w:rPr>
        <w:t xml:space="preserve"> reflect the price or prices that would</w:t>
      </w:r>
      <w:r>
        <w:t xml:space="preserve"> be received in an arm’s length transaction; or</w:t>
      </w:r>
    </w:p>
    <w:p w:rsidR="002E32F1" w:rsidRDefault="002E32F1" w:rsidP="002E32F1">
      <w:pPr>
        <w:pStyle w:val="HeadingH6ClausesubtextL2"/>
        <w:tabs>
          <w:tab w:val="clear" w:pos="1418"/>
        </w:tabs>
        <w:ind w:left="2126" w:hanging="708"/>
        <w:outlineLvl w:val="9"/>
      </w:pPr>
      <w:proofErr w:type="gramStart"/>
      <w:r>
        <w:t>at</w:t>
      </w:r>
      <w:proofErr w:type="gramEnd"/>
      <w:r>
        <w:t xml:space="preserve"> the cost incurred by the </w:t>
      </w:r>
      <w:r>
        <w:rPr>
          <w:b/>
          <w:bCs/>
        </w:rPr>
        <w:t>GTB</w:t>
      </w:r>
      <w:r>
        <w:t xml:space="preserve"> in providing the service, good, or asset.</w:t>
      </w:r>
    </w:p>
    <w:bookmarkEnd w:id="37"/>
    <w:p w:rsidR="00E03EC7" w:rsidRPr="0039153F" w:rsidRDefault="00E03EC7" w:rsidP="00E03EC7">
      <w:pPr>
        <w:pStyle w:val="Heading3"/>
        <w:spacing w:line="264" w:lineRule="auto"/>
      </w:pPr>
      <w:r>
        <w:t>Information on capital expenditure projects</w:t>
      </w:r>
    </w:p>
    <w:p w:rsidR="00F40DAE" w:rsidRDefault="00E03EC7">
      <w:pPr>
        <w:pStyle w:val="HeadingH4Clausetext"/>
        <w:tabs>
          <w:tab w:val="clear" w:pos="4679"/>
          <w:tab w:val="num" w:pos="709"/>
        </w:tabs>
      </w:pPr>
      <w:bookmarkStart w:id="40" w:name="_Ref329270394"/>
      <w:r w:rsidRPr="002F2828">
        <w:t>Subject to section</w:t>
      </w:r>
      <w:r w:rsidR="00EA2B52">
        <w:t xml:space="preserve"> </w:t>
      </w:r>
      <w:r w:rsidR="0033518E">
        <w:fldChar w:fldCharType="begin"/>
      </w:r>
      <w:r w:rsidR="00EA2B52">
        <w:instrText xml:space="preserve"> REF _Ref329176011 \r \h </w:instrText>
      </w:r>
      <w:r w:rsidR="0033518E">
        <w:fldChar w:fldCharType="separate"/>
      </w:r>
      <w:r w:rsidR="00B06C04">
        <w:t>2.12</w:t>
      </w:r>
      <w:r w:rsidR="0033518E">
        <w:fldChar w:fldCharType="end"/>
      </w:r>
      <w:r w:rsidRPr="002F2828">
        <w:t xml:space="preserve">, in completing </w:t>
      </w:r>
      <w:r>
        <w:t xml:space="preserve">the Report on Capital Expenditure for the Disclosure Year in </w:t>
      </w:r>
      <w:r w:rsidRPr="002F2828">
        <w:t>Schedule 6</w:t>
      </w:r>
      <w:r w:rsidRPr="006441E4">
        <w:t xml:space="preserve">, </w:t>
      </w:r>
      <w:r w:rsidR="00F86836" w:rsidRPr="00F86836">
        <w:rPr>
          <w:b/>
        </w:rPr>
        <w:t>GTBs</w:t>
      </w:r>
      <w:r>
        <w:t xml:space="preserve"> must disclose the following information in relation to </w:t>
      </w:r>
      <w:r>
        <w:rPr>
          <w:b/>
        </w:rPr>
        <w:t>material projects and programmes</w:t>
      </w:r>
      <w:r w:rsidRPr="006441E4">
        <w:t>:</w:t>
      </w:r>
      <w:bookmarkEnd w:id="40"/>
    </w:p>
    <w:p w:rsidR="00EA2B52" w:rsidRDefault="00EA2B52" w:rsidP="00E03EC7">
      <w:pPr>
        <w:pStyle w:val="HeadingH5ClausesubtextL1"/>
      </w:pPr>
      <w:r>
        <w:t>S</w:t>
      </w:r>
      <w:r w:rsidRPr="00B03DE7">
        <w:t xml:space="preserve">eparately disclose </w:t>
      </w:r>
      <w:r w:rsidRPr="00934B49">
        <w:rPr>
          <w:b/>
        </w:rPr>
        <w:t>customer</w:t>
      </w:r>
      <w:r>
        <w:t xml:space="preserve"> </w:t>
      </w:r>
      <w:r w:rsidRPr="00934B49">
        <w:rPr>
          <w:b/>
        </w:rPr>
        <w:t xml:space="preserve">connection </w:t>
      </w:r>
      <w:r w:rsidRPr="00934B49">
        <w:t>expenditure</w:t>
      </w:r>
      <w:r>
        <w:t xml:space="preserve"> for each customer type defined by the </w:t>
      </w:r>
      <w:r>
        <w:rPr>
          <w:b/>
        </w:rPr>
        <w:t>GT</w:t>
      </w:r>
      <w:r w:rsidRPr="003C4E6B">
        <w:rPr>
          <w:b/>
        </w:rPr>
        <w:t>B</w:t>
      </w:r>
      <w:r>
        <w:t xml:space="preserve"> in 6(iii</w:t>
      </w:r>
      <w:r w:rsidRPr="00B03DE7">
        <w:t>) of Schedule 6</w:t>
      </w:r>
    </w:p>
    <w:p w:rsidR="00E92278" w:rsidRDefault="00E92278" w:rsidP="00E03EC7">
      <w:pPr>
        <w:pStyle w:val="HeadingH5ClausesubtextL1"/>
      </w:pPr>
      <w:r>
        <w:t xml:space="preserve">For each material </w:t>
      </w:r>
      <w:r>
        <w:rPr>
          <w:b/>
        </w:rPr>
        <w:t>asset relocation</w:t>
      </w:r>
      <w:r>
        <w:t xml:space="preserve"> project in Schedule 6: </w:t>
      </w:r>
    </w:p>
    <w:p w:rsidR="00F40DAE" w:rsidRDefault="00EA2B52">
      <w:pPr>
        <w:pStyle w:val="HeadingH6ClausesubtextL2"/>
      </w:pPr>
      <w:r>
        <w:t>s</w:t>
      </w:r>
      <w:r w:rsidR="00E92278">
        <w:t xml:space="preserve">eparately disclose a </w:t>
      </w:r>
      <w:r>
        <w:t xml:space="preserve">brief </w:t>
      </w:r>
      <w:r w:rsidR="00E92278">
        <w:t>description of the project and its value in 6(v) of Schedule 6;</w:t>
      </w:r>
    </w:p>
    <w:p w:rsidR="00F40DAE" w:rsidRDefault="00EA2B52">
      <w:pPr>
        <w:pStyle w:val="HeadingH6ClausesubtextL2"/>
      </w:pPr>
      <w:proofErr w:type="gramStart"/>
      <w:r>
        <w:t>p</w:t>
      </w:r>
      <w:r w:rsidR="0072051D">
        <w:t>rovide</w:t>
      </w:r>
      <w:proofErr w:type="gramEnd"/>
      <w:r w:rsidR="0072051D">
        <w:t xml:space="preserve"> </w:t>
      </w:r>
      <w:r>
        <w:t xml:space="preserve">any </w:t>
      </w:r>
      <w:r w:rsidR="0072051D">
        <w:t xml:space="preserve">additional commentary, </w:t>
      </w:r>
      <w:r w:rsidR="00E92278">
        <w:t>includ</w:t>
      </w:r>
      <w:r w:rsidR="0072051D">
        <w:t>ing</w:t>
      </w:r>
      <w:r w:rsidR="00E92278">
        <w:t xml:space="preserve"> the purpose of the project and a description of the assets relocated</w:t>
      </w:r>
      <w:r w:rsidR="0072051D">
        <w:t xml:space="preserve"> in Schedule 14 (Mandatory Explanatory Notes)</w:t>
      </w:r>
      <w:r w:rsidR="00E92278">
        <w:t>.</w:t>
      </w:r>
    </w:p>
    <w:p w:rsidR="00E03EC7" w:rsidRDefault="00E03EC7" w:rsidP="00E03EC7">
      <w:pPr>
        <w:pStyle w:val="HeadingH5ClausesubtextL1"/>
      </w:pPr>
      <w:r w:rsidRPr="006441E4">
        <w:t xml:space="preserve">For </w:t>
      </w:r>
      <w:r w:rsidRPr="00A65FDA">
        <w:t>each</w:t>
      </w:r>
      <w:r w:rsidRPr="006441E4">
        <w:t xml:space="preserve"> material </w:t>
      </w:r>
      <w:r w:rsidRPr="006441E4">
        <w:rPr>
          <w:b/>
        </w:rPr>
        <w:t>quality of supply</w:t>
      </w:r>
      <w:r w:rsidRPr="006441E4">
        <w:t xml:space="preserve"> project</w:t>
      </w:r>
      <w:r w:rsidR="00755AB5">
        <w:t xml:space="preserve"> in Schedule 6</w:t>
      </w:r>
      <w:r w:rsidRPr="006441E4">
        <w:t>:</w:t>
      </w:r>
    </w:p>
    <w:p w:rsidR="00E03EC7" w:rsidRDefault="00E03EC7" w:rsidP="00E03EC7">
      <w:pPr>
        <w:pStyle w:val="HeadingH6ClausesubtextL2"/>
      </w:pPr>
      <w:r w:rsidRPr="006441E4">
        <w:t xml:space="preserve">separately disclose a </w:t>
      </w:r>
      <w:r w:rsidR="00EA2B52">
        <w:t xml:space="preserve">brief </w:t>
      </w:r>
      <w:r w:rsidRPr="006441E4">
        <w:t xml:space="preserve">description of the project and its value in </w:t>
      </w:r>
      <w:r w:rsidR="00E92278">
        <w:t>6(v</w:t>
      </w:r>
      <w:r w:rsidRPr="006441E4">
        <w:t xml:space="preserve">i) </w:t>
      </w:r>
      <w:r w:rsidR="00E92278">
        <w:t xml:space="preserve">of </w:t>
      </w:r>
      <w:r w:rsidRPr="006441E4">
        <w:t>Schedule 6</w:t>
      </w:r>
      <w:r w:rsidR="00EA2B52">
        <w:t>;</w:t>
      </w:r>
    </w:p>
    <w:p w:rsidR="00E03EC7" w:rsidRDefault="0072051D" w:rsidP="00E03EC7">
      <w:pPr>
        <w:pStyle w:val="HeadingH6ClausesubtextL2"/>
      </w:pPr>
      <w:r>
        <w:t xml:space="preserve">provide </w:t>
      </w:r>
      <w:r w:rsidR="00EA2B52">
        <w:t xml:space="preserve">any </w:t>
      </w:r>
      <w:r>
        <w:t xml:space="preserve">additional commentary, including </w:t>
      </w:r>
      <w:r w:rsidR="00E03EC7" w:rsidRPr="006441E4">
        <w:t xml:space="preserve">the purpose of the project and a description of the assets </w:t>
      </w:r>
      <w:r w:rsidR="00EA2B52">
        <w:t>affected</w:t>
      </w:r>
      <w:r w:rsidR="00E03EC7" w:rsidRPr="006441E4">
        <w:t xml:space="preserve"> for each project </w:t>
      </w:r>
      <w:r>
        <w:t>in Schedule 14 (Mandatory Explanatory Notes)</w:t>
      </w:r>
      <w:r w:rsidR="00EA2B52">
        <w:t>;</w:t>
      </w:r>
    </w:p>
    <w:p w:rsidR="00E03EC7" w:rsidRDefault="00E03EC7" w:rsidP="00E03EC7">
      <w:pPr>
        <w:pStyle w:val="HeadingH5ClausesubtextL1"/>
      </w:pPr>
      <w:r w:rsidRPr="006441E4">
        <w:t xml:space="preserve">For each material </w:t>
      </w:r>
      <w:r w:rsidRPr="006441E4">
        <w:rPr>
          <w:b/>
        </w:rPr>
        <w:t>legislative and regulatory</w:t>
      </w:r>
      <w:r w:rsidRPr="006441E4">
        <w:t xml:space="preserve"> project</w:t>
      </w:r>
      <w:r w:rsidR="00755AB5" w:rsidRPr="00755AB5">
        <w:t xml:space="preserve"> </w:t>
      </w:r>
      <w:r w:rsidR="00755AB5">
        <w:t>in Schedule 6</w:t>
      </w:r>
      <w:r w:rsidRPr="006441E4">
        <w:t>:</w:t>
      </w:r>
    </w:p>
    <w:p w:rsidR="00E03EC7" w:rsidRDefault="00E03EC7" w:rsidP="00E03EC7">
      <w:pPr>
        <w:pStyle w:val="HeadingH6ClausesubtextL2"/>
      </w:pPr>
      <w:r w:rsidRPr="006441E4">
        <w:t xml:space="preserve">separately disclose a </w:t>
      </w:r>
      <w:r w:rsidR="00EA2B52">
        <w:t xml:space="preserve">brief </w:t>
      </w:r>
      <w:r w:rsidRPr="006441E4">
        <w:t xml:space="preserve">description of the </w:t>
      </w:r>
      <w:r w:rsidR="00EA2B52" w:rsidRPr="00604256">
        <w:rPr>
          <w:b/>
        </w:rPr>
        <w:t xml:space="preserve">legislative </w:t>
      </w:r>
      <w:r w:rsidR="00EA2B52">
        <w:rPr>
          <w:b/>
        </w:rPr>
        <w:t>and</w:t>
      </w:r>
      <w:r w:rsidR="00EA2B52" w:rsidRPr="00604256">
        <w:rPr>
          <w:b/>
        </w:rPr>
        <w:t xml:space="preserve"> regulatory</w:t>
      </w:r>
      <w:r w:rsidR="00EA2B52" w:rsidRPr="00604256">
        <w:t xml:space="preserve"> requirement and </w:t>
      </w:r>
      <w:r w:rsidR="00EA2B52">
        <w:t>the</w:t>
      </w:r>
      <w:r w:rsidR="00EA2B52" w:rsidRPr="00604256">
        <w:t xml:space="preserve"> value </w:t>
      </w:r>
      <w:r w:rsidR="00EA2B52">
        <w:t xml:space="preserve">of the </w:t>
      </w:r>
      <w:r w:rsidR="00755AB5">
        <w:t>project in 6</w:t>
      </w:r>
      <w:r w:rsidRPr="006441E4">
        <w:t>(v</w:t>
      </w:r>
      <w:r w:rsidR="00755AB5">
        <w:t>ii</w:t>
      </w:r>
      <w:r w:rsidRPr="006441E4">
        <w:t xml:space="preserve">) </w:t>
      </w:r>
      <w:r w:rsidR="00755AB5">
        <w:t xml:space="preserve">of </w:t>
      </w:r>
      <w:r w:rsidRPr="006441E4">
        <w:t>Schedule 6</w:t>
      </w:r>
    </w:p>
    <w:p w:rsidR="00EA2B52" w:rsidRDefault="00EA2B52" w:rsidP="00EA2B52">
      <w:pPr>
        <w:pStyle w:val="HeadingH6ClausesubtextL2"/>
        <w:tabs>
          <w:tab w:val="clear" w:pos="1418"/>
        </w:tabs>
        <w:ind w:left="2126" w:hanging="708"/>
      </w:pPr>
      <w:r>
        <w:t xml:space="preserve">provide any additional commentary, including </w:t>
      </w:r>
      <w:r w:rsidRPr="002F2828">
        <w:t xml:space="preserve">the </w:t>
      </w:r>
      <w:r w:rsidRPr="00604256">
        <w:t>purpose of the project</w:t>
      </w:r>
      <w:r>
        <w:t>s</w:t>
      </w:r>
      <w:r w:rsidRPr="00604256">
        <w:t xml:space="preserve"> </w:t>
      </w:r>
      <w:r>
        <w:t xml:space="preserve">and </w:t>
      </w:r>
      <w:r w:rsidRPr="00604256">
        <w:t xml:space="preserve">a description of the assets </w:t>
      </w:r>
      <w:r>
        <w:t>affected for each project in Schedule 14 (Mandatory Explanatory Notes)</w:t>
      </w:r>
      <w:r w:rsidRPr="00604256">
        <w:t>;</w:t>
      </w:r>
    </w:p>
    <w:p w:rsidR="00755AB5" w:rsidRDefault="00755AB5" w:rsidP="00755AB5">
      <w:pPr>
        <w:pStyle w:val="HeadingH5ClausesubtextL1"/>
      </w:pPr>
      <w:r w:rsidRPr="006441E4">
        <w:t xml:space="preserve">For each </w:t>
      </w:r>
      <w:r w:rsidRPr="00A65FDA">
        <w:t>material</w:t>
      </w:r>
      <w:r w:rsidRPr="006441E4">
        <w:t xml:space="preserve"> </w:t>
      </w:r>
      <w:r>
        <w:rPr>
          <w:b/>
        </w:rPr>
        <w:t xml:space="preserve">other reliability, safety and environment </w:t>
      </w:r>
      <w:r w:rsidRPr="006441E4">
        <w:t>project</w:t>
      </w:r>
      <w:r w:rsidRPr="00755AB5">
        <w:t xml:space="preserve"> </w:t>
      </w:r>
      <w:r>
        <w:t>in Schedule 6</w:t>
      </w:r>
      <w:r w:rsidRPr="006441E4">
        <w:t>:</w:t>
      </w:r>
    </w:p>
    <w:p w:rsidR="00755AB5" w:rsidRDefault="00755AB5" w:rsidP="00755AB5">
      <w:pPr>
        <w:pStyle w:val="HeadingH6ClausesubtextL2"/>
      </w:pPr>
      <w:r w:rsidRPr="006441E4">
        <w:t>separately disclose a</w:t>
      </w:r>
      <w:r w:rsidR="00EA2B52">
        <w:t xml:space="preserve"> brief</w:t>
      </w:r>
      <w:r w:rsidRPr="006441E4">
        <w:t xml:space="preserve"> description of t</w:t>
      </w:r>
      <w:r>
        <w:t xml:space="preserve">he project and its value in </w:t>
      </w:r>
      <w:r w:rsidRPr="006441E4">
        <w:t>6</w:t>
      </w:r>
      <w:r>
        <w:t>(viii</w:t>
      </w:r>
      <w:r w:rsidRPr="006441E4">
        <w:t xml:space="preserve">) </w:t>
      </w:r>
      <w:r>
        <w:t>of</w:t>
      </w:r>
      <w:r w:rsidRPr="006441E4">
        <w:t xml:space="preserve"> Schedule 6</w:t>
      </w:r>
    </w:p>
    <w:p w:rsidR="00755AB5" w:rsidRDefault="0072051D" w:rsidP="00755AB5">
      <w:pPr>
        <w:pStyle w:val="HeadingH6ClausesubtextL2"/>
      </w:pPr>
      <w:r>
        <w:t xml:space="preserve">provide </w:t>
      </w:r>
      <w:r w:rsidR="00EA2B52">
        <w:t xml:space="preserve">any </w:t>
      </w:r>
      <w:r>
        <w:t xml:space="preserve">additional commentary, including </w:t>
      </w:r>
      <w:r w:rsidR="00755AB5" w:rsidRPr="006441E4">
        <w:t xml:space="preserve">the purpose of the project and a description of the assets </w:t>
      </w:r>
      <w:r w:rsidR="00EA2B52">
        <w:t>affected</w:t>
      </w:r>
      <w:r w:rsidR="00755AB5" w:rsidRPr="006441E4">
        <w:t xml:space="preserve"> for each project </w:t>
      </w:r>
      <w:r>
        <w:t>in Schedule 14 (Mandatory Explanatory Notes)</w:t>
      </w:r>
    </w:p>
    <w:p w:rsidR="00E03EC7" w:rsidRDefault="00E03EC7" w:rsidP="00E03EC7">
      <w:pPr>
        <w:pStyle w:val="HeadingH5ClausesubtextL1"/>
      </w:pPr>
      <w:r w:rsidRPr="006441E4">
        <w:t xml:space="preserve">For each </w:t>
      </w:r>
      <w:r w:rsidRPr="00A65FDA">
        <w:t>material</w:t>
      </w:r>
      <w:r w:rsidRPr="006441E4">
        <w:t xml:space="preserve"> </w:t>
      </w:r>
      <w:r w:rsidR="00755AB5">
        <w:rPr>
          <w:b/>
        </w:rPr>
        <w:t xml:space="preserve">non-network </w:t>
      </w:r>
      <w:proofErr w:type="spellStart"/>
      <w:r w:rsidR="00755AB5">
        <w:rPr>
          <w:b/>
        </w:rPr>
        <w:t>capex</w:t>
      </w:r>
      <w:proofErr w:type="spellEnd"/>
      <w:r w:rsidRPr="006441E4">
        <w:t xml:space="preserve"> project</w:t>
      </w:r>
      <w:r w:rsidR="00755AB5" w:rsidRPr="00755AB5">
        <w:t xml:space="preserve"> </w:t>
      </w:r>
      <w:r w:rsidR="00755AB5">
        <w:t>in Schedule 6</w:t>
      </w:r>
      <w:r w:rsidRPr="006441E4">
        <w:t>:</w:t>
      </w:r>
    </w:p>
    <w:p w:rsidR="00E03EC7" w:rsidRDefault="00E03EC7" w:rsidP="00E03EC7">
      <w:pPr>
        <w:pStyle w:val="HeadingH6ClausesubtextL2"/>
      </w:pPr>
      <w:r w:rsidRPr="006441E4">
        <w:t xml:space="preserve">separately disclose a </w:t>
      </w:r>
      <w:r w:rsidR="00EA2B52">
        <w:t xml:space="preserve">brief </w:t>
      </w:r>
      <w:r w:rsidRPr="006441E4">
        <w:t>description of t</w:t>
      </w:r>
      <w:r w:rsidR="00755AB5">
        <w:t xml:space="preserve">he project and its value in </w:t>
      </w:r>
      <w:r w:rsidRPr="006441E4">
        <w:t>6</w:t>
      </w:r>
      <w:r w:rsidR="00755AB5">
        <w:t>(ix</w:t>
      </w:r>
      <w:r w:rsidRPr="006441E4">
        <w:t xml:space="preserve">) </w:t>
      </w:r>
      <w:r w:rsidR="00755AB5">
        <w:t>of</w:t>
      </w:r>
      <w:r w:rsidRPr="006441E4">
        <w:t xml:space="preserve"> Schedule 6</w:t>
      </w:r>
    </w:p>
    <w:p w:rsidR="00755AB5" w:rsidRDefault="0072051D" w:rsidP="00755AB5">
      <w:pPr>
        <w:pStyle w:val="HeadingH6ClausesubtextL2"/>
      </w:pPr>
      <w:r>
        <w:t xml:space="preserve">provide </w:t>
      </w:r>
      <w:r w:rsidR="00EA2B52">
        <w:t xml:space="preserve">any </w:t>
      </w:r>
      <w:r>
        <w:t xml:space="preserve">additional commentary, including </w:t>
      </w:r>
      <w:r w:rsidR="00755AB5" w:rsidRPr="006441E4">
        <w:t xml:space="preserve">the purpose of the project and a description of the assets </w:t>
      </w:r>
      <w:r w:rsidR="00EA2B52">
        <w:t xml:space="preserve">affected </w:t>
      </w:r>
      <w:r w:rsidR="00755AB5" w:rsidRPr="006441E4">
        <w:t xml:space="preserve">for each project </w:t>
      </w:r>
      <w:r>
        <w:t>in Schedule 14 (Mandatory Explanatory Notes)</w:t>
      </w:r>
    </w:p>
    <w:p w:rsidR="00817B2E" w:rsidRDefault="00817B2E">
      <w:r>
        <w:br w:type="page"/>
      </w:r>
    </w:p>
    <w:p w:rsidR="00E03EC7" w:rsidRPr="006441E4" w:rsidRDefault="00E03EC7" w:rsidP="00E03EC7">
      <w:pPr>
        <w:pStyle w:val="HeadingH4Clausetext"/>
        <w:sectPr w:rsidR="00E03EC7" w:rsidRPr="006441E4" w:rsidSect="000A7887">
          <w:type w:val="continuous"/>
          <w:pgSz w:w="11907" w:h="16840" w:code="9"/>
          <w:pgMar w:top="1440" w:right="1440" w:bottom="1440" w:left="1440" w:header="1134" w:footer="431" w:gutter="0"/>
          <w:cols w:space="720"/>
          <w:titlePg/>
        </w:sectPr>
      </w:pPr>
    </w:p>
    <w:p w:rsidR="00F40DAE" w:rsidRDefault="00870D08">
      <w:pPr>
        <w:pStyle w:val="HeadingH3SectionHeading"/>
      </w:pPr>
      <w:bookmarkStart w:id="41" w:name="_Ref329061372"/>
      <w:bookmarkStart w:id="42" w:name="_Ref329265874"/>
      <w:bookmarkStart w:id="43" w:name="_Toc329296360"/>
      <w:r w:rsidRPr="006441E4">
        <w:t xml:space="preserve">PRICING </w:t>
      </w:r>
      <w:r w:rsidR="00C63A0B" w:rsidRPr="006441E4">
        <w:t xml:space="preserve">And related </w:t>
      </w:r>
      <w:r w:rsidRPr="006441E4">
        <w:t>INFORMATION</w:t>
      </w:r>
      <w:bookmarkEnd w:id="41"/>
      <w:bookmarkEnd w:id="42"/>
      <w:bookmarkEnd w:id="43"/>
    </w:p>
    <w:p w:rsidR="003F2A68" w:rsidRPr="006441E4" w:rsidRDefault="003F2A68" w:rsidP="002B1F59">
      <w:pPr>
        <w:pStyle w:val="Heading3"/>
        <w:spacing w:line="264" w:lineRule="auto"/>
      </w:pPr>
      <w:r w:rsidRPr="006441E4">
        <w:t>Disclosure of pricing methodologies</w:t>
      </w:r>
    </w:p>
    <w:p w:rsidR="00F40DAE" w:rsidRDefault="003F2A68">
      <w:pPr>
        <w:pStyle w:val="HeadingH4Clausetext"/>
      </w:pPr>
      <w:bookmarkStart w:id="44" w:name="r1999_082_s_23_ss_0"/>
      <w:bookmarkStart w:id="45" w:name="_Ref312319460"/>
      <w:bookmarkStart w:id="46" w:name="_Ref329179134"/>
      <w:bookmarkEnd w:id="44"/>
      <w:r w:rsidRPr="006441E4">
        <w:t xml:space="preserve">Every </w:t>
      </w:r>
      <w:r w:rsidRPr="006441E4">
        <w:rPr>
          <w:b/>
        </w:rPr>
        <w:t>GTB</w:t>
      </w:r>
      <w:r w:rsidRPr="006441E4">
        <w:t xml:space="preserve"> must </w:t>
      </w:r>
      <w:r w:rsidRPr="006441E4">
        <w:rPr>
          <w:b/>
        </w:rPr>
        <w:t>publicly disclose</w:t>
      </w:r>
      <w:r w:rsidRPr="006441E4">
        <w:t xml:space="preserve">, </w:t>
      </w:r>
      <w:r w:rsidR="002600F2">
        <w:t xml:space="preserve">before the start </w:t>
      </w:r>
      <w:r w:rsidRPr="006441E4">
        <w:t xml:space="preserve"> of each </w:t>
      </w:r>
      <w:r w:rsidRPr="006441E4">
        <w:rPr>
          <w:b/>
        </w:rPr>
        <w:t>disclosure year</w:t>
      </w:r>
      <w:r w:rsidRPr="006441E4">
        <w:t>, a pricing methodology which</w:t>
      </w:r>
      <w:bookmarkEnd w:id="45"/>
      <w:r w:rsidR="00AB64EB" w:rsidRPr="006441E4">
        <w:t>:</w:t>
      </w:r>
      <w:bookmarkStart w:id="47" w:name="r1999_082_s_24"/>
      <w:bookmarkEnd w:id="47"/>
      <w:bookmarkEnd w:id="46"/>
    </w:p>
    <w:p w:rsidR="001D335E" w:rsidRDefault="00F44DEB" w:rsidP="001D335E">
      <w:pPr>
        <w:pStyle w:val="HeadingH5ClausesubtextL1"/>
      </w:pPr>
      <w:r w:rsidRPr="006441E4">
        <w:t>D</w:t>
      </w:r>
      <w:r w:rsidR="003F2A68" w:rsidRPr="006441E4">
        <w:t xml:space="preserve">escribes the methodology, in accordance with clause </w:t>
      </w:r>
      <w:r w:rsidR="0033518E">
        <w:fldChar w:fldCharType="begin"/>
      </w:r>
      <w:r w:rsidR="00DE7EA9">
        <w:instrText xml:space="preserve"> REF _Ref329095634 \r \h </w:instrText>
      </w:r>
      <w:r w:rsidR="0033518E">
        <w:fldChar w:fldCharType="separate"/>
      </w:r>
      <w:r w:rsidR="00B06C04">
        <w:t>2.4.3</w:t>
      </w:r>
      <w:r w:rsidR="0033518E">
        <w:fldChar w:fldCharType="end"/>
      </w:r>
      <w:r w:rsidR="003F2A68" w:rsidRPr="006441E4">
        <w:t xml:space="preserve">, used to calculate the </w:t>
      </w:r>
      <w:r w:rsidR="009053AA" w:rsidRPr="006441E4">
        <w:rPr>
          <w:b/>
        </w:rPr>
        <w:t>prices</w:t>
      </w:r>
      <w:r w:rsidR="003F2A68" w:rsidRPr="006441E4">
        <w:t xml:space="preserve"> payable or to be payable</w:t>
      </w:r>
    </w:p>
    <w:p w:rsidR="00F40DAE" w:rsidRDefault="006667FD">
      <w:pPr>
        <w:pStyle w:val="HeadingH5ClausesubtextL1"/>
      </w:pPr>
      <w:r>
        <w:t>Describes</w:t>
      </w:r>
      <w:r w:rsidR="003F2A68" w:rsidRPr="006441E4">
        <w:t xml:space="preserve"> any changes in </w:t>
      </w:r>
      <w:r w:rsidR="003F2A68" w:rsidRPr="006441E4">
        <w:rPr>
          <w:b/>
        </w:rPr>
        <w:t>prices</w:t>
      </w:r>
      <w:r w:rsidR="003F2A68" w:rsidRPr="006441E4">
        <w:t xml:space="preserve"> and </w:t>
      </w:r>
      <w:r w:rsidR="003F2A68" w:rsidRPr="006441E4">
        <w:rPr>
          <w:b/>
        </w:rPr>
        <w:t>target revenues</w:t>
      </w:r>
    </w:p>
    <w:p w:rsidR="00F40DAE" w:rsidRDefault="00F44DEB">
      <w:pPr>
        <w:pStyle w:val="HeadingH5ClausesubtextL1"/>
        <w:rPr>
          <w:color w:val="000000"/>
        </w:rPr>
      </w:pPr>
      <w:r w:rsidRPr="006441E4">
        <w:rPr>
          <w:color w:val="000000"/>
        </w:rPr>
        <w:t>E</w:t>
      </w:r>
      <w:r w:rsidR="003F2A68" w:rsidRPr="006441E4">
        <w:rPr>
          <w:color w:val="000000"/>
        </w:rPr>
        <w:t xml:space="preserve">xplains, </w:t>
      </w:r>
      <w:r w:rsidR="003F2A68" w:rsidRPr="006441E4">
        <w:t>in accordance with clause</w:t>
      </w:r>
      <w:r w:rsidR="00C47728">
        <w:t xml:space="preserve"> </w:t>
      </w:r>
      <w:r w:rsidR="0033518E">
        <w:fldChar w:fldCharType="begin"/>
      </w:r>
      <w:r w:rsidR="00DE7EA9">
        <w:instrText xml:space="preserve"> REF _Ref329095848 \r \h </w:instrText>
      </w:r>
      <w:r w:rsidR="0033518E">
        <w:fldChar w:fldCharType="separate"/>
      </w:r>
      <w:r w:rsidR="00B06C04">
        <w:t>2.4.5</w:t>
      </w:r>
      <w:r w:rsidR="0033518E">
        <w:fldChar w:fldCharType="end"/>
      </w:r>
      <w:r w:rsidR="003F2A68" w:rsidRPr="006441E4">
        <w:t xml:space="preserve">, the approach taken with respect to pricing </w:t>
      </w:r>
      <w:r w:rsidR="00D5270E" w:rsidRPr="006441E4">
        <w:t xml:space="preserve">in </w:t>
      </w:r>
      <w:r w:rsidR="003F2A68" w:rsidRPr="006441E4">
        <w:rPr>
          <w:b/>
        </w:rPr>
        <w:t>non-standard contracts</w:t>
      </w:r>
      <w:r w:rsidR="00AB64EB" w:rsidRPr="006441E4">
        <w:t>; and</w:t>
      </w:r>
    </w:p>
    <w:p w:rsidR="00F40DAE" w:rsidRDefault="00F44DEB">
      <w:pPr>
        <w:pStyle w:val="HeadingH5ClausesubtextL1"/>
      </w:pPr>
      <w:r w:rsidRPr="006441E4">
        <w:t>E</w:t>
      </w:r>
      <w:r w:rsidR="003F2A68" w:rsidRPr="006441E4">
        <w:t xml:space="preserve">xplains whether, and if so how, the </w:t>
      </w:r>
      <w:r w:rsidR="003F2A68" w:rsidRPr="006441E4">
        <w:rPr>
          <w:b/>
        </w:rPr>
        <w:t>GTB</w:t>
      </w:r>
      <w:r w:rsidR="003F2A68" w:rsidRPr="006441E4">
        <w:t xml:space="preserve"> has sought the view</w:t>
      </w:r>
      <w:r w:rsidR="00DE7EA9">
        <w:t>s</w:t>
      </w:r>
      <w:r w:rsidR="003F2A68" w:rsidRPr="006441E4">
        <w:t xml:space="preserve"> of </w:t>
      </w:r>
      <w:r w:rsidR="003F2A68" w:rsidRPr="006441E4">
        <w:rPr>
          <w:b/>
        </w:rPr>
        <w:t>consumers</w:t>
      </w:r>
      <w:r w:rsidR="003F2A68" w:rsidRPr="006441E4">
        <w:t xml:space="preserve">, </w:t>
      </w:r>
      <w:r w:rsidR="00DE7EA9">
        <w:t xml:space="preserve">including </w:t>
      </w:r>
      <w:r w:rsidR="003F2A68" w:rsidRPr="006441E4">
        <w:t xml:space="preserve">their expectations in terms of </w:t>
      </w:r>
      <w:r w:rsidR="003F2A68" w:rsidRPr="006441E4">
        <w:rPr>
          <w:b/>
        </w:rPr>
        <w:t>price</w:t>
      </w:r>
      <w:r w:rsidR="003F2A68" w:rsidRPr="006441E4">
        <w:t xml:space="preserve"> and quality, and reflected those views</w:t>
      </w:r>
      <w:r w:rsidR="003F2A68" w:rsidRPr="006441E4">
        <w:rPr>
          <w:rFonts w:cs="Calibri"/>
        </w:rPr>
        <w:t xml:space="preserve">, in calculating the </w:t>
      </w:r>
      <w:r w:rsidR="009053AA" w:rsidRPr="006441E4">
        <w:rPr>
          <w:rFonts w:cs="Calibri"/>
          <w:b/>
        </w:rPr>
        <w:t>prices</w:t>
      </w:r>
      <w:r w:rsidR="003F2A68" w:rsidRPr="006441E4">
        <w:rPr>
          <w:rFonts w:cs="Calibri"/>
        </w:rPr>
        <w:t xml:space="preserve"> payable or to be payable</w:t>
      </w:r>
      <w:r w:rsidR="00110F6A">
        <w:rPr>
          <w:rFonts w:cs="Calibri"/>
        </w:rPr>
        <w:t xml:space="preserve">. </w:t>
      </w:r>
      <w:r w:rsidR="00F777F5" w:rsidRPr="006441E4">
        <w:rPr>
          <w:rFonts w:cs="Calibri"/>
        </w:rPr>
        <w:t xml:space="preserve">If the </w:t>
      </w:r>
      <w:r w:rsidR="00F777F5" w:rsidRPr="006441E4">
        <w:rPr>
          <w:rFonts w:cs="Calibri"/>
          <w:b/>
        </w:rPr>
        <w:t>GTB</w:t>
      </w:r>
      <w:r w:rsidR="00F777F5" w:rsidRPr="006441E4">
        <w:rPr>
          <w:rFonts w:cs="Calibri"/>
        </w:rPr>
        <w:t xml:space="preserve"> has not sought the views of </w:t>
      </w:r>
      <w:r w:rsidR="00F777F5" w:rsidRPr="006441E4">
        <w:rPr>
          <w:rFonts w:cs="Calibri"/>
          <w:b/>
        </w:rPr>
        <w:t>consumers</w:t>
      </w:r>
      <w:r w:rsidR="00F777F5" w:rsidRPr="006441E4">
        <w:rPr>
          <w:rFonts w:cs="Calibri"/>
        </w:rPr>
        <w:t xml:space="preserve">, the reasons for not doing so </w:t>
      </w:r>
      <w:r w:rsidR="00CF6394" w:rsidRPr="006441E4">
        <w:rPr>
          <w:rFonts w:cs="Calibri"/>
        </w:rPr>
        <w:t>must</w:t>
      </w:r>
      <w:r w:rsidR="00F777F5" w:rsidRPr="006441E4">
        <w:rPr>
          <w:rFonts w:cs="Calibri"/>
        </w:rPr>
        <w:t xml:space="preserve"> be disclosed.</w:t>
      </w:r>
    </w:p>
    <w:p w:rsidR="00F40DAE" w:rsidRDefault="003F2A68">
      <w:pPr>
        <w:pStyle w:val="HeadingH4Clausetext"/>
        <w:tabs>
          <w:tab w:val="clear" w:pos="4679"/>
          <w:tab w:val="num" w:pos="709"/>
        </w:tabs>
      </w:pPr>
      <w:r w:rsidRPr="006441E4">
        <w:t xml:space="preserve">Any change in the pricing methodology or adoption of a different pricing methodology, must be </w:t>
      </w:r>
      <w:r w:rsidRPr="006441E4">
        <w:rPr>
          <w:b/>
        </w:rPr>
        <w:t>publicly disclosed</w:t>
      </w:r>
      <w:r w:rsidRPr="006441E4">
        <w:t xml:space="preserve"> </w:t>
      </w:r>
      <w:r w:rsidR="00854A84">
        <w:t>at least 20 working days</w:t>
      </w:r>
      <w:r w:rsidR="00854A84" w:rsidRPr="00604256">
        <w:t xml:space="preserve"> </w:t>
      </w:r>
      <w:r w:rsidRPr="006441E4">
        <w:t xml:space="preserve">before the change or the </w:t>
      </w:r>
      <w:r w:rsidR="00D94C94" w:rsidRPr="006441E4">
        <w:t xml:space="preserve">adoption of a </w:t>
      </w:r>
      <w:r w:rsidRPr="006441E4">
        <w:t>different methodology takes effect</w:t>
      </w:r>
      <w:r w:rsidR="00AB64EB" w:rsidRPr="006441E4">
        <w:t>.</w:t>
      </w:r>
      <w:bookmarkStart w:id="48" w:name="r1999_082_s_24_ss_0"/>
      <w:bookmarkStart w:id="49" w:name="_Ref312319426"/>
      <w:bookmarkEnd w:id="48"/>
    </w:p>
    <w:p w:rsidR="00F40DAE" w:rsidRDefault="003F2A68">
      <w:pPr>
        <w:pStyle w:val="HeadingH4Clausetext"/>
        <w:tabs>
          <w:tab w:val="clear" w:pos="4679"/>
          <w:tab w:val="num" w:pos="709"/>
        </w:tabs>
      </w:pPr>
      <w:bookmarkStart w:id="50" w:name="_Ref329095634"/>
      <w:r w:rsidRPr="006441E4">
        <w:t xml:space="preserve">Every disclosure under clause </w:t>
      </w:r>
      <w:fldSimple w:instr=" REF _Ref312319460 \r \h  \* MERGEFORMAT ">
        <w:r w:rsidR="00B06C04">
          <w:t>2.4.1</w:t>
        </w:r>
      </w:fldSimple>
      <w:r w:rsidRPr="006441E4">
        <w:t xml:space="preserve"> </w:t>
      </w:r>
      <w:r w:rsidR="00B30070" w:rsidRPr="006441E4">
        <w:t>of this section</w:t>
      </w:r>
      <w:r w:rsidR="00AB64EB" w:rsidRPr="006441E4">
        <w:t xml:space="preserve"> </w:t>
      </w:r>
      <w:r w:rsidRPr="006441E4">
        <w:t>must:</w:t>
      </w:r>
      <w:bookmarkEnd w:id="49"/>
      <w:bookmarkEnd w:id="50"/>
    </w:p>
    <w:p w:rsidR="00F40DAE" w:rsidRDefault="00F44DEB">
      <w:pPr>
        <w:pStyle w:val="HeadingH5ClausesubtextL1"/>
      </w:pPr>
      <w:r w:rsidRPr="006441E4">
        <w:t>I</w:t>
      </w:r>
      <w:r w:rsidR="003F2A68" w:rsidRPr="006441E4">
        <w:t xml:space="preserve">nclude sufficient information and commentary for interested persons to understand how </w:t>
      </w:r>
      <w:r w:rsidR="003F2A68" w:rsidRPr="006441E4">
        <w:rPr>
          <w:b/>
        </w:rPr>
        <w:t>prices</w:t>
      </w:r>
      <w:r w:rsidR="003F2A68" w:rsidRPr="006441E4">
        <w:t xml:space="preserve"> were set for each </w:t>
      </w:r>
      <w:r w:rsidR="003F2A68" w:rsidRPr="006441E4">
        <w:rPr>
          <w:b/>
        </w:rPr>
        <w:t>consumer group</w:t>
      </w:r>
      <w:r w:rsidR="003F2A68" w:rsidRPr="006441E4">
        <w:t xml:space="preserve">, including the assumptions and statistics used to determine </w:t>
      </w:r>
      <w:r w:rsidR="003F2A68" w:rsidRPr="006441E4">
        <w:rPr>
          <w:b/>
        </w:rPr>
        <w:t>prices</w:t>
      </w:r>
      <w:r w:rsidR="003F2A68" w:rsidRPr="006441E4">
        <w:t xml:space="preserve"> for each </w:t>
      </w:r>
      <w:r w:rsidR="003F2A68" w:rsidRPr="006441E4">
        <w:rPr>
          <w:b/>
        </w:rPr>
        <w:t>consumer group</w:t>
      </w:r>
    </w:p>
    <w:p w:rsidR="00F40DAE" w:rsidRDefault="00F44DEB">
      <w:pPr>
        <w:pStyle w:val="HeadingH5ClausesubtextL1"/>
      </w:pPr>
      <w:r w:rsidRPr="006441E4">
        <w:t>D</w:t>
      </w:r>
      <w:r w:rsidR="00AB64EB" w:rsidRPr="006441E4">
        <w:t xml:space="preserve">emonstrate the </w:t>
      </w:r>
      <w:r w:rsidR="003F2A68" w:rsidRPr="006441E4">
        <w:t xml:space="preserve">extent to which the pricing methodology is consistent with the </w:t>
      </w:r>
      <w:r w:rsidR="003F2A68" w:rsidRPr="006441E4">
        <w:rPr>
          <w:b/>
        </w:rPr>
        <w:t>pricing principles</w:t>
      </w:r>
      <w:r w:rsidR="003F2A68" w:rsidRPr="006441E4">
        <w:t xml:space="preserve"> and </w:t>
      </w:r>
      <w:r w:rsidR="00AB64EB" w:rsidRPr="006441E4">
        <w:t xml:space="preserve">explain </w:t>
      </w:r>
      <w:r w:rsidR="003F2A68" w:rsidRPr="006441E4">
        <w:t xml:space="preserve">the reasons for any inconsistency between the pricing methodology and the </w:t>
      </w:r>
      <w:r w:rsidR="003F2A68" w:rsidRPr="006441E4">
        <w:rPr>
          <w:b/>
        </w:rPr>
        <w:t>pricing principles</w:t>
      </w:r>
    </w:p>
    <w:p w:rsidR="00F278A4" w:rsidRDefault="00F278A4" w:rsidP="00F278A4">
      <w:pPr>
        <w:pStyle w:val="HeadingH5ClausesubtextL1"/>
      </w:pPr>
      <w:bookmarkStart w:id="51" w:name="_Ref329182222"/>
      <w:r w:rsidRPr="006441E4">
        <w:t xml:space="preserve">State the </w:t>
      </w:r>
      <w:r w:rsidR="00F86836" w:rsidRPr="00F86836">
        <w:rPr>
          <w:b/>
        </w:rPr>
        <w:t>target revenue</w:t>
      </w:r>
      <w:r w:rsidRPr="006441E4">
        <w:t xml:space="preserve"> </w:t>
      </w:r>
      <w:r w:rsidR="00B51EDA">
        <w:t xml:space="preserve">to be collected </w:t>
      </w:r>
      <w:r w:rsidRPr="006441E4">
        <w:t xml:space="preserve">for the current </w:t>
      </w:r>
      <w:r w:rsidR="00F86836" w:rsidRPr="00F86836">
        <w:rPr>
          <w:b/>
        </w:rPr>
        <w:t>disclosure year</w:t>
      </w:r>
      <w:bookmarkEnd w:id="51"/>
    </w:p>
    <w:p w:rsidR="00F40DAE" w:rsidRDefault="00F44DEB">
      <w:pPr>
        <w:pStyle w:val="HeadingH5ClausesubtextL1"/>
      </w:pPr>
      <w:r w:rsidRPr="006441E4">
        <w:t>W</w:t>
      </w:r>
      <w:r w:rsidR="003F2A68" w:rsidRPr="006441E4">
        <w:t xml:space="preserve">here applicable, identify the key components of </w:t>
      </w:r>
      <w:r w:rsidR="003F2A68" w:rsidRPr="006441E4">
        <w:rPr>
          <w:b/>
        </w:rPr>
        <w:t>target revenue</w:t>
      </w:r>
      <w:r w:rsidR="003F2A68" w:rsidRPr="006441E4">
        <w:t xml:space="preserve"> required to cover the costs and </w:t>
      </w:r>
      <w:r w:rsidR="00EB1AD3">
        <w:t>return on investment associated with</w:t>
      </w:r>
      <w:r w:rsidR="003F2A68" w:rsidRPr="006441E4">
        <w:t xml:space="preserve"> the </w:t>
      </w:r>
      <w:r w:rsidR="003F2A68" w:rsidRPr="006441E4">
        <w:rPr>
          <w:b/>
        </w:rPr>
        <w:t>GTB</w:t>
      </w:r>
      <w:r w:rsidR="003F2A68" w:rsidRPr="006441E4">
        <w:t xml:space="preserve">’s provision of </w:t>
      </w:r>
      <w:r w:rsidR="00227B61" w:rsidRPr="006441E4">
        <w:rPr>
          <w:b/>
        </w:rPr>
        <w:t>gas transmission services</w:t>
      </w:r>
      <w:r w:rsidR="003F2A68" w:rsidRPr="006441E4">
        <w:t xml:space="preserve">. Disclosure must include the numerical </w:t>
      </w:r>
      <w:r w:rsidR="00F676CD" w:rsidRPr="006441E4">
        <w:t>value of each of the components</w:t>
      </w:r>
    </w:p>
    <w:p w:rsidR="00F40DAE" w:rsidRDefault="00F44DEB">
      <w:pPr>
        <w:pStyle w:val="HeadingH5ClausesubtextL1"/>
      </w:pPr>
      <w:r w:rsidRPr="006441E4">
        <w:t>S</w:t>
      </w:r>
      <w:r w:rsidR="003F2A68" w:rsidRPr="006441E4">
        <w:t xml:space="preserve">tate the </w:t>
      </w:r>
      <w:r w:rsidR="003F2A68" w:rsidRPr="006441E4">
        <w:rPr>
          <w:b/>
        </w:rPr>
        <w:t>consumer groups</w:t>
      </w:r>
      <w:r w:rsidR="003F2A68" w:rsidRPr="006441E4">
        <w:t xml:space="preserve"> for whom </w:t>
      </w:r>
      <w:r w:rsidR="003F2A68" w:rsidRPr="006441E4">
        <w:rPr>
          <w:b/>
        </w:rPr>
        <w:t>prices</w:t>
      </w:r>
      <w:r w:rsidR="00AB64EB" w:rsidRPr="006441E4">
        <w:t xml:space="preserve"> have been set, and describe</w:t>
      </w:r>
      <w:r w:rsidR="009B6554" w:rsidRPr="006441E4">
        <w:t>:</w:t>
      </w:r>
    </w:p>
    <w:p w:rsidR="00F40DAE" w:rsidRDefault="003F2A68">
      <w:pPr>
        <w:pStyle w:val="HeadingH6ClausesubtextL2"/>
      </w:pPr>
      <w:r w:rsidRPr="006441E4">
        <w:t xml:space="preserve">the rationale for grouping </w:t>
      </w:r>
      <w:r w:rsidRPr="006441E4">
        <w:rPr>
          <w:b/>
        </w:rPr>
        <w:t>consumers</w:t>
      </w:r>
      <w:r w:rsidRPr="006441E4">
        <w:t xml:space="preserve"> in this way</w:t>
      </w:r>
    </w:p>
    <w:p w:rsidR="00F40DAE" w:rsidRDefault="003F2A68">
      <w:pPr>
        <w:pStyle w:val="HeadingH6ClausesubtextL2"/>
      </w:pPr>
      <w:r w:rsidRPr="006441E4">
        <w:t xml:space="preserve">the method and the criteria used by the </w:t>
      </w:r>
      <w:r w:rsidRPr="006441E4">
        <w:rPr>
          <w:b/>
        </w:rPr>
        <w:t>GTB</w:t>
      </w:r>
      <w:r w:rsidRPr="006441E4">
        <w:t xml:space="preserve"> to allocate </w:t>
      </w:r>
      <w:r w:rsidRPr="006441E4">
        <w:rPr>
          <w:b/>
        </w:rPr>
        <w:t>consumers</w:t>
      </w:r>
      <w:r w:rsidRPr="006441E4">
        <w:t xml:space="preserve"> to each of the </w:t>
      </w:r>
      <w:r w:rsidRPr="006441E4">
        <w:rPr>
          <w:b/>
        </w:rPr>
        <w:t>consumer groups</w:t>
      </w:r>
    </w:p>
    <w:p w:rsidR="00E7204B" w:rsidRPr="00604256" w:rsidRDefault="00E7204B" w:rsidP="00E7204B">
      <w:pPr>
        <w:pStyle w:val="HeadingH5ClausesubtextL1"/>
        <w:tabs>
          <w:tab w:val="num" w:pos="-31680"/>
        </w:tabs>
      </w:pPr>
      <w:r>
        <w:t>If</w:t>
      </w:r>
      <w:r w:rsidRPr="00604256">
        <w:t xml:space="preserve"> </w:t>
      </w:r>
      <w:r w:rsidRPr="00604256">
        <w:rPr>
          <w:b/>
        </w:rPr>
        <w:t>prices</w:t>
      </w:r>
      <w:r w:rsidRPr="00604256">
        <w:t xml:space="preserve"> have changed from </w:t>
      </w:r>
      <w:r w:rsidRPr="00604256">
        <w:rPr>
          <w:b/>
        </w:rPr>
        <w:t xml:space="preserve">prices </w:t>
      </w:r>
      <w:r w:rsidRPr="00604256">
        <w:t xml:space="preserve">disclosed for the immediately preceding </w:t>
      </w:r>
      <w:r w:rsidRPr="00604256">
        <w:rPr>
          <w:b/>
        </w:rPr>
        <w:t>disclosure year</w:t>
      </w:r>
      <w:r w:rsidRPr="00604256">
        <w:t>, explain the reasons for changes, and quantify the difference for each of those reasons</w:t>
      </w:r>
    </w:p>
    <w:p w:rsidR="00F40DAE" w:rsidRDefault="00854A84">
      <w:pPr>
        <w:pStyle w:val="HeadingH5ClausesubtextL1"/>
      </w:pPr>
      <w:r w:rsidRPr="00BC6A7F">
        <w:t xml:space="preserve">Where applicable, describe the method used by the </w:t>
      </w:r>
      <w:r w:rsidR="00A1310D">
        <w:rPr>
          <w:b/>
        </w:rPr>
        <w:t>GT</w:t>
      </w:r>
      <w:r w:rsidRPr="00BC6A7F">
        <w:rPr>
          <w:b/>
        </w:rPr>
        <w:t>B</w:t>
      </w:r>
      <w:r w:rsidRPr="00BC6A7F">
        <w:t xml:space="preserve"> to allocate the </w:t>
      </w:r>
      <w:r w:rsidRPr="00BC6A7F">
        <w:rPr>
          <w:b/>
        </w:rPr>
        <w:t>target revenue</w:t>
      </w:r>
      <w:r w:rsidRPr="00BC6A7F">
        <w:t xml:space="preserve"> among </w:t>
      </w:r>
      <w:r w:rsidRPr="00BC6A7F">
        <w:rPr>
          <w:b/>
        </w:rPr>
        <w:t>consumer groups</w:t>
      </w:r>
      <w:r w:rsidRPr="00BC6A7F">
        <w:t xml:space="preserve">, including the numerical values of the </w:t>
      </w:r>
      <w:r w:rsidRPr="00BC6A7F">
        <w:rPr>
          <w:b/>
        </w:rPr>
        <w:t>target revenue</w:t>
      </w:r>
      <w:r w:rsidRPr="00BC6A7F">
        <w:t xml:space="preserve"> allocated to each </w:t>
      </w:r>
      <w:r w:rsidRPr="00BC6A7F">
        <w:rPr>
          <w:b/>
        </w:rPr>
        <w:t>consumer group</w:t>
      </w:r>
      <w:r w:rsidR="00426CF4">
        <w:t>,</w:t>
      </w:r>
      <w:r w:rsidRPr="00BC6A7F">
        <w:t xml:space="preserve"> and the rationale for allocating </w:t>
      </w:r>
      <w:r>
        <w:t>it</w:t>
      </w:r>
      <w:r w:rsidRPr="00BC6A7F">
        <w:t xml:space="preserve"> in this way</w:t>
      </w:r>
    </w:p>
    <w:p w:rsidR="00F40DAE" w:rsidRDefault="00854A84">
      <w:pPr>
        <w:pStyle w:val="HeadingH5ClausesubtextL1"/>
      </w:pPr>
      <w:r>
        <w:t xml:space="preserve">State </w:t>
      </w:r>
      <w:r w:rsidRPr="00604256">
        <w:t xml:space="preserve">the proportion of </w:t>
      </w:r>
      <w:r w:rsidRPr="00597F63">
        <w:rPr>
          <w:b/>
        </w:rPr>
        <w:t>target revenue</w:t>
      </w:r>
      <w:r>
        <w:t xml:space="preserve"> </w:t>
      </w:r>
      <w:r w:rsidRPr="00604256">
        <w:t>(</w:t>
      </w:r>
      <w:r>
        <w:t>if</w:t>
      </w:r>
      <w:r w:rsidRPr="00604256">
        <w:t xml:space="preserve"> applicable) </w:t>
      </w:r>
      <w:r>
        <w:t xml:space="preserve">that is collected through each tariff type as publicly disclosed annually under clause </w:t>
      </w:r>
      <w:r w:rsidR="0033518E">
        <w:fldChar w:fldCharType="begin"/>
      </w:r>
      <w:r w:rsidR="0077705E">
        <w:instrText xml:space="preserve"> REF _Ref313457641 \r \h </w:instrText>
      </w:r>
      <w:r w:rsidR="0033518E">
        <w:fldChar w:fldCharType="separate"/>
      </w:r>
      <w:r w:rsidR="00B06C04">
        <w:t>2.4.16</w:t>
      </w:r>
      <w:r w:rsidR="0033518E">
        <w:fldChar w:fldCharType="end"/>
      </w:r>
      <w:r>
        <w:t>.</w:t>
      </w:r>
    </w:p>
    <w:p w:rsidR="00F40DAE" w:rsidRDefault="003F2A68">
      <w:pPr>
        <w:pStyle w:val="HeadingH4Clausetext"/>
        <w:tabs>
          <w:tab w:val="clear" w:pos="4679"/>
          <w:tab w:val="num" w:pos="709"/>
        </w:tabs>
      </w:pPr>
      <w:bookmarkStart w:id="52" w:name="_Ref312319441"/>
      <w:bookmarkStart w:id="53" w:name="_Ref309040934"/>
      <w:r w:rsidRPr="006441E4">
        <w:t xml:space="preserve">Every disclosure under clause </w:t>
      </w:r>
      <w:fldSimple w:instr=" REF _Ref312319460 \r \h  \* MERGEFORMAT ">
        <w:r w:rsidR="00B06C04">
          <w:t>2.4.1</w:t>
        </w:r>
      </w:fldSimple>
      <w:r w:rsidR="003E60AB" w:rsidRPr="006441E4">
        <w:t xml:space="preserve"> </w:t>
      </w:r>
      <w:r w:rsidR="008D1950">
        <w:t>above</w:t>
      </w:r>
      <w:r w:rsidRPr="006441E4">
        <w:t xml:space="preserve"> must, if the </w:t>
      </w:r>
      <w:r w:rsidRPr="006441E4">
        <w:rPr>
          <w:b/>
        </w:rPr>
        <w:t>GTB</w:t>
      </w:r>
      <w:r w:rsidRPr="006441E4">
        <w:t xml:space="preserve"> has a </w:t>
      </w:r>
      <w:r w:rsidRPr="006441E4">
        <w:rPr>
          <w:b/>
        </w:rPr>
        <w:t>pricing strategy</w:t>
      </w:r>
      <w:bookmarkEnd w:id="52"/>
    </w:p>
    <w:p w:rsidR="00AA27C9" w:rsidRDefault="00F44DEB">
      <w:pPr>
        <w:pStyle w:val="HeadingH5ClausesubtextL1"/>
      </w:pPr>
      <w:r w:rsidRPr="006441E4">
        <w:t>E</w:t>
      </w:r>
      <w:r w:rsidR="003F2A68" w:rsidRPr="006441E4">
        <w:t xml:space="preserve">xplain the </w:t>
      </w:r>
      <w:r w:rsidR="003F2A68" w:rsidRPr="006441E4">
        <w:rPr>
          <w:b/>
        </w:rPr>
        <w:t>pricing strategy</w:t>
      </w:r>
      <w:r w:rsidR="003F2A68" w:rsidRPr="006441E4">
        <w:t xml:space="preserve"> for the next </w:t>
      </w:r>
      <w:r w:rsidR="009B6554" w:rsidRPr="006441E4">
        <w:t>5</w:t>
      </w:r>
      <w:r w:rsidR="003F2A68" w:rsidRPr="006441E4">
        <w:t xml:space="preserve"> </w:t>
      </w:r>
      <w:r w:rsidR="003F2A68" w:rsidRPr="006441E4">
        <w:rPr>
          <w:b/>
        </w:rPr>
        <w:t>disclosure years</w:t>
      </w:r>
      <w:r w:rsidR="003F2A68" w:rsidRPr="006441E4">
        <w:t xml:space="preserve"> (or as close to </w:t>
      </w:r>
      <w:r w:rsidR="008D6E8E" w:rsidRPr="006441E4">
        <w:t>5</w:t>
      </w:r>
      <w:r w:rsidR="003F2A68" w:rsidRPr="006441E4">
        <w:t xml:space="preserve"> years as the </w:t>
      </w:r>
      <w:r w:rsidR="003F2A68" w:rsidRPr="006441E4">
        <w:rPr>
          <w:b/>
        </w:rPr>
        <w:t>pricing strategy</w:t>
      </w:r>
      <w:r w:rsidR="003F2A68" w:rsidRPr="006441E4">
        <w:t xml:space="preserve"> allows), including the current </w:t>
      </w:r>
      <w:r w:rsidR="003F2A68" w:rsidRPr="006441E4">
        <w:rPr>
          <w:b/>
        </w:rPr>
        <w:t>disclosure year</w:t>
      </w:r>
      <w:r w:rsidR="003F2A68" w:rsidRPr="006441E4">
        <w:t xml:space="preserve"> for which </w:t>
      </w:r>
      <w:r w:rsidR="003F2A68" w:rsidRPr="006441E4">
        <w:rPr>
          <w:b/>
        </w:rPr>
        <w:t>prices</w:t>
      </w:r>
      <w:r w:rsidR="003F2A68" w:rsidRPr="006441E4">
        <w:t xml:space="preserve"> ar</w:t>
      </w:r>
      <w:bookmarkStart w:id="54" w:name="OLE_LINK6"/>
      <w:r w:rsidR="003F2A68" w:rsidRPr="006441E4">
        <w:t>e set</w:t>
      </w:r>
    </w:p>
    <w:p w:rsidR="00AA27C9" w:rsidRDefault="00F676CD">
      <w:pPr>
        <w:pStyle w:val="HeadingH5ClausesubtextL1"/>
      </w:pPr>
      <w:r w:rsidRPr="006441E4">
        <w:t xml:space="preserve">Explain how and why </w:t>
      </w:r>
      <w:r w:rsidR="009053AA" w:rsidRPr="006441E4">
        <w:rPr>
          <w:b/>
        </w:rPr>
        <w:t>prices</w:t>
      </w:r>
      <w:r w:rsidR="003F2A68" w:rsidRPr="006441E4">
        <w:t xml:space="preserve"> </w:t>
      </w:r>
      <w:r w:rsidR="000D4C8C" w:rsidRPr="006441E4">
        <w:t xml:space="preserve">are expected to </w:t>
      </w:r>
      <w:r w:rsidRPr="006441E4">
        <w:t xml:space="preserve">change as a result of the </w:t>
      </w:r>
      <w:r w:rsidRPr="006441E4">
        <w:rPr>
          <w:b/>
        </w:rPr>
        <w:t>pricing strategy</w:t>
      </w:r>
    </w:p>
    <w:p w:rsidR="00AA27C9" w:rsidRDefault="00F44DEB">
      <w:pPr>
        <w:pStyle w:val="HeadingH5ClausesubtextL1"/>
      </w:pPr>
      <w:r w:rsidRPr="006441E4">
        <w:t>I</w:t>
      </w:r>
      <w:r w:rsidR="003F2A68" w:rsidRPr="006441E4">
        <w:t xml:space="preserve">f the </w:t>
      </w:r>
      <w:r w:rsidR="003F2A68" w:rsidRPr="006441E4">
        <w:rPr>
          <w:b/>
        </w:rPr>
        <w:t>pricing strategy</w:t>
      </w:r>
      <w:r w:rsidR="003F2A68" w:rsidRPr="006441E4">
        <w:t xml:space="preserve"> has changed from the preceding </w:t>
      </w:r>
      <w:r w:rsidR="003F2A68" w:rsidRPr="006441E4">
        <w:rPr>
          <w:b/>
        </w:rPr>
        <w:t>disclosure year</w:t>
      </w:r>
      <w:r w:rsidR="003F2A68" w:rsidRPr="006441E4">
        <w:t xml:space="preserve">, identify the changes and </w:t>
      </w:r>
      <w:r w:rsidR="00F676CD" w:rsidRPr="006441E4">
        <w:t xml:space="preserve">explain </w:t>
      </w:r>
      <w:r w:rsidR="003F2A68" w:rsidRPr="006441E4">
        <w:t>the reasons for the changes.</w:t>
      </w:r>
    </w:p>
    <w:p w:rsidR="00F40DAE" w:rsidRDefault="003F2A68">
      <w:pPr>
        <w:pStyle w:val="HeadingH4Clausetext"/>
        <w:tabs>
          <w:tab w:val="clear" w:pos="4679"/>
          <w:tab w:val="num" w:pos="709"/>
        </w:tabs>
      </w:pPr>
      <w:bookmarkStart w:id="55" w:name="_Ref329095848"/>
      <w:bookmarkStart w:id="56" w:name="_Ref312319448"/>
      <w:bookmarkEnd w:id="54"/>
      <w:r w:rsidRPr="006441E4">
        <w:t xml:space="preserve">Every disclosure under clause </w:t>
      </w:r>
      <w:fldSimple w:instr=" REF _Ref312319460 \r \h  \* MERGEFORMAT ">
        <w:r w:rsidR="00B06C04">
          <w:t>2.4.1</w:t>
        </w:r>
      </w:fldSimple>
      <w:r w:rsidRPr="006441E4">
        <w:t xml:space="preserve"> </w:t>
      </w:r>
      <w:r w:rsidR="003E60AB" w:rsidRPr="006441E4">
        <w:t xml:space="preserve">of this section </w:t>
      </w:r>
      <w:r w:rsidRPr="006441E4">
        <w:t>must</w:t>
      </w:r>
      <w:r w:rsidR="00F676CD" w:rsidRPr="006441E4">
        <w:t>:</w:t>
      </w:r>
      <w:bookmarkEnd w:id="55"/>
    </w:p>
    <w:p w:rsidR="00AA27C9" w:rsidRDefault="00F676CD">
      <w:pPr>
        <w:pStyle w:val="HeadingH5ClausesubtextL1"/>
      </w:pPr>
      <w:r w:rsidRPr="006441E4">
        <w:t>D</w:t>
      </w:r>
      <w:r w:rsidR="003F2A68" w:rsidRPr="006441E4">
        <w:t xml:space="preserve">escribe the approach to setting </w:t>
      </w:r>
      <w:r w:rsidR="003F2A68" w:rsidRPr="006441E4">
        <w:rPr>
          <w:b/>
        </w:rPr>
        <w:t>prices</w:t>
      </w:r>
      <w:r w:rsidR="003F2A68" w:rsidRPr="006441E4">
        <w:t xml:space="preserve"> for </w:t>
      </w:r>
      <w:r w:rsidR="003F2A68" w:rsidRPr="006441E4">
        <w:rPr>
          <w:b/>
        </w:rPr>
        <w:t>non-standard contracts</w:t>
      </w:r>
      <w:r w:rsidR="003F2A68" w:rsidRPr="006441E4">
        <w:t>, including:</w:t>
      </w:r>
      <w:bookmarkEnd w:id="56"/>
    </w:p>
    <w:p w:rsidR="00F40DAE" w:rsidRDefault="00F44DEB">
      <w:pPr>
        <w:pStyle w:val="HeadingH6ClausesubtextL2"/>
      </w:pPr>
      <w:r w:rsidRPr="006441E4">
        <w:t>T</w:t>
      </w:r>
      <w:r w:rsidR="003F2A68" w:rsidRPr="006441E4">
        <w:t xml:space="preserve">he extent of </w:t>
      </w:r>
      <w:r w:rsidR="003F2A68" w:rsidRPr="006441E4">
        <w:rPr>
          <w:b/>
        </w:rPr>
        <w:t>non-standard contract</w:t>
      </w:r>
      <w:r w:rsidR="003F2A68" w:rsidRPr="006441E4">
        <w:t xml:space="preserve"> use, including the number of </w:t>
      </w:r>
      <w:r w:rsidR="008D6E8E" w:rsidRPr="006441E4">
        <w:rPr>
          <w:b/>
        </w:rPr>
        <w:t>connection points</w:t>
      </w:r>
      <w:r w:rsidR="003F2A68" w:rsidRPr="006441E4">
        <w:t xml:space="preserve"> represented by </w:t>
      </w:r>
      <w:r w:rsidR="003F2A68" w:rsidRPr="006441E4">
        <w:rPr>
          <w:b/>
        </w:rPr>
        <w:t>non-standard contracts</w:t>
      </w:r>
      <w:r w:rsidR="003F2A68" w:rsidRPr="006441E4">
        <w:t xml:space="preserve"> and the value of </w:t>
      </w:r>
      <w:r w:rsidR="003F2A68" w:rsidRPr="006441E4">
        <w:rPr>
          <w:b/>
        </w:rPr>
        <w:t>target revenue</w:t>
      </w:r>
      <w:r w:rsidR="003F2A68" w:rsidRPr="006441E4">
        <w:t xml:space="preserve"> anticipated from </w:t>
      </w:r>
      <w:r w:rsidR="003F2A68" w:rsidRPr="006441E4">
        <w:rPr>
          <w:b/>
        </w:rPr>
        <w:t>non-standard contracts</w:t>
      </w:r>
      <w:r w:rsidR="00AB64EB" w:rsidRPr="006441E4">
        <w:t>;</w:t>
      </w:r>
    </w:p>
    <w:p w:rsidR="00F40DAE" w:rsidRDefault="00F44DEB">
      <w:pPr>
        <w:pStyle w:val="HeadingH6ClausesubtextL2"/>
      </w:pPr>
      <w:r w:rsidRPr="006441E4">
        <w:t>H</w:t>
      </w:r>
      <w:r w:rsidR="003F2A68" w:rsidRPr="006441E4">
        <w:t xml:space="preserve">ow the </w:t>
      </w:r>
      <w:r w:rsidR="003F2A68" w:rsidRPr="006441E4">
        <w:rPr>
          <w:b/>
        </w:rPr>
        <w:t>GTB</w:t>
      </w:r>
      <w:r w:rsidR="003F2A68" w:rsidRPr="006441E4">
        <w:t xml:space="preserve"> determines whether to use a </w:t>
      </w:r>
      <w:r w:rsidR="003F2A68" w:rsidRPr="006441E4">
        <w:rPr>
          <w:b/>
        </w:rPr>
        <w:t>non-standard contract</w:t>
      </w:r>
      <w:r w:rsidR="003F2A68" w:rsidRPr="006441E4">
        <w:t>, including any criteria used</w:t>
      </w:r>
      <w:r w:rsidR="00AB64EB" w:rsidRPr="006441E4">
        <w:t>;</w:t>
      </w:r>
    </w:p>
    <w:p w:rsidR="00F40DAE" w:rsidRDefault="00F44DEB">
      <w:pPr>
        <w:pStyle w:val="HeadingH6ClausesubtextL2"/>
      </w:pPr>
      <w:r w:rsidRPr="006441E4">
        <w:t>A</w:t>
      </w:r>
      <w:r w:rsidR="003F2A68" w:rsidRPr="006441E4">
        <w:t xml:space="preserve">ny specific criteria or methodology used for pricing </w:t>
      </w:r>
      <w:r w:rsidR="003F2A68" w:rsidRPr="006441E4">
        <w:rPr>
          <w:b/>
        </w:rPr>
        <w:t>non-standard contracts</w:t>
      </w:r>
      <w:r w:rsidR="003F2A68" w:rsidRPr="006441E4">
        <w:t>, and how th</w:t>
      </w:r>
      <w:r w:rsidR="003E60AB" w:rsidRPr="006441E4">
        <w:t>e</w:t>
      </w:r>
      <w:r w:rsidR="003F2A68" w:rsidRPr="006441E4">
        <w:t xml:space="preserve"> criteria or methodology is consistent with the </w:t>
      </w:r>
      <w:r w:rsidR="003F2A68" w:rsidRPr="006441E4">
        <w:rPr>
          <w:b/>
        </w:rPr>
        <w:t>pricing principles</w:t>
      </w:r>
      <w:r w:rsidR="00AB64EB" w:rsidRPr="006441E4">
        <w:t>;</w:t>
      </w:r>
    </w:p>
    <w:p w:rsidR="00F40DAE" w:rsidRDefault="00F44DEB">
      <w:pPr>
        <w:pStyle w:val="HeadingH5ClausesubtextL1"/>
      </w:pPr>
      <w:r w:rsidRPr="006441E4">
        <w:t>T</w:t>
      </w:r>
      <w:r w:rsidR="003F2A68" w:rsidRPr="006441E4">
        <w:t xml:space="preserve">he </w:t>
      </w:r>
      <w:r w:rsidR="003F2A68" w:rsidRPr="006441E4">
        <w:rPr>
          <w:b/>
        </w:rPr>
        <w:t>GTB</w:t>
      </w:r>
      <w:r w:rsidR="003F2A68" w:rsidRPr="006441E4">
        <w:t>’s obligations and responsibilities (if any) to</w:t>
      </w:r>
      <w:r w:rsidR="00CF6394" w:rsidRPr="006441E4">
        <w:t xml:space="preserve"> customers</w:t>
      </w:r>
      <w:r w:rsidR="003F2A68" w:rsidRPr="006441E4">
        <w:t xml:space="preserve"> on </w:t>
      </w:r>
      <w:r w:rsidR="003F2A68" w:rsidRPr="006441E4">
        <w:rPr>
          <w:b/>
        </w:rPr>
        <w:t>non-standard contracts</w:t>
      </w:r>
      <w:r w:rsidR="003F2A68" w:rsidRPr="006441E4">
        <w:t xml:space="preserve"> compared to those on a </w:t>
      </w:r>
      <w:r w:rsidR="003F2A68" w:rsidRPr="006441E4">
        <w:rPr>
          <w:b/>
        </w:rPr>
        <w:t>standard contract</w:t>
      </w:r>
      <w:r w:rsidR="003F2A68" w:rsidRPr="006441E4">
        <w:t xml:space="preserve">, in the event that the supply of </w:t>
      </w:r>
      <w:r w:rsidR="00227B61" w:rsidRPr="006441E4">
        <w:rPr>
          <w:b/>
        </w:rPr>
        <w:t>gas transmission services</w:t>
      </w:r>
      <w:r w:rsidR="003F2A68" w:rsidRPr="006441E4">
        <w:t xml:space="preserve"> to</w:t>
      </w:r>
      <w:r w:rsidR="00CF6394" w:rsidRPr="006441E4">
        <w:t xml:space="preserve"> the customer</w:t>
      </w:r>
      <w:r w:rsidR="003F2A68" w:rsidRPr="006441E4">
        <w:t xml:space="preserve"> is interrupted. Disclosure must expla</w:t>
      </w:r>
      <w:r w:rsidR="00AB64EB" w:rsidRPr="006441E4">
        <w:t>in:</w:t>
      </w:r>
    </w:p>
    <w:p w:rsidR="00F40DAE" w:rsidRDefault="003F2A68">
      <w:pPr>
        <w:pStyle w:val="HeadingH6ClausesubtextL2"/>
      </w:pPr>
      <w:r w:rsidRPr="006441E4">
        <w:t xml:space="preserve">the extent of the differences in these terms between </w:t>
      </w:r>
      <w:r w:rsidRPr="00A66FBC">
        <w:rPr>
          <w:b/>
        </w:rPr>
        <w:t>standard</w:t>
      </w:r>
      <w:r w:rsidR="00F86836" w:rsidRPr="00F86836">
        <w:rPr>
          <w:b/>
        </w:rPr>
        <w:t xml:space="preserve"> contracts</w:t>
      </w:r>
      <w:r w:rsidRPr="006441E4">
        <w:rPr>
          <w:b/>
        </w:rPr>
        <w:t xml:space="preserve"> </w:t>
      </w:r>
      <w:r w:rsidRPr="006441E4">
        <w:t xml:space="preserve">and </w:t>
      </w:r>
      <w:r w:rsidRPr="006441E4">
        <w:rPr>
          <w:b/>
        </w:rPr>
        <w:t>non-standard contracts</w:t>
      </w:r>
    </w:p>
    <w:p w:rsidR="00F40DAE" w:rsidRDefault="003F2A68">
      <w:pPr>
        <w:pStyle w:val="HeadingH6ClausesubtextL2"/>
      </w:pPr>
      <w:proofErr w:type="gramStart"/>
      <w:r w:rsidRPr="006441E4">
        <w:t>any</w:t>
      </w:r>
      <w:proofErr w:type="gramEnd"/>
      <w:r w:rsidRPr="006441E4">
        <w:t xml:space="preserve"> implications of this approach for pricing in </w:t>
      </w:r>
      <w:r w:rsidRPr="006441E4">
        <w:rPr>
          <w:b/>
        </w:rPr>
        <w:t>non-standard contracts</w:t>
      </w:r>
      <w:r w:rsidR="00AB64EB" w:rsidRPr="006441E4">
        <w:t>.</w:t>
      </w:r>
    </w:p>
    <w:p w:rsidR="003F2A68" w:rsidRPr="006441E4" w:rsidRDefault="003F2A68" w:rsidP="002B1F59">
      <w:pPr>
        <w:pStyle w:val="Heading3"/>
        <w:spacing w:line="264" w:lineRule="auto"/>
      </w:pPr>
      <w:bookmarkStart w:id="57" w:name="r1999_082_s_26"/>
      <w:bookmarkStart w:id="58" w:name="r1999_082_s_26_ss_1"/>
      <w:bookmarkStart w:id="59" w:name="r1999_082_s_26_ss_2"/>
      <w:bookmarkStart w:id="60" w:name="r1999_082_s_27"/>
      <w:bookmarkStart w:id="61" w:name="r1999_082_s_27_ss_1"/>
      <w:bookmarkStart w:id="62" w:name="r1999_082_s_27_ss_2"/>
      <w:bookmarkStart w:id="63" w:name="r1999_082_s_28"/>
      <w:bookmarkStart w:id="64" w:name="r1999_082_s_28_ss_1"/>
      <w:bookmarkStart w:id="65" w:name="r1999_082_s_28_ss_2"/>
      <w:bookmarkStart w:id="66" w:name="r1999_082_s_29"/>
      <w:bookmarkStart w:id="67" w:name="r1999_082_s_29_ss_1"/>
      <w:bookmarkStart w:id="68" w:name="r1999_082_s_29_ss_2"/>
      <w:bookmarkStart w:id="69" w:name="r1999_082_s_11_ss_1"/>
      <w:bookmarkStart w:id="70" w:name="r1999_082_s_11_ss_2"/>
      <w:bookmarkStart w:id="71" w:name="r1999_082_s_11_ss_3"/>
      <w:bookmarkStart w:id="72" w:name="r1999_082_s_12"/>
      <w:bookmarkStart w:id="73" w:name="r1999_082_s_12_ss_1"/>
      <w:bookmarkStart w:id="74" w:name="r1999_082_s_12_ss_3"/>
      <w:bookmarkStart w:id="75" w:name="r1999_082_s_13"/>
      <w:bookmarkStart w:id="76" w:name="r1999_082_s_13_ss_1"/>
      <w:bookmarkStart w:id="77" w:name="r1999_082_s_13_ss_2"/>
      <w:bookmarkStart w:id="78" w:name="r1999_082_s_14"/>
      <w:bookmarkStart w:id="79" w:name="r1999_082_s_21_ss_1"/>
      <w:bookmarkStart w:id="80" w:name="r1999_082_s_21_ss_2"/>
      <w:bookmarkStart w:id="81" w:name="r1999_082_sch_1_pt_4_s_1"/>
      <w:bookmarkStart w:id="82" w:name="r1999_082_sch_1_pt_4_s_2"/>
      <w:bookmarkEnd w:id="5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6441E4">
        <w:t>Disclosure of capital contributions</w:t>
      </w:r>
    </w:p>
    <w:p w:rsidR="00F40DAE" w:rsidRDefault="003F2A68">
      <w:pPr>
        <w:pStyle w:val="HeadingH4Clausetext"/>
        <w:tabs>
          <w:tab w:val="clear" w:pos="4679"/>
          <w:tab w:val="num" w:pos="709"/>
        </w:tabs>
      </w:pPr>
      <w:bookmarkStart w:id="83" w:name="_Ref329115487"/>
      <w:r w:rsidRPr="006441E4">
        <w:t xml:space="preserve">Every </w:t>
      </w:r>
      <w:r w:rsidRPr="006441E4">
        <w:rPr>
          <w:b/>
        </w:rPr>
        <w:t>GTB</w:t>
      </w:r>
      <w:r w:rsidRPr="006441E4">
        <w:t xml:space="preserve"> must at all times </w:t>
      </w:r>
      <w:r w:rsidRPr="006441E4">
        <w:rPr>
          <w:b/>
        </w:rPr>
        <w:t>publicly disclose</w:t>
      </w:r>
      <w:r w:rsidRPr="006441E4">
        <w:t>:</w:t>
      </w:r>
      <w:bookmarkEnd w:id="83"/>
    </w:p>
    <w:p w:rsidR="00F40DAE" w:rsidRDefault="00F44DEB">
      <w:pPr>
        <w:pStyle w:val="HeadingH5ClausesubtextL1"/>
      </w:pPr>
      <w:r w:rsidRPr="006441E4">
        <w:t>A</w:t>
      </w:r>
      <w:r w:rsidR="003F2A68" w:rsidRPr="006441E4">
        <w:t xml:space="preserve"> description of its current policy or methodology for determining </w:t>
      </w:r>
      <w:r w:rsidR="003F2A68" w:rsidRPr="006441E4">
        <w:rPr>
          <w:b/>
        </w:rPr>
        <w:t>capital contributions</w:t>
      </w:r>
      <w:r w:rsidR="003F2A68" w:rsidRPr="006441E4">
        <w:t>, including:</w:t>
      </w:r>
    </w:p>
    <w:p w:rsidR="00F40DAE" w:rsidRDefault="003F2A68">
      <w:pPr>
        <w:pStyle w:val="HeadingH6ClausesubtextL2"/>
      </w:pPr>
      <w:r w:rsidRPr="006441E4">
        <w:t xml:space="preserve">the circumstances (or how to determine the circumstances) under which the </w:t>
      </w:r>
      <w:r w:rsidRPr="006441E4">
        <w:rPr>
          <w:b/>
        </w:rPr>
        <w:t>GTB</w:t>
      </w:r>
      <w:r w:rsidRPr="006441E4">
        <w:t xml:space="preserve"> may require a </w:t>
      </w:r>
      <w:r w:rsidRPr="006441E4">
        <w:rPr>
          <w:b/>
        </w:rPr>
        <w:t>capital contribution</w:t>
      </w:r>
      <w:r w:rsidR="00AB64EB" w:rsidRPr="006441E4">
        <w:t>;</w:t>
      </w:r>
    </w:p>
    <w:p w:rsidR="00F40DAE" w:rsidRDefault="003F2A68">
      <w:pPr>
        <w:pStyle w:val="HeadingH6ClausesubtextL2"/>
      </w:pPr>
      <w:proofErr w:type="gramStart"/>
      <w:r w:rsidRPr="006441E4">
        <w:t>how</w:t>
      </w:r>
      <w:proofErr w:type="gramEnd"/>
      <w:r w:rsidRPr="006441E4">
        <w:t xml:space="preserve"> the amount payable of any </w:t>
      </w:r>
      <w:r w:rsidRPr="006441E4">
        <w:rPr>
          <w:b/>
        </w:rPr>
        <w:t>capital contribution</w:t>
      </w:r>
      <w:r w:rsidRPr="006441E4">
        <w:t xml:space="preserve"> is determined. Disclosure must include a description of how the costs of any </w:t>
      </w:r>
      <w:r w:rsidRPr="006441E4">
        <w:rPr>
          <w:b/>
        </w:rPr>
        <w:t>shared assets</w:t>
      </w:r>
      <w:r w:rsidRPr="006441E4">
        <w:t xml:space="preserve"> (if applicable) and any </w:t>
      </w:r>
      <w:r w:rsidRPr="006441E4">
        <w:rPr>
          <w:b/>
        </w:rPr>
        <w:t>sole use assets</w:t>
      </w:r>
      <w:r w:rsidRPr="006441E4">
        <w:t xml:space="preserve"> that are included in the amount of the </w:t>
      </w:r>
      <w:r w:rsidRPr="006441E4">
        <w:rPr>
          <w:b/>
        </w:rPr>
        <w:t>capital contribution</w:t>
      </w:r>
      <w:r w:rsidRPr="006441E4">
        <w:t>, are calculated</w:t>
      </w:r>
    </w:p>
    <w:p w:rsidR="00F40DAE" w:rsidRDefault="00F676CD">
      <w:pPr>
        <w:pStyle w:val="HeadingH6ClausesubtextL2"/>
      </w:pPr>
      <w:r w:rsidRPr="006441E4">
        <w:t xml:space="preserve">the extent to which </w:t>
      </w:r>
      <w:r w:rsidR="003F2A68" w:rsidRPr="006441E4">
        <w:t xml:space="preserve">any policy or methodology applied is consistent with the </w:t>
      </w:r>
      <w:r w:rsidR="00854A84">
        <w:t xml:space="preserve">relevant </w:t>
      </w:r>
      <w:r w:rsidR="003F2A68" w:rsidRPr="006441E4">
        <w:rPr>
          <w:b/>
        </w:rPr>
        <w:t>pricing principles</w:t>
      </w:r>
    </w:p>
    <w:p w:rsidR="00F40DAE" w:rsidRDefault="00F44DEB">
      <w:pPr>
        <w:pStyle w:val="HeadingH5ClausesubtextL1"/>
      </w:pPr>
      <w:r w:rsidRPr="006441E4">
        <w:t>A</w:t>
      </w:r>
      <w:r w:rsidR="003F2A68" w:rsidRPr="006441E4">
        <w:t xml:space="preserve"> statement of whether a </w:t>
      </w:r>
      <w:r w:rsidR="003F2A68" w:rsidRPr="006441E4">
        <w:rPr>
          <w:b/>
        </w:rPr>
        <w:t>consumer</w:t>
      </w:r>
      <w:r w:rsidR="003F2A68" w:rsidRPr="006441E4">
        <w:t xml:space="preserve"> </w:t>
      </w:r>
      <w:r w:rsidR="00383DE5">
        <w:t xml:space="preserve">or any other </w:t>
      </w:r>
      <w:r w:rsidR="00383DE5" w:rsidRPr="00383DE5">
        <w:rPr>
          <w:b/>
        </w:rPr>
        <w:t>person</w:t>
      </w:r>
      <w:r w:rsidR="00383DE5">
        <w:t xml:space="preserve"> </w:t>
      </w:r>
      <w:r w:rsidR="003F2A68" w:rsidRPr="00383DE5">
        <w:t>can</w:t>
      </w:r>
      <w:r w:rsidR="003F2A68" w:rsidRPr="006441E4">
        <w:t xml:space="preserve"> use an independent contractor to undertake some or all of the work covered by the </w:t>
      </w:r>
      <w:r w:rsidR="003F2A68" w:rsidRPr="006441E4">
        <w:rPr>
          <w:b/>
        </w:rPr>
        <w:t>capital contribution</w:t>
      </w:r>
      <w:r w:rsidR="003F2A68" w:rsidRPr="006441E4">
        <w:t xml:space="preserve"> sought by the </w:t>
      </w:r>
      <w:r w:rsidR="003F2A68" w:rsidRPr="006441E4">
        <w:rPr>
          <w:b/>
        </w:rPr>
        <w:t>GTB</w:t>
      </w:r>
      <w:r w:rsidR="00F676CD" w:rsidRPr="006441E4">
        <w:t>,</w:t>
      </w:r>
      <w:r w:rsidR="003F2A68" w:rsidRPr="006441E4">
        <w:t xml:space="preserve"> as an alternative to paying the full amount of the </w:t>
      </w:r>
      <w:r w:rsidR="003F2A68" w:rsidRPr="006441E4">
        <w:rPr>
          <w:b/>
        </w:rPr>
        <w:t>capital contribution</w:t>
      </w:r>
      <w:r w:rsidR="003F2A68" w:rsidRPr="006441E4">
        <w:t xml:space="preserve"> to the </w:t>
      </w:r>
      <w:r w:rsidR="003F2A68" w:rsidRPr="006441E4">
        <w:rPr>
          <w:b/>
        </w:rPr>
        <w:t>GTB</w:t>
      </w:r>
    </w:p>
    <w:p w:rsidR="00F40DAE" w:rsidRDefault="00F44DEB">
      <w:pPr>
        <w:pStyle w:val="HeadingH5ClausesubtextL1"/>
      </w:pPr>
      <w:r w:rsidRPr="006441E4">
        <w:t>I</w:t>
      </w:r>
      <w:r w:rsidR="003F2A68" w:rsidRPr="006441E4">
        <w:t xml:space="preserve">f the </w:t>
      </w:r>
      <w:r w:rsidR="003F2A68" w:rsidRPr="006441E4">
        <w:rPr>
          <w:b/>
        </w:rPr>
        <w:t>GTB</w:t>
      </w:r>
      <w:r w:rsidR="003F2A68" w:rsidRPr="006441E4">
        <w:t xml:space="preserve"> has a standard schedule of </w:t>
      </w:r>
      <w:r w:rsidR="00F676CD" w:rsidRPr="006441E4">
        <w:rPr>
          <w:b/>
        </w:rPr>
        <w:t>capital contributions</w:t>
      </w:r>
      <w:r w:rsidR="00F676CD" w:rsidRPr="006441E4">
        <w:t xml:space="preserve"> </w:t>
      </w:r>
      <w:r w:rsidR="003F2A68" w:rsidRPr="006441E4">
        <w:t>charges, the current version of that standard schedule.</w:t>
      </w:r>
    </w:p>
    <w:p w:rsidR="00F40DAE" w:rsidRDefault="003F2A68">
      <w:pPr>
        <w:pStyle w:val="HeadingH4Clausetext"/>
        <w:tabs>
          <w:tab w:val="clear" w:pos="4679"/>
          <w:tab w:val="num" w:pos="709"/>
        </w:tabs>
      </w:pPr>
      <w:bookmarkStart w:id="84" w:name="_Ref329115517"/>
      <w:r w:rsidRPr="006441E4">
        <w:t xml:space="preserve">When a </w:t>
      </w:r>
      <w:r w:rsidR="009053AA" w:rsidRPr="006441E4">
        <w:rPr>
          <w:b/>
        </w:rPr>
        <w:t>consumer</w:t>
      </w:r>
      <w:r w:rsidRPr="006441E4">
        <w:t xml:space="preserve"> </w:t>
      </w:r>
      <w:r w:rsidR="00EE23F9">
        <w:t xml:space="preserve">or other </w:t>
      </w:r>
      <w:r w:rsidR="00EE23F9" w:rsidRPr="00983224">
        <w:rPr>
          <w:b/>
        </w:rPr>
        <w:t>person</w:t>
      </w:r>
      <w:r w:rsidR="00EE23F9">
        <w:rPr>
          <w:b/>
        </w:rPr>
        <w:t xml:space="preserve"> </w:t>
      </w:r>
      <w:r w:rsidRPr="006441E4">
        <w:t>from whom a</w:t>
      </w:r>
      <w:r w:rsidR="00484694">
        <w:t xml:space="preserve"> </w:t>
      </w:r>
      <w:r w:rsidR="00484694">
        <w:rPr>
          <w:b/>
        </w:rPr>
        <w:t xml:space="preserve">GTB </w:t>
      </w:r>
      <w:r w:rsidR="00484694">
        <w:t>seeks a</w:t>
      </w:r>
      <w:r w:rsidRPr="006441E4">
        <w:t xml:space="preserve"> </w:t>
      </w:r>
      <w:r w:rsidRPr="006441E4">
        <w:rPr>
          <w:b/>
        </w:rPr>
        <w:t>capital contribution</w:t>
      </w:r>
      <w:r w:rsidRPr="006441E4">
        <w:t xml:space="preserve"> queries the capital </w:t>
      </w:r>
      <w:r w:rsidRPr="006441E4">
        <w:rPr>
          <w:b/>
        </w:rPr>
        <w:t>contribution charge</w:t>
      </w:r>
      <w:r w:rsidRPr="006441E4">
        <w:t xml:space="preserve">, (and when the charge is not covered in the schedule of standard </w:t>
      </w:r>
      <w:r w:rsidRPr="006441E4">
        <w:rPr>
          <w:b/>
        </w:rPr>
        <w:t>capital contribution</w:t>
      </w:r>
      <w:r w:rsidRPr="006441E4">
        <w:t xml:space="preserve"> charges, or no such schedule exists) a </w:t>
      </w:r>
      <w:r w:rsidRPr="006441E4">
        <w:rPr>
          <w:b/>
        </w:rPr>
        <w:t>GTB</w:t>
      </w:r>
      <w:r w:rsidRPr="006441E4">
        <w:t xml:space="preserve"> must</w:t>
      </w:r>
      <w:r w:rsidR="00F676CD" w:rsidRPr="006441E4">
        <w:t>,</w:t>
      </w:r>
      <w:r w:rsidRPr="006441E4">
        <w:t xml:space="preserve"> </w:t>
      </w:r>
      <w:r w:rsidR="00F676CD" w:rsidRPr="006441E4">
        <w:t xml:space="preserve">within 10 working days of receiving the request, </w:t>
      </w:r>
      <w:r w:rsidRPr="006441E4">
        <w:t xml:space="preserve">provide reasonable explanation to any reasonable query from that </w:t>
      </w:r>
      <w:r w:rsidR="00F86836" w:rsidRPr="00F86836">
        <w:rPr>
          <w:b/>
        </w:rPr>
        <w:t>consumer</w:t>
      </w:r>
      <w:r w:rsidR="00EE23F9">
        <w:t xml:space="preserve"> or other </w:t>
      </w:r>
      <w:r w:rsidRPr="006441E4">
        <w:rPr>
          <w:b/>
        </w:rPr>
        <w:t>person</w:t>
      </w:r>
      <w:r w:rsidRPr="006441E4">
        <w:t xml:space="preserve"> of the components of that charge and how these were determined</w:t>
      </w:r>
      <w:r w:rsidR="00AB64EB" w:rsidRPr="006441E4">
        <w:t>.</w:t>
      </w:r>
      <w:bookmarkEnd w:id="84"/>
      <w:r w:rsidR="00DB4E72">
        <w:t xml:space="preserve"> </w:t>
      </w:r>
    </w:p>
    <w:p w:rsidR="00DB4E72" w:rsidRDefault="00DB4E72" w:rsidP="00A03282">
      <w:pPr>
        <w:pStyle w:val="HeadingH4Clausetext"/>
        <w:tabs>
          <w:tab w:val="clear" w:pos="4679"/>
          <w:tab w:val="num" w:pos="709"/>
        </w:tabs>
      </w:pPr>
      <w:r>
        <w:t xml:space="preserve">The requirements in </w:t>
      </w:r>
      <w:r w:rsidRPr="004A7591">
        <w:t xml:space="preserve">clauses </w:t>
      </w:r>
      <w:r w:rsidR="0033518E">
        <w:fldChar w:fldCharType="begin"/>
      </w:r>
      <w:r w:rsidR="00FA195A">
        <w:instrText xml:space="preserve"> REF _Ref329115487 \r \h </w:instrText>
      </w:r>
      <w:r w:rsidR="0033518E">
        <w:fldChar w:fldCharType="separate"/>
      </w:r>
      <w:r w:rsidR="00B06C04">
        <w:t>2.4.6</w:t>
      </w:r>
      <w:r w:rsidR="0033518E">
        <w:fldChar w:fldCharType="end"/>
      </w:r>
      <w:r w:rsidRPr="004A7591">
        <w:t xml:space="preserve"> and </w:t>
      </w:r>
      <w:r w:rsidR="0033518E">
        <w:fldChar w:fldCharType="begin"/>
      </w:r>
      <w:r w:rsidR="00FA195A">
        <w:instrText xml:space="preserve"> REF _Ref329115517 \r \h </w:instrText>
      </w:r>
      <w:r w:rsidR="0033518E">
        <w:fldChar w:fldCharType="separate"/>
      </w:r>
      <w:r w:rsidR="00B06C04">
        <w:t>2.4.7</w:t>
      </w:r>
      <w:r w:rsidR="0033518E">
        <w:fldChar w:fldCharType="end"/>
      </w:r>
      <w:r w:rsidR="00FA195A">
        <w:t xml:space="preserve"> </w:t>
      </w:r>
      <w:r>
        <w:t>apply if:</w:t>
      </w:r>
    </w:p>
    <w:p w:rsidR="00DB4E72" w:rsidRDefault="00DB4E72" w:rsidP="00DB4E72">
      <w:pPr>
        <w:pStyle w:val="HeadingH5ClausesubtextL1"/>
        <w:tabs>
          <w:tab w:val="num" w:pos="-31680"/>
        </w:tabs>
      </w:pPr>
      <w:r>
        <w:t xml:space="preserve">the </w:t>
      </w:r>
      <w:r w:rsidR="00EE23F9">
        <w:rPr>
          <w:b/>
        </w:rPr>
        <w:t>GT</w:t>
      </w:r>
      <w:r w:rsidRPr="00066507">
        <w:rPr>
          <w:b/>
        </w:rPr>
        <w:t>B</w:t>
      </w:r>
      <w:r>
        <w:t xml:space="preserve"> determines the amount of </w:t>
      </w:r>
      <w:r w:rsidRPr="00066507">
        <w:rPr>
          <w:b/>
        </w:rPr>
        <w:t>capital contributions</w:t>
      </w:r>
      <w:r>
        <w:t xml:space="preserve"> </w:t>
      </w:r>
    </w:p>
    <w:p w:rsidR="00DB4E72" w:rsidRDefault="00DB4E72" w:rsidP="00DB4E72">
      <w:pPr>
        <w:pStyle w:val="HeadingH5ClausesubtextL1"/>
        <w:tabs>
          <w:tab w:val="num" w:pos="-31680"/>
        </w:tabs>
      </w:pPr>
      <w:proofErr w:type="gramStart"/>
      <w:r>
        <w:t>the</w:t>
      </w:r>
      <w:proofErr w:type="gramEnd"/>
      <w:r>
        <w:t xml:space="preserve"> </w:t>
      </w:r>
      <w:r w:rsidR="00EE23F9">
        <w:rPr>
          <w:b/>
        </w:rPr>
        <w:t>GT</w:t>
      </w:r>
      <w:r>
        <w:rPr>
          <w:b/>
        </w:rPr>
        <w:t>B</w:t>
      </w:r>
      <w:r w:rsidRPr="00E75842">
        <w:t xml:space="preserve"> has or can obtain </w:t>
      </w:r>
      <w:r>
        <w:t xml:space="preserve">information about the policy or methodology used by another </w:t>
      </w:r>
      <w:r>
        <w:rPr>
          <w:b/>
        </w:rPr>
        <w:t xml:space="preserve">person </w:t>
      </w:r>
      <w:r>
        <w:t xml:space="preserve">to determine </w:t>
      </w:r>
      <w:r>
        <w:rPr>
          <w:b/>
        </w:rPr>
        <w:t xml:space="preserve">capital contributions </w:t>
      </w:r>
      <w:r>
        <w:t xml:space="preserve">where the </w:t>
      </w:r>
      <w:r w:rsidR="00AF22FA">
        <w:rPr>
          <w:b/>
        </w:rPr>
        <w:t>GTB</w:t>
      </w:r>
      <w:r>
        <w:rPr>
          <w:b/>
        </w:rPr>
        <w:t xml:space="preserve"> </w:t>
      </w:r>
      <w:r w:rsidRPr="009179AB">
        <w:t xml:space="preserve">receives </w:t>
      </w:r>
      <w:r>
        <w:t xml:space="preserve">those </w:t>
      </w:r>
      <w:r>
        <w:rPr>
          <w:b/>
        </w:rPr>
        <w:t>capital contributions</w:t>
      </w:r>
      <w:r w:rsidRPr="009179AB">
        <w:t>.</w:t>
      </w:r>
    </w:p>
    <w:p w:rsidR="003F2A68" w:rsidRPr="006441E4" w:rsidRDefault="003F2A68" w:rsidP="002B1F59">
      <w:pPr>
        <w:pStyle w:val="Heading3"/>
        <w:spacing w:line="264" w:lineRule="auto"/>
      </w:pPr>
      <w:r w:rsidRPr="006441E4">
        <w:t>Disclosure of prescribed terms and conditions of contracts</w:t>
      </w:r>
    </w:p>
    <w:p w:rsidR="00F40DAE" w:rsidRDefault="00854A84">
      <w:pPr>
        <w:pStyle w:val="HeadingH4Clausetext"/>
        <w:tabs>
          <w:tab w:val="clear" w:pos="4679"/>
          <w:tab w:val="num" w:pos="709"/>
        </w:tabs>
      </w:pPr>
      <w:bookmarkStart w:id="85" w:name="_Ref329271558"/>
      <w:r>
        <w:t xml:space="preserve">Subject to clause </w:t>
      </w:r>
      <w:r w:rsidR="0033518E">
        <w:fldChar w:fldCharType="begin"/>
      </w:r>
      <w:r w:rsidR="00EE23F9">
        <w:instrText xml:space="preserve"> REF _Ref329113127 \r \h </w:instrText>
      </w:r>
      <w:r w:rsidR="0033518E">
        <w:fldChar w:fldCharType="separate"/>
      </w:r>
      <w:r w:rsidR="00B06C04">
        <w:t>2.4.15</w:t>
      </w:r>
      <w:r w:rsidR="0033518E">
        <w:fldChar w:fldCharType="end"/>
      </w:r>
      <w:r>
        <w:t>, e</w:t>
      </w:r>
      <w:r w:rsidRPr="002F2828">
        <w:t xml:space="preserve">very </w:t>
      </w:r>
      <w:r w:rsidR="003F2A68" w:rsidRPr="006441E4">
        <w:rPr>
          <w:b/>
        </w:rPr>
        <w:t>GTB</w:t>
      </w:r>
      <w:r w:rsidR="003F2A68" w:rsidRPr="006441E4">
        <w:t xml:space="preserve"> must, not later than </w:t>
      </w:r>
      <w:r w:rsidR="003211E9">
        <w:t>20 working days</w:t>
      </w:r>
      <w:r w:rsidR="003F2A68" w:rsidRPr="006441E4">
        <w:t xml:space="preserve"> after entering into a </w:t>
      </w:r>
      <w:r w:rsidR="003F2A68" w:rsidRPr="006441E4">
        <w:rPr>
          <w:b/>
        </w:rPr>
        <w:t>prescribed contract</w:t>
      </w:r>
      <w:r w:rsidR="003F2A68" w:rsidRPr="006441E4">
        <w:t xml:space="preserve"> that is a </w:t>
      </w:r>
      <w:r w:rsidR="003F2A68" w:rsidRPr="006441E4">
        <w:rPr>
          <w:b/>
        </w:rPr>
        <w:t>standard contract</w:t>
      </w:r>
      <w:r w:rsidR="003F2A68" w:rsidRPr="006441E4">
        <w:t xml:space="preserve">, </w:t>
      </w:r>
      <w:r w:rsidR="003F2A68" w:rsidRPr="006441E4">
        <w:rPr>
          <w:b/>
        </w:rPr>
        <w:t>publicly disclose</w:t>
      </w:r>
      <w:r w:rsidR="003F2A68" w:rsidRPr="006441E4">
        <w:t xml:space="preserve"> </w:t>
      </w:r>
      <w:r w:rsidR="00AB64EB" w:rsidRPr="006441E4">
        <w:t>th</w:t>
      </w:r>
      <w:r w:rsidR="003F2A68" w:rsidRPr="006441E4">
        <w:t xml:space="preserve">e </w:t>
      </w:r>
      <w:r w:rsidR="003F2A68" w:rsidRPr="006441E4">
        <w:rPr>
          <w:b/>
        </w:rPr>
        <w:t>prescribed terms and conditions</w:t>
      </w:r>
      <w:r w:rsidR="003F2A68" w:rsidRPr="006441E4">
        <w:t xml:space="preserve"> of the </w:t>
      </w:r>
      <w:r w:rsidR="003F2A68" w:rsidRPr="006441E4">
        <w:rPr>
          <w:b/>
        </w:rPr>
        <w:t>prescribed contract</w:t>
      </w:r>
      <w:r w:rsidR="00AB64EB" w:rsidRPr="006441E4">
        <w:t>.</w:t>
      </w:r>
      <w:bookmarkEnd w:id="85"/>
    </w:p>
    <w:p w:rsidR="00F40DAE" w:rsidRDefault="009727C7">
      <w:pPr>
        <w:pStyle w:val="HeadingH4Clausetext"/>
        <w:tabs>
          <w:tab w:val="clear" w:pos="4679"/>
          <w:tab w:val="num" w:pos="709"/>
        </w:tabs>
      </w:pPr>
      <w:bookmarkStart w:id="86" w:name="_Ref329115038"/>
      <w:bookmarkStart w:id="87" w:name="_Ref313455992"/>
      <w:r>
        <w:t xml:space="preserve">Subject to section 53C(4) of the </w:t>
      </w:r>
      <w:r w:rsidRPr="00D85800">
        <w:rPr>
          <w:b/>
        </w:rPr>
        <w:t>Act</w:t>
      </w:r>
      <w:r>
        <w:rPr>
          <w:b/>
        </w:rPr>
        <w:t xml:space="preserve"> </w:t>
      </w:r>
      <w:r>
        <w:t>e</w:t>
      </w:r>
      <w:r w:rsidRPr="002F2828">
        <w:t xml:space="preserve">very </w:t>
      </w:r>
      <w:r w:rsidRPr="002F2828">
        <w:rPr>
          <w:b/>
        </w:rPr>
        <w:t>G</w:t>
      </w:r>
      <w:r w:rsidR="00EE23F9">
        <w:rPr>
          <w:b/>
        </w:rPr>
        <w:t>T</w:t>
      </w:r>
      <w:r w:rsidRPr="002F2828">
        <w:rPr>
          <w:b/>
        </w:rPr>
        <w:t>B</w:t>
      </w:r>
      <w:r w:rsidRPr="002F2828">
        <w:t xml:space="preserve"> must, </w:t>
      </w:r>
      <w:r>
        <w:t xml:space="preserve">in respect of all </w:t>
      </w:r>
      <w:r w:rsidRPr="00186873">
        <w:rPr>
          <w:b/>
        </w:rPr>
        <w:t>prescribed</w:t>
      </w:r>
      <w:r w:rsidR="00F86836" w:rsidRPr="00F86836">
        <w:rPr>
          <w:b/>
        </w:rPr>
        <w:t xml:space="preserve"> </w:t>
      </w:r>
      <w:r w:rsidRPr="00186873">
        <w:rPr>
          <w:b/>
        </w:rPr>
        <w:t>contract</w:t>
      </w:r>
      <w:r w:rsidR="00F86836" w:rsidRPr="00F86836">
        <w:rPr>
          <w:b/>
        </w:rPr>
        <w:t>s</w:t>
      </w:r>
      <w:r w:rsidRPr="00604256">
        <w:t xml:space="preserve"> that </w:t>
      </w:r>
      <w:r>
        <w:t xml:space="preserve">are </w:t>
      </w:r>
      <w:r w:rsidRPr="00604256">
        <w:rPr>
          <w:b/>
        </w:rPr>
        <w:t>non-standard contract</w:t>
      </w:r>
      <w:r>
        <w:rPr>
          <w:b/>
        </w:rPr>
        <w:t xml:space="preserve">s </w:t>
      </w:r>
      <w:r>
        <w:t xml:space="preserve">entered into during the </w:t>
      </w:r>
      <w:r w:rsidR="00F86836" w:rsidRPr="00F86836">
        <w:rPr>
          <w:b/>
        </w:rPr>
        <w:t>disclosure year</w:t>
      </w:r>
      <w:r w:rsidRPr="00604256">
        <w:t xml:space="preserve">, </w:t>
      </w:r>
      <w:r>
        <w:t>w</w:t>
      </w:r>
      <w:r w:rsidRPr="00604256">
        <w:t xml:space="preserve">ithin </w:t>
      </w:r>
      <w:r w:rsidR="00815A33">
        <w:t>5</w:t>
      </w:r>
      <w:r w:rsidRPr="00604256">
        <w:t xml:space="preserve"> months after the end of </w:t>
      </w:r>
      <w:r>
        <w:t xml:space="preserve">that </w:t>
      </w:r>
      <w:r w:rsidRPr="00604256">
        <w:rPr>
          <w:b/>
        </w:rPr>
        <w:t>disclosure year</w:t>
      </w:r>
      <w:r>
        <w:t xml:space="preserve">, either </w:t>
      </w:r>
      <w:r w:rsidRPr="002F2828">
        <w:rPr>
          <w:b/>
        </w:rPr>
        <w:t>publicly disclose</w:t>
      </w:r>
      <w:bookmarkEnd w:id="86"/>
    </w:p>
    <w:bookmarkEnd w:id="87"/>
    <w:p w:rsidR="00F40DAE" w:rsidRDefault="00B75DFF">
      <w:pPr>
        <w:pStyle w:val="HeadingH5ClausesubtextL1"/>
      </w:pPr>
      <w:r>
        <w:t>a</w:t>
      </w:r>
      <w:r w:rsidR="009727C7" w:rsidRPr="003B6F2D">
        <w:t xml:space="preserve"> </w:t>
      </w:r>
      <w:r w:rsidR="009727C7" w:rsidRPr="002F2828">
        <w:t xml:space="preserve">description of the goods or services to be supplied under the </w:t>
      </w:r>
      <w:r w:rsidR="009727C7" w:rsidRPr="002F2828">
        <w:rPr>
          <w:b/>
        </w:rPr>
        <w:t>contract</w:t>
      </w:r>
      <w:r w:rsidR="00085EF8" w:rsidRPr="00085EF8">
        <w:t xml:space="preserve"> </w:t>
      </w:r>
      <w:r w:rsidR="00085EF8">
        <w:t xml:space="preserve">and </w:t>
      </w:r>
      <w:r w:rsidR="00085EF8" w:rsidRPr="00DF633C">
        <w:t>the quantity or amount of those goods or services</w:t>
      </w:r>
      <w:r w:rsidR="00085EF8">
        <w:t xml:space="preserve"> to be supplied under the </w:t>
      </w:r>
      <w:r w:rsidR="00085EF8" w:rsidRPr="00DF633C">
        <w:rPr>
          <w:b/>
        </w:rPr>
        <w:t>prescribed</w:t>
      </w:r>
      <w:r w:rsidR="00085EF8">
        <w:t xml:space="preserve"> </w:t>
      </w:r>
      <w:r w:rsidR="00085EF8" w:rsidRPr="009804D4">
        <w:rPr>
          <w:b/>
        </w:rPr>
        <w:t>contract</w:t>
      </w:r>
      <w:r w:rsidRPr="00085EF8">
        <w:t>;</w:t>
      </w:r>
      <w:r w:rsidR="00085EF8">
        <w:t xml:space="preserve"> or</w:t>
      </w:r>
    </w:p>
    <w:p w:rsidR="00F40DAE" w:rsidRDefault="009727C7">
      <w:pPr>
        <w:pStyle w:val="HeadingH5ClausesubtextL1"/>
      </w:pPr>
      <w:proofErr w:type="gramStart"/>
      <w:r w:rsidRPr="00DF51A5">
        <w:rPr>
          <w:b/>
        </w:rPr>
        <w:t>publicly</w:t>
      </w:r>
      <w:proofErr w:type="gramEnd"/>
      <w:r w:rsidRPr="00DF51A5">
        <w:rPr>
          <w:b/>
        </w:rPr>
        <w:t xml:space="preserve"> disclose</w:t>
      </w:r>
      <w:r>
        <w:t xml:space="preserve"> </w:t>
      </w:r>
      <w:r w:rsidRPr="00604256">
        <w:t xml:space="preserve">the </w:t>
      </w:r>
      <w:r w:rsidRPr="00604256">
        <w:rPr>
          <w:b/>
        </w:rPr>
        <w:t>prescribed terms and conditions</w:t>
      </w:r>
      <w:r w:rsidRPr="00604256">
        <w:t xml:space="preserve"> of </w:t>
      </w:r>
      <w:r>
        <w:t>each</w:t>
      </w:r>
      <w:r w:rsidRPr="00604256">
        <w:t xml:space="preserve"> </w:t>
      </w:r>
      <w:r w:rsidRPr="00604256">
        <w:rPr>
          <w:b/>
        </w:rPr>
        <w:t>prescribed contract</w:t>
      </w:r>
      <w:r w:rsidR="00B75DFF">
        <w:rPr>
          <w:b/>
        </w:rPr>
        <w:t xml:space="preserve"> </w:t>
      </w:r>
      <w:r w:rsidR="00B75DFF">
        <w:t xml:space="preserve">with the exception of </w:t>
      </w:r>
      <w:r w:rsidR="00B75DFF" w:rsidRPr="009804D4">
        <w:rPr>
          <w:b/>
        </w:rPr>
        <w:t>prescribed terms and conditions</w:t>
      </w:r>
      <w:r w:rsidR="00B75DFF">
        <w:t xml:space="preserve"> that specify, determine, or provide for the determination of the </w:t>
      </w:r>
      <w:r w:rsidR="00B75DFF" w:rsidRPr="009804D4">
        <w:rPr>
          <w:b/>
        </w:rPr>
        <w:t>price</w:t>
      </w:r>
      <w:r w:rsidR="00B75DFF">
        <w:t xml:space="preserve"> at which goods or services are to be supplied</w:t>
      </w:r>
      <w:r w:rsidR="00B75DFF" w:rsidRPr="00E257A6">
        <w:t>.</w:t>
      </w:r>
    </w:p>
    <w:p w:rsidR="00F40DAE" w:rsidRDefault="00600CB2">
      <w:pPr>
        <w:pStyle w:val="HeadingH4Clausetext"/>
        <w:tabs>
          <w:tab w:val="clear" w:pos="4679"/>
          <w:tab w:val="num" w:pos="709"/>
        </w:tabs>
      </w:pPr>
      <w:bookmarkStart w:id="88" w:name="_Ref329115054"/>
      <w:r w:rsidRPr="00600CB2">
        <w:t xml:space="preserve">For any </w:t>
      </w:r>
      <w:r w:rsidRPr="00600CB2">
        <w:rPr>
          <w:b/>
        </w:rPr>
        <w:t>contract</w:t>
      </w:r>
      <w:r w:rsidRPr="00600CB2">
        <w:t xml:space="preserve"> </w:t>
      </w:r>
      <w:r w:rsidR="00D14D0D">
        <w:t xml:space="preserve">for which information is </w:t>
      </w:r>
      <w:r w:rsidRPr="00600CB2">
        <w:rPr>
          <w:b/>
        </w:rPr>
        <w:t>publicly disclosed</w:t>
      </w:r>
      <w:r w:rsidRPr="00600CB2">
        <w:t xml:space="preserve"> under clause </w:t>
      </w:r>
      <w:r w:rsidR="0033518E">
        <w:fldChar w:fldCharType="begin"/>
      </w:r>
      <w:r w:rsidR="00FA195A">
        <w:instrText xml:space="preserve"> REF _Ref329115038 \r \h </w:instrText>
      </w:r>
      <w:r w:rsidR="0033518E">
        <w:fldChar w:fldCharType="separate"/>
      </w:r>
      <w:r w:rsidR="00B06C04">
        <w:t>2.4.10</w:t>
      </w:r>
      <w:r w:rsidR="0033518E">
        <w:fldChar w:fldCharType="end"/>
      </w:r>
      <w:r w:rsidRPr="00600CB2">
        <w:t xml:space="preserve">, </w:t>
      </w:r>
      <w:r w:rsidR="00B75DFF">
        <w:t xml:space="preserve">unless </w:t>
      </w:r>
      <w:r w:rsidR="00B75DFF" w:rsidRPr="009804D4">
        <w:rPr>
          <w:b/>
        </w:rPr>
        <w:t>prescribed terms and conditions</w:t>
      </w:r>
      <w:r w:rsidR="00B75DFF">
        <w:t xml:space="preserve"> have been publicly disclosed under </w:t>
      </w:r>
      <w:proofErr w:type="spellStart"/>
      <w:r w:rsidR="00B75DFF">
        <w:t>subclause</w:t>
      </w:r>
      <w:proofErr w:type="spellEnd"/>
      <w:r w:rsidR="00B75DFF">
        <w:t xml:space="preserve"> 2.4.10(2)(b), </w:t>
      </w:r>
      <w:r w:rsidRPr="00600CB2">
        <w:t xml:space="preserve">every </w:t>
      </w:r>
      <w:r w:rsidR="00A1310D">
        <w:rPr>
          <w:b/>
        </w:rPr>
        <w:t>GT</w:t>
      </w:r>
      <w:r w:rsidRPr="00600CB2">
        <w:rPr>
          <w:b/>
        </w:rPr>
        <w:t>B</w:t>
      </w:r>
      <w:r w:rsidRPr="00600CB2">
        <w:t xml:space="preserve"> must, within 20 working days of a request by any </w:t>
      </w:r>
      <w:r w:rsidRPr="00600CB2">
        <w:rPr>
          <w:b/>
        </w:rPr>
        <w:t>person</w:t>
      </w:r>
      <w:r w:rsidRPr="00600CB2">
        <w:t>,</w:t>
      </w:r>
      <w:r w:rsidR="007D09C8">
        <w:t xml:space="preserve"> provide to that </w:t>
      </w:r>
      <w:r w:rsidR="007D09C8">
        <w:rPr>
          <w:b/>
        </w:rPr>
        <w:t xml:space="preserve">person </w:t>
      </w:r>
      <w:r w:rsidR="007D09C8">
        <w:t>and</w:t>
      </w:r>
      <w:r w:rsidRPr="00600CB2">
        <w:t xml:space="preserve"> </w:t>
      </w:r>
      <w:r w:rsidR="00B75DFF" w:rsidRPr="00600CB2">
        <w:rPr>
          <w:b/>
        </w:rPr>
        <w:t>publicly disclose</w:t>
      </w:r>
      <w:r w:rsidR="00B75DFF" w:rsidRPr="00600CB2">
        <w:t xml:space="preserve"> </w:t>
      </w:r>
      <w:r w:rsidRPr="00600CB2">
        <w:t xml:space="preserve">the </w:t>
      </w:r>
      <w:r w:rsidRPr="00600CB2">
        <w:rPr>
          <w:b/>
        </w:rPr>
        <w:t xml:space="preserve">prescribed terms and conditions </w:t>
      </w:r>
      <w:r w:rsidRPr="00600CB2">
        <w:t xml:space="preserve">of the </w:t>
      </w:r>
      <w:r w:rsidRPr="00600CB2">
        <w:rPr>
          <w:b/>
        </w:rPr>
        <w:t>prescribed contract</w:t>
      </w:r>
      <w:r w:rsidR="00B75DFF">
        <w:rPr>
          <w:b/>
        </w:rPr>
        <w:t xml:space="preserve">, </w:t>
      </w:r>
      <w:r w:rsidR="00B75DFF">
        <w:t xml:space="preserve">with the exception of </w:t>
      </w:r>
      <w:r w:rsidR="00B75DFF" w:rsidRPr="009804D4">
        <w:rPr>
          <w:b/>
        </w:rPr>
        <w:t>prescribed terms and conditions</w:t>
      </w:r>
      <w:r w:rsidR="00B75DFF">
        <w:t xml:space="preserve"> that specify, determine, or provide for the determination of the </w:t>
      </w:r>
      <w:r w:rsidR="00B75DFF" w:rsidRPr="009804D4">
        <w:rPr>
          <w:b/>
        </w:rPr>
        <w:t>price</w:t>
      </w:r>
      <w:r w:rsidR="00B75DFF">
        <w:t xml:space="preserve"> at which goods or services are to be supplied</w:t>
      </w:r>
      <w:r w:rsidR="00B75DFF" w:rsidRPr="00E257A6">
        <w:t>.</w:t>
      </w:r>
      <w:bookmarkEnd w:id="88"/>
    </w:p>
    <w:p w:rsidR="00F40DAE" w:rsidRDefault="00896FAB">
      <w:pPr>
        <w:pStyle w:val="HeadingH4Clausetext"/>
        <w:tabs>
          <w:tab w:val="clear" w:pos="4679"/>
          <w:tab w:val="num" w:pos="709"/>
        </w:tabs>
      </w:pPr>
      <w:r>
        <w:t xml:space="preserve">Subject to section 53C(4) of the </w:t>
      </w:r>
      <w:r w:rsidRPr="00D85800">
        <w:rPr>
          <w:b/>
        </w:rPr>
        <w:t>Act</w:t>
      </w:r>
      <w:r w:rsidRPr="00D85800">
        <w:t>,</w:t>
      </w:r>
      <w:r>
        <w:t xml:space="preserve"> i</w:t>
      </w:r>
      <w:r w:rsidR="003F2A68" w:rsidRPr="006441E4">
        <w:t xml:space="preserve">f any </w:t>
      </w:r>
      <w:r w:rsidR="003F2A68" w:rsidRPr="006441E4">
        <w:rPr>
          <w:b/>
        </w:rPr>
        <w:t>prescribed terms and conditions</w:t>
      </w:r>
      <w:r w:rsidR="003F2A68" w:rsidRPr="006441E4">
        <w:t xml:space="preserve"> of a </w:t>
      </w:r>
      <w:r w:rsidR="003F2A68" w:rsidRPr="006441E4">
        <w:rPr>
          <w:b/>
        </w:rPr>
        <w:t>prescribed contract</w:t>
      </w:r>
      <w:r w:rsidR="003F2A68" w:rsidRPr="006441E4">
        <w:t xml:space="preserve"> </w:t>
      </w:r>
      <w:r w:rsidR="00F676CD" w:rsidRPr="006441E4">
        <w:t xml:space="preserve">which is also </w:t>
      </w:r>
      <w:r w:rsidR="00717DCE" w:rsidRPr="006441E4">
        <w:t xml:space="preserve">a </w:t>
      </w:r>
      <w:r w:rsidR="00F676CD" w:rsidRPr="006441E4">
        <w:rPr>
          <w:b/>
        </w:rPr>
        <w:t xml:space="preserve">standard contract </w:t>
      </w:r>
      <w:r w:rsidR="00F676CD" w:rsidRPr="006441E4">
        <w:t>(</w:t>
      </w:r>
      <w:r w:rsidR="003F2A68" w:rsidRPr="006441E4">
        <w:t xml:space="preserve">including a </w:t>
      </w:r>
      <w:r w:rsidR="003F2A68" w:rsidRPr="006441E4">
        <w:rPr>
          <w:b/>
        </w:rPr>
        <w:t>prescribed contract</w:t>
      </w:r>
      <w:r w:rsidR="003F2A68" w:rsidRPr="006441E4">
        <w:t xml:space="preserve"> that was entered into before the date on which this determination comes into force) are modified, the </w:t>
      </w:r>
      <w:r w:rsidR="003F2A68" w:rsidRPr="006441E4">
        <w:rPr>
          <w:b/>
        </w:rPr>
        <w:t>GTB</w:t>
      </w:r>
      <w:r w:rsidR="003F2A68" w:rsidRPr="006441E4">
        <w:t xml:space="preserve"> must, not later than </w:t>
      </w:r>
      <w:r w:rsidR="003211E9">
        <w:t>20 working days</w:t>
      </w:r>
      <w:r w:rsidR="003F2A68" w:rsidRPr="006441E4">
        <w:t xml:space="preserve"> after those modifications take effect, </w:t>
      </w:r>
      <w:r w:rsidR="003F2A68" w:rsidRPr="006441E4">
        <w:rPr>
          <w:b/>
        </w:rPr>
        <w:t>publicly disclose</w:t>
      </w:r>
      <w:r w:rsidR="003F2A68" w:rsidRPr="006441E4">
        <w:t>:</w:t>
      </w:r>
    </w:p>
    <w:p w:rsidR="00F40DAE" w:rsidRDefault="00F44DEB">
      <w:pPr>
        <w:pStyle w:val="HeadingH5ClausesubtextL1"/>
      </w:pPr>
      <w:r w:rsidRPr="006441E4">
        <w:t>T</w:t>
      </w:r>
      <w:r w:rsidR="003F2A68" w:rsidRPr="006441E4">
        <w:t xml:space="preserve">he </w:t>
      </w:r>
      <w:r w:rsidR="00F86836" w:rsidRPr="00F86836">
        <w:rPr>
          <w:b/>
        </w:rPr>
        <w:t>prescribed contract</w:t>
      </w:r>
      <w:r w:rsidR="003F2A68" w:rsidRPr="006441E4">
        <w:t xml:space="preserve"> concerned</w:t>
      </w:r>
      <w:r w:rsidR="00AB64EB" w:rsidRPr="006441E4">
        <w:t>;</w:t>
      </w:r>
    </w:p>
    <w:p w:rsidR="00F40DAE" w:rsidRDefault="00F44DEB">
      <w:pPr>
        <w:pStyle w:val="HeadingH5ClausesubtextL1"/>
      </w:pPr>
      <w:r w:rsidRPr="006441E4">
        <w:t>T</w:t>
      </w:r>
      <w:r w:rsidR="003F2A68" w:rsidRPr="006441E4">
        <w:t xml:space="preserve">he modifications made to the </w:t>
      </w:r>
      <w:r w:rsidR="003F2A68" w:rsidRPr="006441E4">
        <w:rPr>
          <w:b/>
        </w:rPr>
        <w:t>prescribed terms and conditions</w:t>
      </w:r>
      <w:r w:rsidR="003F2A68" w:rsidRPr="006441E4">
        <w:t>.</w:t>
      </w:r>
    </w:p>
    <w:p w:rsidR="00F40DAE" w:rsidRDefault="00896FAB">
      <w:pPr>
        <w:pStyle w:val="HeadingH4Clausetext"/>
        <w:tabs>
          <w:tab w:val="clear" w:pos="4679"/>
          <w:tab w:val="num" w:pos="709"/>
        </w:tabs>
      </w:pPr>
      <w:bookmarkStart w:id="89" w:name="_Ref329114937"/>
      <w:r>
        <w:t xml:space="preserve">Subject to section </w:t>
      </w:r>
      <w:proofErr w:type="gramStart"/>
      <w:r>
        <w:t>53C(</w:t>
      </w:r>
      <w:proofErr w:type="gramEnd"/>
      <w:r>
        <w:t xml:space="preserve">4) of the </w:t>
      </w:r>
      <w:r w:rsidRPr="00D85800">
        <w:rPr>
          <w:b/>
        </w:rPr>
        <w:t>Act</w:t>
      </w:r>
      <w:r>
        <w:t xml:space="preserve"> and within </w:t>
      </w:r>
      <w:r w:rsidR="00815A33">
        <w:t>5</w:t>
      </w:r>
      <w:r>
        <w:t xml:space="preserve"> months after the end of the </w:t>
      </w:r>
      <w:r>
        <w:rPr>
          <w:b/>
        </w:rPr>
        <w:t xml:space="preserve">disclosure </w:t>
      </w:r>
      <w:r w:rsidRPr="0014441C">
        <w:rPr>
          <w:b/>
        </w:rPr>
        <w:t>year</w:t>
      </w:r>
      <w:r>
        <w:rPr>
          <w:b/>
        </w:rPr>
        <w:t>,</w:t>
      </w:r>
      <w:r w:rsidRPr="006441E4">
        <w:t xml:space="preserve"> </w:t>
      </w:r>
      <w:r>
        <w:t>i</w:t>
      </w:r>
      <w:r w:rsidR="003F2A68" w:rsidRPr="006441E4">
        <w:t xml:space="preserve">f any </w:t>
      </w:r>
      <w:r w:rsidR="003F2A68" w:rsidRPr="006441E4">
        <w:rPr>
          <w:b/>
        </w:rPr>
        <w:t>prescribed terms and conditions</w:t>
      </w:r>
      <w:r w:rsidR="003F2A68" w:rsidRPr="006441E4">
        <w:t xml:space="preserve"> of a </w:t>
      </w:r>
      <w:r w:rsidR="003F2A68" w:rsidRPr="006441E4">
        <w:rPr>
          <w:b/>
        </w:rPr>
        <w:t>prescribed contract</w:t>
      </w:r>
      <w:r w:rsidR="003F2A68" w:rsidRPr="006441E4">
        <w:t xml:space="preserve"> </w:t>
      </w:r>
      <w:r w:rsidR="00F676CD" w:rsidRPr="006441E4">
        <w:t xml:space="preserve">that is </w:t>
      </w:r>
      <w:r w:rsidR="003F2A68" w:rsidRPr="006441E4">
        <w:t xml:space="preserve">a </w:t>
      </w:r>
      <w:r w:rsidR="003F2A68" w:rsidRPr="006441E4">
        <w:rPr>
          <w:b/>
        </w:rPr>
        <w:t>non-standard contract</w:t>
      </w:r>
      <w:r w:rsidR="003F2A68" w:rsidRPr="006441E4">
        <w:t xml:space="preserve"> </w:t>
      </w:r>
      <w:r w:rsidR="00F676CD" w:rsidRPr="006441E4">
        <w:t xml:space="preserve">(including a </w:t>
      </w:r>
      <w:r w:rsidR="00F676CD" w:rsidRPr="006441E4">
        <w:rPr>
          <w:b/>
        </w:rPr>
        <w:t xml:space="preserve">prescribed contract </w:t>
      </w:r>
      <w:r w:rsidR="003F2A68" w:rsidRPr="006441E4">
        <w:t xml:space="preserve">that was entered into before the date on which this determination comes into force) are modified, then the </w:t>
      </w:r>
      <w:r w:rsidR="003F2A68" w:rsidRPr="006441E4">
        <w:rPr>
          <w:b/>
        </w:rPr>
        <w:t>GTB</w:t>
      </w:r>
      <w:r w:rsidR="003F2A68" w:rsidRPr="006441E4">
        <w:t xml:space="preserve"> must disclose to any </w:t>
      </w:r>
      <w:r w:rsidR="003F2A68" w:rsidRPr="006441E4">
        <w:rPr>
          <w:b/>
        </w:rPr>
        <w:t>person</w:t>
      </w:r>
      <w:r w:rsidR="003F2A68" w:rsidRPr="006441E4">
        <w:t xml:space="preserve">, within </w:t>
      </w:r>
      <w:r w:rsidR="003211E9">
        <w:t xml:space="preserve">20 working days </w:t>
      </w:r>
      <w:r w:rsidR="003F2A68" w:rsidRPr="006441E4">
        <w:t xml:space="preserve">of receiving a request from that </w:t>
      </w:r>
      <w:r w:rsidR="003F2A68" w:rsidRPr="006441E4">
        <w:rPr>
          <w:b/>
        </w:rPr>
        <w:t>person</w:t>
      </w:r>
      <w:r w:rsidR="003F2A68" w:rsidRPr="006441E4">
        <w:t xml:space="preserve">, the modifications made to the </w:t>
      </w:r>
      <w:r w:rsidR="003F2A68" w:rsidRPr="006441E4">
        <w:rPr>
          <w:b/>
        </w:rPr>
        <w:t>prescribed terms and conditions</w:t>
      </w:r>
      <w:r w:rsidR="003F2A68" w:rsidRPr="006441E4">
        <w:t>.</w:t>
      </w:r>
      <w:bookmarkEnd w:id="89"/>
    </w:p>
    <w:p w:rsidR="00F40DAE" w:rsidRDefault="003F2A68">
      <w:pPr>
        <w:pStyle w:val="HeadingH4Clausetext"/>
        <w:tabs>
          <w:tab w:val="clear" w:pos="4679"/>
          <w:tab w:val="num" w:pos="709"/>
        </w:tabs>
      </w:pPr>
      <w:r w:rsidRPr="006441E4">
        <w:t xml:space="preserve">Every </w:t>
      </w:r>
      <w:r w:rsidRPr="006441E4">
        <w:rPr>
          <w:b/>
        </w:rPr>
        <w:t>GTB</w:t>
      </w:r>
      <w:r w:rsidRPr="006441E4">
        <w:t xml:space="preserve"> must, when </w:t>
      </w:r>
      <w:r w:rsidRPr="006441E4">
        <w:rPr>
          <w:b/>
        </w:rPr>
        <w:t>publicly disclosing</w:t>
      </w:r>
      <w:r w:rsidRPr="006441E4">
        <w:t xml:space="preserve"> </w:t>
      </w:r>
      <w:r w:rsidR="00717DCE" w:rsidRPr="006441E4">
        <w:t xml:space="preserve">or disclosing on request to any </w:t>
      </w:r>
      <w:r w:rsidR="00C94906" w:rsidRPr="006441E4">
        <w:rPr>
          <w:b/>
        </w:rPr>
        <w:t>person</w:t>
      </w:r>
      <w:r w:rsidR="00717DCE" w:rsidRPr="006441E4">
        <w:t xml:space="preserve"> (as the case may be) </w:t>
      </w:r>
      <w:r w:rsidRPr="006441E4">
        <w:t xml:space="preserve">the </w:t>
      </w:r>
      <w:r w:rsidRPr="006441E4">
        <w:rPr>
          <w:b/>
        </w:rPr>
        <w:t>prescribed terms and conditions</w:t>
      </w:r>
      <w:r w:rsidRPr="006441E4">
        <w:t xml:space="preserve"> of a </w:t>
      </w:r>
      <w:r w:rsidRPr="006441E4">
        <w:rPr>
          <w:b/>
        </w:rPr>
        <w:t>non-standard contract</w:t>
      </w:r>
      <w:r w:rsidRPr="006441E4">
        <w:t xml:space="preserve"> under either of clauses </w:t>
      </w:r>
      <w:r w:rsidR="0033518E">
        <w:fldChar w:fldCharType="begin"/>
      </w:r>
      <w:r w:rsidR="00446528">
        <w:instrText xml:space="preserve"> REF _Ref329115038 \r \h </w:instrText>
      </w:r>
      <w:r w:rsidR="0033518E">
        <w:fldChar w:fldCharType="separate"/>
      </w:r>
      <w:r w:rsidR="00B06C04">
        <w:t>2.4.10</w:t>
      </w:r>
      <w:r w:rsidR="0033518E">
        <w:fldChar w:fldCharType="end"/>
      </w:r>
      <w:r w:rsidR="00717DCE" w:rsidRPr="006441E4">
        <w:t xml:space="preserve"> </w:t>
      </w:r>
      <w:r w:rsidRPr="006441E4">
        <w:t xml:space="preserve">or </w:t>
      </w:r>
      <w:r w:rsidR="0033518E">
        <w:fldChar w:fldCharType="begin"/>
      </w:r>
      <w:r w:rsidR="00446528">
        <w:instrText xml:space="preserve"> REF _Ref329115054 \r \h </w:instrText>
      </w:r>
      <w:r w:rsidR="0033518E">
        <w:fldChar w:fldCharType="separate"/>
      </w:r>
      <w:r w:rsidR="00B06C04">
        <w:t>2.4.11</w:t>
      </w:r>
      <w:r w:rsidR="0033518E">
        <w:fldChar w:fldCharType="end"/>
      </w:r>
      <w:r w:rsidRPr="006441E4">
        <w:t xml:space="preserve"> </w:t>
      </w:r>
      <w:r w:rsidR="003E60AB" w:rsidRPr="006441E4">
        <w:t>of this section</w:t>
      </w:r>
      <w:r w:rsidRPr="006441E4">
        <w:t>, include the following information:</w:t>
      </w:r>
    </w:p>
    <w:p w:rsidR="00F40DAE" w:rsidRDefault="00F44DEB">
      <w:pPr>
        <w:pStyle w:val="HeadingH5ClausesubtextL1"/>
      </w:pPr>
      <w:bookmarkStart w:id="90" w:name="_Ref329114879"/>
      <w:r w:rsidRPr="006441E4">
        <w:t>T</w:t>
      </w:r>
      <w:r w:rsidR="00806568" w:rsidRPr="006441E4">
        <w:t xml:space="preserve">he maximum </w:t>
      </w:r>
      <w:r w:rsidR="00945DBE" w:rsidRPr="006441E4">
        <w:t>monthly</w:t>
      </w:r>
      <w:r w:rsidR="00806568" w:rsidRPr="006441E4">
        <w:t xml:space="preserve"> amount of gas (in gigajoules) to be conveyed to the </w:t>
      </w:r>
      <w:r w:rsidR="00806568" w:rsidRPr="006441E4">
        <w:rPr>
          <w:b/>
        </w:rPr>
        <w:t xml:space="preserve">consumer </w:t>
      </w:r>
      <w:r w:rsidR="00806568" w:rsidRPr="006441E4">
        <w:t xml:space="preserve">under the </w:t>
      </w:r>
      <w:r w:rsidR="00806568" w:rsidRPr="006441E4">
        <w:rPr>
          <w:b/>
        </w:rPr>
        <w:t>contract</w:t>
      </w:r>
      <w:r w:rsidR="00806568" w:rsidRPr="006441E4">
        <w:t xml:space="preserve">, or (if the amount is not quantified in the </w:t>
      </w:r>
      <w:r w:rsidR="00806568" w:rsidRPr="006441E4">
        <w:rPr>
          <w:b/>
        </w:rPr>
        <w:t>contract</w:t>
      </w:r>
      <w:r w:rsidR="00806568" w:rsidRPr="006441E4">
        <w:t xml:space="preserve">) a reasonable estimate of that amount based on the duration of the </w:t>
      </w:r>
      <w:r w:rsidR="00806568" w:rsidRPr="006441E4">
        <w:rPr>
          <w:b/>
        </w:rPr>
        <w:t>contract</w:t>
      </w:r>
      <w:r w:rsidR="00197BFD" w:rsidRPr="00197BFD">
        <w:t>;</w:t>
      </w:r>
      <w:bookmarkEnd w:id="90"/>
    </w:p>
    <w:p w:rsidR="00F40DAE" w:rsidRDefault="00F44DEB">
      <w:pPr>
        <w:pStyle w:val="HeadingH5ClausesubtextL1"/>
      </w:pPr>
      <w:r w:rsidRPr="006441E4">
        <w:t>T</w:t>
      </w:r>
      <w:r w:rsidR="00806568" w:rsidRPr="006441E4">
        <w:t xml:space="preserve">he month in which the supply of the maximum monthly amount of gas referred to in </w:t>
      </w:r>
      <w:proofErr w:type="spellStart"/>
      <w:r w:rsidR="00A51AD8" w:rsidRPr="006441E4">
        <w:t>subc</w:t>
      </w:r>
      <w:r w:rsidR="00806568" w:rsidRPr="006441E4">
        <w:t>lause</w:t>
      </w:r>
      <w:proofErr w:type="spellEnd"/>
      <w:r w:rsidR="002E54E6">
        <w:t xml:space="preserve"> </w:t>
      </w:r>
      <w:r w:rsidR="0033518E">
        <w:fldChar w:fldCharType="begin"/>
      </w:r>
      <w:r w:rsidR="00C47728">
        <w:instrText xml:space="preserve"> REF  _Ref329114879 \h \w </w:instrText>
      </w:r>
      <w:r w:rsidR="0033518E">
        <w:fldChar w:fldCharType="separate"/>
      </w:r>
      <w:r w:rsidR="00B06C04">
        <w:t>2.4.14(1)</w:t>
      </w:r>
      <w:r w:rsidR="0033518E">
        <w:fldChar w:fldCharType="end"/>
      </w:r>
      <w:r w:rsidR="003E60AB" w:rsidRPr="006441E4">
        <w:t xml:space="preserve"> of this section</w:t>
      </w:r>
      <w:r w:rsidR="00806568" w:rsidRPr="006441E4">
        <w:t xml:space="preserve"> is to occur, or is most likely to occur;</w:t>
      </w:r>
    </w:p>
    <w:p w:rsidR="00F40DAE" w:rsidRDefault="00F44DEB">
      <w:pPr>
        <w:pStyle w:val="HeadingH5ClausesubtextL1"/>
      </w:pPr>
      <w:r w:rsidRPr="006441E4">
        <w:t>T</w:t>
      </w:r>
      <w:r w:rsidR="003F2A68" w:rsidRPr="006441E4">
        <w:t xml:space="preserve">he pressure or pressures at which the gas is to be supplied or conveyed under that </w:t>
      </w:r>
      <w:r w:rsidR="003F2A68" w:rsidRPr="006441E4">
        <w:rPr>
          <w:b/>
        </w:rPr>
        <w:t>contract</w:t>
      </w:r>
      <w:r w:rsidR="003F2A68" w:rsidRPr="006441E4">
        <w:t xml:space="preserve">, or (if the pressure is not specified in the </w:t>
      </w:r>
      <w:r w:rsidR="003F2A68" w:rsidRPr="006441E4">
        <w:rPr>
          <w:b/>
        </w:rPr>
        <w:t>contract</w:t>
      </w:r>
      <w:r w:rsidR="003F2A68" w:rsidRPr="006441E4">
        <w:t>) a reasonable estimate of that pressure</w:t>
      </w:r>
      <w:r w:rsidR="00806568" w:rsidRPr="006441E4">
        <w:t>;</w:t>
      </w:r>
    </w:p>
    <w:p w:rsidR="00F40DAE" w:rsidRDefault="003F2A68">
      <w:pPr>
        <w:pStyle w:val="HeadingH4Clausetext"/>
        <w:tabs>
          <w:tab w:val="clear" w:pos="4679"/>
          <w:tab w:val="num" w:pos="709"/>
        </w:tabs>
        <w:rPr>
          <w:b/>
        </w:rPr>
      </w:pPr>
      <w:bookmarkStart w:id="91" w:name="_Ref329113127"/>
      <w:r w:rsidRPr="006441E4">
        <w:t xml:space="preserve">For the purposes of this </w:t>
      </w:r>
      <w:r w:rsidR="00806568" w:rsidRPr="006441E4">
        <w:t>section</w:t>
      </w:r>
      <w:r w:rsidRPr="006441E4">
        <w:t xml:space="preserve">, </w:t>
      </w:r>
      <w:r w:rsidR="00F86836" w:rsidRPr="00F86836">
        <w:rPr>
          <w:b/>
        </w:rPr>
        <w:t>public disclosure</w:t>
      </w:r>
      <w:r w:rsidRPr="006441E4">
        <w:t xml:space="preserve"> by a </w:t>
      </w:r>
      <w:r w:rsidR="00F86836" w:rsidRPr="00F86836">
        <w:rPr>
          <w:b/>
        </w:rPr>
        <w:t>GTB</w:t>
      </w:r>
      <w:r w:rsidRPr="006441E4">
        <w:t xml:space="preserve"> of the </w:t>
      </w:r>
      <w:r w:rsidR="00F86836" w:rsidRPr="00F86836">
        <w:rPr>
          <w:b/>
        </w:rPr>
        <w:t>prescribed terms and conditions</w:t>
      </w:r>
      <w:r w:rsidRPr="006441E4">
        <w:t xml:space="preserve"> of a </w:t>
      </w:r>
      <w:r w:rsidR="00F86836" w:rsidRPr="00F86836">
        <w:rPr>
          <w:b/>
        </w:rPr>
        <w:t>standard contract</w:t>
      </w:r>
      <w:r w:rsidRPr="006441E4">
        <w:t xml:space="preserve"> is to be regarded as </w:t>
      </w:r>
      <w:r w:rsidR="00F86836" w:rsidRPr="00F86836">
        <w:rPr>
          <w:b/>
        </w:rPr>
        <w:t>public disclosure</w:t>
      </w:r>
      <w:r w:rsidRPr="006441E4">
        <w:t xml:space="preserve"> by that </w:t>
      </w:r>
      <w:r w:rsidR="00F86836" w:rsidRPr="00F86836">
        <w:rPr>
          <w:b/>
        </w:rPr>
        <w:t>GTB</w:t>
      </w:r>
      <w:r w:rsidRPr="006441E4">
        <w:t xml:space="preserve"> in relation to all of its </w:t>
      </w:r>
      <w:r w:rsidR="00F86836" w:rsidRPr="00F86836">
        <w:rPr>
          <w:b/>
        </w:rPr>
        <w:t>standard contracts</w:t>
      </w:r>
      <w:r w:rsidRPr="006441E4">
        <w:t xml:space="preserve"> with the same </w:t>
      </w:r>
      <w:r w:rsidR="00F86836" w:rsidRPr="00F86836">
        <w:rPr>
          <w:b/>
        </w:rPr>
        <w:t>prescribed terms and conditions</w:t>
      </w:r>
      <w:r w:rsidRPr="00EE23F9">
        <w:t>.</w:t>
      </w:r>
      <w:bookmarkEnd w:id="91"/>
    </w:p>
    <w:p w:rsidR="003F2A68" w:rsidRPr="006441E4" w:rsidRDefault="003F2A68" w:rsidP="002B1F59">
      <w:pPr>
        <w:pStyle w:val="Heading3"/>
        <w:spacing w:line="264" w:lineRule="auto"/>
      </w:pPr>
      <w:r w:rsidRPr="006441E4">
        <w:t xml:space="preserve">Disclosure of </w:t>
      </w:r>
      <w:r w:rsidR="009053AA" w:rsidRPr="006441E4">
        <w:t>prices</w:t>
      </w:r>
    </w:p>
    <w:p w:rsidR="00F40DAE" w:rsidRDefault="003F2A68">
      <w:pPr>
        <w:pStyle w:val="HeadingH4Clausetext"/>
        <w:tabs>
          <w:tab w:val="clear" w:pos="4679"/>
          <w:tab w:val="num" w:pos="709"/>
        </w:tabs>
      </w:pPr>
      <w:bookmarkStart w:id="92" w:name="_Ref313457641"/>
      <w:r w:rsidRPr="006441E4">
        <w:t xml:space="preserve">Every </w:t>
      </w:r>
      <w:r w:rsidRPr="006441E4">
        <w:rPr>
          <w:b/>
        </w:rPr>
        <w:t>GTB</w:t>
      </w:r>
      <w:r w:rsidRPr="006441E4">
        <w:t xml:space="preserve"> must at all times </w:t>
      </w:r>
      <w:r w:rsidRPr="006441E4">
        <w:rPr>
          <w:b/>
        </w:rPr>
        <w:t>publicly disclose</w:t>
      </w:r>
      <w:r w:rsidRPr="006441E4">
        <w:t>:</w:t>
      </w:r>
      <w:bookmarkStart w:id="93" w:name="_Ref313457622"/>
      <w:bookmarkEnd w:id="92"/>
    </w:p>
    <w:p w:rsidR="00F40DAE" w:rsidRDefault="00F44DEB">
      <w:pPr>
        <w:pStyle w:val="HeadingH5ClausesubtextL1"/>
      </w:pPr>
      <w:r w:rsidRPr="006441E4">
        <w:t>E</w:t>
      </w:r>
      <w:r w:rsidR="003F2A68" w:rsidRPr="006441E4">
        <w:t xml:space="preserve">ach current </w:t>
      </w:r>
      <w:r w:rsidR="009053AA" w:rsidRPr="006441E4">
        <w:rPr>
          <w:b/>
        </w:rPr>
        <w:t>price</w:t>
      </w:r>
      <w:r w:rsidR="003F2A68" w:rsidRPr="006441E4">
        <w:t xml:space="preserve"> expressed in a manner that enables individual </w:t>
      </w:r>
      <w:r w:rsidR="003F2A68" w:rsidRPr="006441E4">
        <w:rPr>
          <w:b/>
        </w:rPr>
        <w:t xml:space="preserve">consumers </w:t>
      </w:r>
      <w:r w:rsidR="003F2A68" w:rsidRPr="006441E4">
        <w:t>to determine:</w:t>
      </w:r>
      <w:bookmarkEnd w:id="93"/>
    </w:p>
    <w:p w:rsidR="00F40DAE" w:rsidRDefault="003F2A68">
      <w:pPr>
        <w:pStyle w:val="HeadingH6ClausesubtextL2"/>
      </w:pPr>
      <w:r w:rsidRPr="006441E4">
        <w:t xml:space="preserve">the </w:t>
      </w:r>
      <w:r w:rsidR="00F86836" w:rsidRPr="00F86836">
        <w:rPr>
          <w:b/>
        </w:rPr>
        <w:t>consumer group</w:t>
      </w:r>
      <w:r w:rsidRPr="006441E4">
        <w:t xml:space="preserve"> or </w:t>
      </w:r>
      <w:r w:rsidR="00F86836" w:rsidRPr="00F86836">
        <w:rPr>
          <w:b/>
        </w:rPr>
        <w:t>consumer groups</w:t>
      </w:r>
      <w:r w:rsidR="009053AA" w:rsidRPr="006441E4">
        <w:t xml:space="preserve"> </w:t>
      </w:r>
      <w:r w:rsidRPr="006441E4">
        <w:t>applicable to them</w:t>
      </w:r>
    </w:p>
    <w:p w:rsidR="00F40DAE" w:rsidRDefault="003F2A68">
      <w:pPr>
        <w:pStyle w:val="HeadingH6ClausesubtextL2"/>
      </w:pPr>
      <w:proofErr w:type="gramStart"/>
      <w:r w:rsidRPr="006441E4">
        <w:t>the</w:t>
      </w:r>
      <w:proofErr w:type="gramEnd"/>
      <w:r w:rsidRPr="006441E4">
        <w:t xml:space="preserve"> total </w:t>
      </w:r>
      <w:r w:rsidR="009053AA" w:rsidRPr="006441E4">
        <w:rPr>
          <w:b/>
        </w:rPr>
        <w:t>price</w:t>
      </w:r>
      <w:r w:rsidRPr="006441E4">
        <w:t xml:space="preserve"> for </w:t>
      </w:r>
      <w:r w:rsidR="00227B61" w:rsidRPr="006441E4">
        <w:rPr>
          <w:b/>
        </w:rPr>
        <w:t>gas transmission services</w:t>
      </w:r>
      <w:r w:rsidRPr="006441E4">
        <w:t xml:space="preserve"> which is applicable to them</w:t>
      </w:r>
      <w:r w:rsidR="00F676CD" w:rsidRPr="006441E4">
        <w:t>.</w:t>
      </w:r>
    </w:p>
    <w:p w:rsidR="00F40DAE" w:rsidRDefault="00F44DEB">
      <w:pPr>
        <w:pStyle w:val="HeadingH5ClausesubtextL1"/>
      </w:pPr>
      <w:r w:rsidRPr="006441E4">
        <w:t>T</w:t>
      </w:r>
      <w:r w:rsidR="003F2A68" w:rsidRPr="006441E4">
        <w:t xml:space="preserve">he number (or estimated number) of </w:t>
      </w:r>
      <w:r w:rsidR="003F2A68" w:rsidRPr="006441E4">
        <w:rPr>
          <w:b/>
        </w:rPr>
        <w:t>consumers</w:t>
      </w:r>
      <w:r w:rsidR="003F2A68" w:rsidRPr="006441E4">
        <w:t xml:space="preserve"> by whom each </w:t>
      </w:r>
      <w:r w:rsidR="009053AA" w:rsidRPr="006441E4">
        <w:rPr>
          <w:b/>
        </w:rPr>
        <w:t>price</w:t>
      </w:r>
      <w:r w:rsidR="003F2A68" w:rsidRPr="006441E4">
        <w:t xml:space="preserve"> is payable</w:t>
      </w:r>
      <w:r w:rsidR="00806568" w:rsidRPr="006441E4">
        <w:t>;</w:t>
      </w:r>
    </w:p>
    <w:p w:rsidR="00F40DAE" w:rsidRDefault="00F44DEB">
      <w:pPr>
        <w:pStyle w:val="HeadingH5ClausesubtextL1"/>
      </w:pPr>
      <w:r w:rsidRPr="006441E4">
        <w:t>T</w:t>
      </w:r>
      <w:r w:rsidR="003F2A68" w:rsidRPr="006441E4">
        <w:t xml:space="preserve">he date at which each </w:t>
      </w:r>
      <w:r w:rsidR="009053AA" w:rsidRPr="006441E4">
        <w:rPr>
          <w:b/>
        </w:rPr>
        <w:t>price</w:t>
      </w:r>
      <w:r w:rsidR="003F2A68" w:rsidRPr="006441E4">
        <w:t xml:space="preserve"> was or will be first introduced</w:t>
      </w:r>
      <w:r w:rsidR="00806568" w:rsidRPr="006441E4">
        <w:t>;</w:t>
      </w:r>
    </w:p>
    <w:p w:rsidR="00F40DAE" w:rsidRDefault="00F44DEB">
      <w:pPr>
        <w:pStyle w:val="HeadingH5ClausesubtextL1"/>
      </w:pPr>
      <w:r w:rsidRPr="006441E4">
        <w:t>T</w:t>
      </w:r>
      <w:r w:rsidR="003F2A68" w:rsidRPr="006441E4">
        <w:t xml:space="preserve">he </w:t>
      </w:r>
      <w:r w:rsidR="009053AA" w:rsidRPr="006441E4">
        <w:rPr>
          <w:b/>
        </w:rPr>
        <w:t>price</w:t>
      </w:r>
      <w:r w:rsidR="003F2A68" w:rsidRPr="006441E4">
        <w:t xml:space="preserve"> that was payable </w:t>
      </w:r>
      <w:r w:rsidR="00F8542F" w:rsidRPr="00604256">
        <w:t xml:space="preserve">immediately before each current </w:t>
      </w:r>
      <w:r w:rsidR="00F8542F" w:rsidRPr="00604256">
        <w:rPr>
          <w:b/>
        </w:rPr>
        <w:t>price</w:t>
      </w:r>
      <w:r w:rsidR="00F8542F" w:rsidRPr="00604256">
        <w:t xml:space="preserve"> (if any) expressed in the manner referred to in </w:t>
      </w:r>
      <w:proofErr w:type="spellStart"/>
      <w:r w:rsidR="00F8542F" w:rsidRPr="00604256">
        <w:t>subclause</w:t>
      </w:r>
      <w:proofErr w:type="spellEnd"/>
      <w:r w:rsidR="00F8542F" w:rsidRPr="00604256">
        <w:t xml:space="preserve"> </w:t>
      </w:r>
      <w:r w:rsidR="0033518E">
        <w:fldChar w:fldCharType="begin"/>
      </w:r>
      <w:r w:rsidR="00D14D0D">
        <w:instrText xml:space="preserve"> REF _Ref313457641 \r \h </w:instrText>
      </w:r>
      <w:r w:rsidR="0033518E">
        <w:fldChar w:fldCharType="separate"/>
      </w:r>
      <w:r w:rsidR="00B06C04">
        <w:t>2.4.16</w:t>
      </w:r>
      <w:r w:rsidR="0033518E">
        <w:fldChar w:fldCharType="end"/>
      </w:r>
      <w:r w:rsidR="00F8542F" w:rsidRPr="00604256">
        <w:t xml:space="preserve"> above.</w:t>
      </w:r>
      <w:r w:rsidR="00F8542F" w:rsidRPr="006441E4" w:rsidDel="00F8542F">
        <w:t xml:space="preserve"> </w:t>
      </w:r>
    </w:p>
    <w:p w:rsidR="00F40DAE" w:rsidRDefault="003F2A68">
      <w:pPr>
        <w:pStyle w:val="HeadingH4Clausetext"/>
        <w:tabs>
          <w:tab w:val="clear" w:pos="4679"/>
          <w:tab w:val="num" w:pos="709"/>
        </w:tabs>
      </w:pPr>
      <w:r w:rsidRPr="006441E4">
        <w:t xml:space="preserve">Every </w:t>
      </w:r>
      <w:r w:rsidRPr="006441E4">
        <w:rPr>
          <w:b/>
        </w:rPr>
        <w:t>GTB</w:t>
      </w:r>
      <w:r w:rsidRPr="006441E4">
        <w:t xml:space="preserve"> must, at least 20 working days before changing a </w:t>
      </w:r>
      <w:r w:rsidR="009053AA" w:rsidRPr="006441E4">
        <w:rPr>
          <w:b/>
        </w:rPr>
        <w:t>price</w:t>
      </w:r>
      <w:r w:rsidRPr="006441E4">
        <w:t xml:space="preserve"> or introducing a new </w:t>
      </w:r>
      <w:r w:rsidR="009053AA" w:rsidRPr="006441E4">
        <w:rPr>
          <w:b/>
        </w:rPr>
        <w:t>price</w:t>
      </w:r>
      <w:r w:rsidR="00050F31" w:rsidRPr="00050F31">
        <w:t>:</w:t>
      </w:r>
    </w:p>
    <w:p w:rsidR="00F40DAE" w:rsidRDefault="00F44DEB">
      <w:pPr>
        <w:pStyle w:val="HeadingH5ClausesubtextL1"/>
      </w:pPr>
      <w:r w:rsidRPr="006441E4">
        <w:t>P</w:t>
      </w:r>
      <w:r w:rsidR="003F2A68" w:rsidRPr="006441E4">
        <w:t>ublicly disclose:</w:t>
      </w:r>
    </w:p>
    <w:p w:rsidR="00F40DAE" w:rsidRDefault="003F2A68">
      <w:pPr>
        <w:pStyle w:val="HeadingH6ClausesubtextL2"/>
      </w:pPr>
      <w:r w:rsidRPr="006441E4">
        <w:t xml:space="preserve">the information specified in clause </w:t>
      </w:r>
      <w:fldSimple w:instr=" REF _Ref313457641 \r \h  \* MERGEFORMAT ">
        <w:r w:rsidR="00B06C04">
          <w:t>2.4.16</w:t>
        </w:r>
      </w:fldSimple>
      <w:r w:rsidRPr="006441E4">
        <w:t xml:space="preserve"> </w:t>
      </w:r>
      <w:r w:rsidR="003E60AB" w:rsidRPr="006441E4">
        <w:t>of this section</w:t>
      </w:r>
      <w:r w:rsidRPr="006441E4">
        <w:t xml:space="preserve"> in respect of that </w:t>
      </w:r>
      <w:r w:rsidR="009053AA" w:rsidRPr="006441E4">
        <w:rPr>
          <w:b/>
        </w:rPr>
        <w:t>price</w:t>
      </w:r>
    </w:p>
    <w:p w:rsidR="00F40DAE" w:rsidRDefault="003F2A68">
      <w:pPr>
        <w:pStyle w:val="HeadingH6ClausesubtextL2"/>
      </w:pPr>
      <w:r w:rsidRPr="006441E4">
        <w:t xml:space="preserve">an explanation of the reasons for the new </w:t>
      </w:r>
      <w:r w:rsidR="009053AA" w:rsidRPr="006441E4">
        <w:rPr>
          <w:b/>
        </w:rPr>
        <w:t>price</w:t>
      </w:r>
      <w:r w:rsidRPr="006441E4">
        <w:t xml:space="preserve"> or the changed </w:t>
      </w:r>
      <w:r w:rsidR="009053AA" w:rsidRPr="006441E4">
        <w:rPr>
          <w:b/>
        </w:rPr>
        <w:t>price</w:t>
      </w:r>
      <w:r w:rsidR="00B27E53">
        <w:t>;</w:t>
      </w:r>
    </w:p>
    <w:p w:rsidR="00F40DAE" w:rsidRDefault="00F8542F">
      <w:pPr>
        <w:pStyle w:val="HeadingH5ClausesubtextL1"/>
      </w:pPr>
      <w:r>
        <w:t>In addition, either:</w:t>
      </w:r>
    </w:p>
    <w:p w:rsidR="00F40DAE" w:rsidRDefault="00F8542F">
      <w:pPr>
        <w:pStyle w:val="HeadingH6ClausesubtextL2"/>
      </w:pPr>
      <w:r>
        <w:t>g</w:t>
      </w:r>
      <w:r w:rsidR="003F2A68" w:rsidRPr="006441E4">
        <w:t xml:space="preserve">ive written notice to each </w:t>
      </w:r>
      <w:r w:rsidR="003F2A68" w:rsidRPr="006441E4">
        <w:rPr>
          <w:b/>
        </w:rPr>
        <w:t>consumer</w:t>
      </w:r>
      <w:r w:rsidR="003F2A68" w:rsidRPr="006441E4">
        <w:t xml:space="preserve"> by whom that </w:t>
      </w:r>
      <w:r w:rsidR="009053AA" w:rsidRPr="006441E4">
        <w:rPr>
          <w:b/>
        </w:rPr>
        <w:t>price</w:t>
      </w:r>
      <w:r w:rsidR="003F2A68" w:rsidRPr="006441E4">
        <w:t xml:space="preserve"> is payable the information specified in clause </w:t>
      </w:r>
      <w:fldSimple w:instr=" REF _Ref313457641 \r \h  \* MERGEFORMAT ">
        <w:r w:rsidR="00B06C04">
          <w:t>2.4.16</w:t>
        </w:r>
      </w:fldSimple>
      <w:r w:rsidR="003F2A68" w:rsidRPr="006441E4">
        <w:t xml:space="preserve"> </w:t>
      </w:r>
      <w:r w:rsidR="003E60AB" w:rsidRPr="006441E4">
        <w:t>of this section</w:t>
      </w:r>
      <w:r w:rsidR="003F2A68" w:rsidRPr="006441E4">
        <w:t xml:space="preserve"> in respect of that </w:t>
      </w:r>
      <w:r w:rsidR="009053AA" w:rsidRPr="006441E4">
        <w:rPr>
          <w:b/>
        </w:rPr>
        <w:t>price</w:t>
      </w:r>
      <w:r w:rsidR="00855071" w:rsidRPr="006441E4">
        <w:t>;</w:t>
      </w:r>
    </w:p>
    <w:p w:rsidR="00F40DAE" w:rsidRDefault="00F8542F">
      <w:pPr>
        <w:pStyle w:val="HeadingH6ClausesubtextL2"/>
      </w:pPr>
      <w:r>
        <w:t>n</w:t>
      </w:r>
      <w:r w:rsidR="003F2A68" w:rsidRPr="006441E4">
        <w:t xml:space="preserve">otify in the news section of </w:t>
      </w:r>
      <w:r>
        <w:t xml:space="preserve">either </w:t>
      </w:r>
      <w:r w:rsidR="003F2A68" w:rsidRPr="006441E4">
        <w:t xml:space="preserve">2 separate editions of each newspaper </w:t>
      </w:r>
      <w:r>
        <w:t xml:space="preserve">or online news media </w:t>
      </w:r>
      <w:r w:rsidR="003F2A68" w:rsidRPr="006441E4">
        <w:t xml:space="preserve">that is widely read by </w:t>
      </w:r>
      <w:r w:rsidR="003F2A68" w:rsidRPr="006441E4">
        <w:rPr>
          <w:b/>
        </w:rPr>
        <w:t>consumers</w:t>
      </w:r>
      <w:r w:rsidR="003F2A68" w:rsidRPr="006441E4">
        <w:t xml:space="preserve"> connected to that </w:t>
      </w:r>
      <w:r w:rsidR="003F2A68" w:rsidRPr="006441E4">
        <w:rPr>
          <w:b/>
        </w:rPr>
        <w:t>GTB</w:t>
      </w:r>
      <w:r w:rsidR="00F86836" w:rsidRPr="00F86836">
        <w:t>’s</w:t>
      </w:r>
      <w:r w:rsidR="0050570B">
        <w:t xml:space="preserve"> </w:t>
      </w:r>
      <w:r w:rsidR="0050570B">
        <w:rPr>
          <w:b/>
        </w:rPr>
        <w:t>network</w:t>
      </w:r>
      <w:r w:rsidR="003F2A68" w:rsidRPr="006441E4">
        <w:t xml:space="preserve">, details of the changed </w:t>
      </w:r>
      <w:r w:rsidR="009053AA" w:rsidRPr="006441E4">
        <w:rPr>
          <w:b/>
        </w:rPr>
        <w:t>price</w:t>
      </w:r>
      <w:r w:rsidR="003F2A68" w:rsidRPr="006441E4">
        <w:t>, including:</w:t>
      </w:r>
    </w:p>
    <w:p w:rsidR="00F40DAE" w:rsidRDefault="003F2A68">
      <w:pPr>
        <w:pStyle w:val="HeadingH7ClausesubtextL3"/>
      </w:pPr>
      <w:r w:rsidRPr="006441E4">
        <w:t xml:space="preserve">the changed </w:t>
      </w:r>
      <w:r w:rsidR="009053AA" w:rsidRPr="006441E4">
        <w:rPr>
          <w:b/>
        </w:rPr>
        <w:t>prices</w:t>
      </w:r>
      <w:r w:rsidRPr="006441E4">
        <w:rPr>
          <w:b/>
        </w:rPr>
        <w:t xml:space="preserve"> </w:t>
      </w:r>
      <w:r w:rsidRPr="006441E4">
        <w:t>alongside the immediately pre</w:t>
      </w:r>
      <w:r w:rsidR="00F676CD" w:rsidRPr="006441E4">
        <w:t xml:space="preserve">ceding </w:t>
      </w:r>
      <w:r w:rsidR="009053AA" w:rsidRPr="006441E4">
        <w:rPr>
          <w:b/>
        </w:rPr>
        <w:t>price</w:t>
      </w:r>
      <w:r w:rsidRPr="006441E4">
        <w:t xml:space="preserve"> applicable</w:t>
      </w:r>
    </w:p>
    <w:p w:rsidR="00F40DAE" w:rsidRDefault="003F2A68">
      <w:pPr>
        <w:pStyle w:val="HeadingH7ClausesubtextL3"/>
      </w:pPr>
      <w:proofErr w:type="gramStart"/>
      <w:r w:rsidRPr="006441E4">
        <w:t>contact</w:t>
      </w:r>
      <w:proofErr w:type="gramEnd"/>
      <w:r w:rsidRPr="006441E4">
        <w:t xml:space="preserve"> details where further details of the new or changed </w:t>
      </w:r>
      <w:r w:rsidR="009053AA" w:rsidRPr="006441E4">
        <w:rPr>
          <w:b/>
        </w:rPr>
        <w:t>price</w:t>
      </w:r>
      <w:r w:rsidRPr="006441E4">
        <w:t xml:space="preserve"> can be found including the URL of the </w:t>
      </w:r>
      <w:r w:rsidRPr="006441E4">
        <w:rPr>
          <w:b/>
        </w:rPr>
        <w:t>GTB</w:t>
      </w:r>
      <w:r w:rsidRPr="006441E4">
        <w:t>’s publicly accessible website.</w:t>
      </w:r>
    </w:p>
    <w:p w:rsidR="00F8542F" w:rsidRPr="00604256" w:rsidRDefault="00F8542F" w:rsidP="00F8542F">
      <w:pPr>
        <w:pStyle w:val="Heading3"/>
        <w:spacing w:line="264" w:lineRule="auto"/>
      </w:pPr>
      <w:r>
        <w:t xml:space="preserve">Annual </w:t>
      </w:r>
      <w:r w:rsidR="005B6AD5">
        <w:t>d</w:t>
      </w:r>
      <w:r w:rsidRPr="00604256">
        <w:t xml:space="preserve">isclosure of </w:t>
      </w:r>
      <w:r w:rsidR="005B6AD5">
        <w:t>i</w:t>
      </w:r>
      <w:r>
        <w:t xml:space="preserve">nformation on </w:t>
      </w:r>
      <w:r w:rsidR="005B6AD5">
        <w:t>q</w:t>
      </w:r>
      <w:r>
        <w:t xml:space="preserve">uantities and Revenues </w:t>
      </w:r>
      <w:r w:rsidR="005B6AD5">
        <w:t>b</w:t>
      </w:r>
      <w:r>
        <w:t>illed</w:t>
      </w:r>
    </w:p>
    <w:p w:rsidR="00B27E53" w:rsidRDefault="00B27E53" w:rsidP="00B27E53">
      <w:pPr>
        <w:pStyle w:val="HeadingH4Clausetext"/>
        <w:tabs>
          <w:tab w:val="clear" w:pos="4679"/>
          <w:tab w:val="num" w:pos="709"/>
        </w:tabs>
      </w:pPr>
      <w:bookmarkStart w:id="94" w:name="_Ref329107641"/>
      <w:bookmarkStart w:id="95" w:name="_Ref329173172"/>
      <w:r w:rsidRPr="006441E4">
        <w:t xml:space="preserve">Within </w:t>
      </w:r>
      <w:r>
        <w:t>6</w:t>
      </w:r>
      <w:r w:rsidRPr="006441E4">
        <w:t xml:space="preserve"> months </w:t>
      </w:r>
      <w:r w:rsidR="002E54E6">
        <w:t>of</w:t>
      </w:r>
      <w:r w:rsidRPr="006441E4">
        <w:t xml:space="preserve"> the end of each </w:t>
      </w:r>
      <w:r w:rsidRPr="00B27E53">
        <w:t>disclosure year</w:t>
      </w:r>
      <w:r w:rsidRPr="006441E4">
        <w:t xml:space="preserve">, every </w:t>
      </w:r>
      <w:r w:rsidR="00F86836" w:rsidRPr="00F86836">
        <w:rPr>
          <w:b/>
        </w:rPr>
        <w:t>GTB</w:t>
      </w:r>
      <w:r w:rsidRPr="006441E4">
        <w:t xml:space="preserve"> must </w:t>
      </w:r>
      <w:r w:rsidR="00F86836" w:rsidRPr="00F86836">
        <w:rPr>
          <w:b/>
        </w:rPr>
        <w:t>publicly disclose</w:t>
      </w:r>
      <w:r w:rsidRPr="006441E4">
        <w:t xml:space="preserve"> the information specified in Schedule</w:t>
      </w:r>
      <w:r w:rsidR="007D09C8">
        <w:t>s</w:t>
      </w:r>
      <w:r w:rsidRPr="006441E4">
        <w:t xml:space="preserve"> </w:t>
      </w:r>
      <w:r>
        <w:t>8a and 8b</w:t>
      </w:r>
      <w:bookmarkEnd w:id="94"/>
      <w:r w:rsidR="00756BB0">
        <w:t>.</w:t>
      </w:r>
      <w:bookmarkEnd w:id="95"/>
    </w:p>
    <w:p w:rsidR="00A21C12" w:rsidRDefault="003F2A68" w:rsidP="002B1F59">
      <w:pPr>
        <w:pStyle w:val="BodyText"/>
        <w:spacing w:line="264" w:lineRule="auto"/>
      </w:pPr>
      <w:bookmarkStart w:id="96" w:name="_Ref313450829"/>
      <w:r w:rsidRPr="006441E4">
        <w:t>.</w:t>
      </w:r>
      <w:bookmarkEnd w:id="96"/>
    </w:p>
    <w:p w:rsidR="00A21C12" w:rsidRDefault="00A21C12">
      <w:r>
        <w:br w:type="page"/>
      </w:r>
    </w:p>
    <w:p w:rsidR="003F2A68" w:rsidRPr="006441E4" w:rsidRDefault="003F2A68" w:rsidP="002B1F59">
      <w:pPr>
        <w:pStyle w:val="BodyText"/>
        <w:spacing w:line="264" w:lineRule="auto"/>
        <w:sectPr w:rsidR="003F2A68" w:rsidRPr="006441E4" w:rsidSect="000A7887">
          <w:type w:val="continuous"/>
          <w:pgSz w:w="11907" w:h="16840" w:code="9"/>
          <w:pgMar w:top="1440" w:right="1440" w:bottom="1440" w:left="1440" w:header="1134" w:footer="431" w:gutter="0"/>
          <w:cols w:space="720"/>
          <w:titlePg/>
        </w:sectPr>
      </w:pPr>
    </w:p>
    <w:p w:rsidR="00F40DAE" w:rsidRDefault="00BD79CB">
      <w:pPr>
        <w:pStyle w:val="HeadingH3SectionHeading"/>
      </w:pPr>
      <w:bookmarkStart w:id="97" w:name="_Ref329061416"/>
      <w:bookmarkStart w:id="98" w:name="_Ref329265991"/>
      <w:bookmarkStart w:id="99" w:name="_Toc329296361"/>
      <w:r>
        <w:t>Non-Financial Information Relating to Network Assets</w:t>
      </w:r>
      <w:bookmarkEnd w:id="97"/>
      <w:bookmarkEnd w:id="98"/>
      <w:bookmarkEnd w:id="99"/>
    </w:p>
    <w:p w:rsidR="00F40DAE" w:rsidRDefault="00DE7EA9">
      <w:pPr>
        <w:pStyle w:val="BodyText"/>
        <w:rPr>
          <w:i/>
        </w:rPr>
      </w:pPr>
      <w:r>
        <w:rPr>
          <w:i/>
        </w:rPr>
        <w:t>Annual disclosure on information on network assets and reliability</w:t>
      </w:r>
    </w:p>
    <w:p w:rsidR="00F40DAE" w:rsidRDefault="00BD79CB">
      <w:pPr>
        <w:pStyle w:val="HeadingH4Clausetext"/>
        <w:tabs>
          <w:tab w:val="clear" w:pos="4679"/>
          <w:tab w:val="num" w:pos="709"/>
        </w:tabs>
      </w:pPr>
      <w:bookmarkStart w:id="100" w:name="_Ref329178711"/>
      <w:r w:rsidRPr="006441E4">
        <w:t xml:space="preserve">Within </w:t>
      </w:r>
      <w:r w:rsidR="00DE7EA9">
        <w:t>6</w:t>
      </w:r>
      <w:r w:rsidRPr="006441E4">
        <w:t xml:space="preserve"> months after the end of each </w:t>
      </w:r>
      <w:r w:rsidRPr="006441E4">
        <w:rPr>
          <w:b/>
        </w:rPr>
        <w:t>disclosure year</w:t>
      </w:r>
      <w:r w:rsidRPr="006441E4">
        <w:t xml:space="preserve">, every </w:t>
      </w:r>
      <w:r w:rsidRPr="006441E4">
        <w:rPr>
          <w:b/>
        </w:rPr>
        <w:t>GTB</w:t>
      </w:r>
      <w:r w:rsidRPr="006441E4">
        <w:t xml:space="preserve"> must—</w:t>
      </w:r>
      <w:bookmarkEnd w:id="100"/>
    </w:p>
    <w:p w:rsidR="00F40DAE" w:rsidRDefault="00BD79CB">
      <w:pPr>
        <w:pStyle w:val="HeadingH5ClausesubtextL1"/>
      </w:pPr>
      <w:r w:rsidRPr="006441E4">
        <w:t xml:space="preserve">Complete each of the following reports by inserting all information relating to the </w:t>
      </w:r>
      <w:r w:rsidRPr="006441E4">
        <w:rPr>
          <w:b/>
        </w:rPr>
        <w:t>gas transmission services</w:t>
      </w:r>
      <w:r w:rsidRPr="006441E4">
        <w:t xml:space="preserve"> supplied by the </w:t>
      </w:r>
      <w:r w:rsidRPr="006441E4">
        <w:rPr>
          <w:b/>
        </w:rPr>
        <w:t xml:space="preserve">GTB </w:t>
      </w:r>
      <w:r w:rsidRPr="006441E4">
        <w:t xml:space="preserve">for the </w:t>
      </w:r>
      <w:r w:rsidRPr="006441E4">
        <w:rPr>
          <w:b/>
        </w:rPr>
        <w:t>disclosure years</w:t>
      </w:r>
      <w:r w:rsidRPr="006441E4">
        <w:t xml:space="preserve"> provided for in the </w:t>
      </w:r>
      <w:r w:rsidR="00D7661D">
        <w:t xml:space="preserve">following </w:t>
      </w:r>
      <w:r w:rsidRPr="006441E4">
        <w:t>reports:</w:t>
      </w:r>
    </w:p>
    <w:p w:rsidR="00F40DAE" w:rsidRDefault="00BD79CB">
      <w:pPr>
        <w:pStyle w:val="HeadingH6ClausesubtextL2"/>
      </w:pPr>
      <w:r w:rsidRPr="006441E4">
        <w:t xml:space="preserve">the </w:t>
      </w:r>
      <w:r w:rsidR="00DE7EA9">
        <w:t xml:space="preserve">Asset Register </w:t>
      </w:r>
      <w:r w:rsidRPr="006441E4">
        <w:t xml:space="preserve">set out in Schedule </w:t>
      </w:r>
      <w:r w:rsidR="00DE7EA9">
        <w:t>9a;</w:t>
      </w:r>
    </w:p>
    <w:p w:rsidR="00F40DAE" w:rsidRDefault="00DE7EA9">
      <w:pPr>
        <w:pStyle w:val="HeadingH6ClausesubtextL2"/>
      </w:pPr>
      <w:r>
        <w:t xml:space="preserve">the Asset Age Profile </w:t>
      </w:r>
      <w:r w:rsidRPr="006441E4">
        <w:t xml:space="preserve">set out </w:t>
      </w:r>
      <w:r>
        <w:t>in Schedule 9b;</w:t>
      </w:r>
    </w:p>
    <w:p w:rsidR="00F40DAE" w:rsidRDefault="00DE7EA9">
      <w:pPr>
        <w:pStyle w:val="HeadingH6ClausesubtextL2"/>
      </w:pPr>
      <w:r>
        <w:t xml:space="preserve">the Report on Pipeline Data </w:t>
      </w:r>
      <w:r w:rsidRPr="006441E4">
        <w:t xml:space="preserve">set out </w:t>
      </w:r>
      <w:r>
        <w:t>in Schedule 9c;</w:t>
      </w:r>
    </w:p>
    <w:p w:rsidR="00F40DAE" w:rsidRDefault="00DE7EA9">
      <w:pPr>
        <w:pStyle w:val="HeadingH6ClausesubtextL2"/>
      </w:pPr>
      <w:r>
        <w:t xml:space="preserve">the Report on Demand </w:t>
      </w:r>
      <w:r w:rsidRPr="006441E4">
        <w:t xml:space="preserve">set out </w:t>
      </w:r>
      <w:r>
        <w:t>in Schedule 9d;</w:t>
      </w:r>
    </w:p>
    <w:p w:rsidR="00F40DAE" w:rsidRDefault="00BD79CB">
      <w:pPr>
        <w:pStyle w:val="HeadingH6ClausesubtextL2"/>
      </w:pPr>
      <w:r w:rsidRPr="006441E4">
        <w:t xml:space="preserve">the Report </w:t>
      </w:r>
      <w:r w:rsidR="00DE7EA9">
        <w:t xml:space="preserve">on Network Reliability and Interruptions </w:t>
      </w:r>
      <w:r w:rsidRPr="006441E4">
        <w:t>set out in Schedule 1</w:t>
      </w:r>
      <w:r w:rsidR="00DE7EA9">
        <w:t>0</w:t>
      </w:r>
    </w:p>
    <w:p w:rsidR="00F40DAE" w:rsidRDefault="00DE7EA9">
      <w:pPr>
        <w:pStyle w:val="HeadingH6ClausesubtextL2"/>
      </w:pPr>
      <w:r>
        <w:t>the Report on Network Integrity in Schedule 10a</w:t>
      </w:r>
      <w:r w:rsidR="00BD79CB" w:rsidRPr="006441E4">
        <w:t>; and</w:t>
      </w:r>
    </w:p>
    <w:p w:rsidR="00F40DAE" w:rsidRDefault="00BD79CB">
      <w:pPr>
        <w:pStyle w:val="HeadingH6ClausesubtextL2"/>
      </w:pPr>
      <w:proofErr w:type="gramStart"/>
      <w:r w:rsidRPr="007D09C8">
        <w:rPr>
          <w:b/>
        </w:rPr>
        <w:t>publicly</w:t>
      </w:r>
      <w:proofErr w:type="gramEnd"/>
      <w:r w:rsidRPr="007D09C8">
        <w:rPr>
          <w:b/>
        </w:rPr>
        <w:t xml:space="preserve"> disclose</w:t>
      </w:r>
      <w:r w:rsidRPr="006441E4">
        <w:t xml:space="preserve"> th</w:t>
      </w:r>
      <w:r>
        <w:t>e</w:t>
      </w:r>
      <w:r w:rsidRPr="006441E4">
        <w:t>se reports.</w:t>
      </w:r>
    </w:p>
    <w:p w:rsidR="00F40DAE" w:rsidRDefault="00325BFF">
      <w:pPr>
        <w:pStyle w:val="BodyText"/>
        <w:rPr>
          <w:i/>
        </w:rPr>
      </w:pPr>
      <w:r>
        <w:rPr>
          <w:i/>
        </w:rPr>
        <w:t>Disclosure on information on peak flows, gas transmission capacity, and capacity reservations</w:t>
      </w:r>
    </w:p>
    <w:p w:rsidR="00F40DAE" w:rsidRDefault="00BD79CB">
      <w:pPr>
        <w:pStyle w:val="HeadingH4Clausetext"/>
        <w:tabs>
          <w:tab w:val="clear" w:pos="4679"/>
          <w:tab w:val="num" w:pos="709"/>
        </w:tabs>
      </w:pPr>
      <w:bookmarkStart w:id="101" w:name="_Ref329178760"/>
      <w:r>
        <w:t>Peak flow information</w:t>
      </w:r>
      <w:bookmarkEnd w:id="101"/>
    </w:p>
    <w:p w:rsidR="001D335E" w:rsidRDefault="00BD79CB" w:rsidP="001D335E">
      <w:pPr>
        <w:pStyle w:val="HeadingH5ClausesubtextL1"/>
      </w:pPr>
      <w:bookmarkStart w:id="102" w:name="_Ref329177135"/>
      <w:r>
        <w:t xml:space="preserve">Subject to </w:t>
      </w:r>
      <w:proofErr w:type="spellStart"/>
      <w:r w:rsidR="00A92689">
        <w:t>sub</w:t>
      </w:r>
      <w:r>
        <w:t>clause</w:t>
      </w:r>
      <w:proofErr w:type="spellEnd"/>
      <w:r>
        <w:t xml:space="preserve"> </w:t>
      </w:r>
      <w:r w:rsidR="0033518E">
        <w:fldChar w:fldCharType="begin"/>
      </w:r>
      <w:r w:rsidR="00D7661D">
        <w:instrText xml:space="preserve"> REF  _Ref327453790 \h \w </w:instrText>
      </w:r>
      <w:r w:rsidR="0033518E">
        <w:fldChar w:fldCharType="separate"/>
      </w:r>
      <w:r w:rsidR="00B06C04">
        <w:t>2.5.2(4)</w:t>
      </w:r>
      <w:r w:rsidR="0033518E">
        <w:fldChar w:fldCharType="end"/>
      </w:r>
      <w:r>
        <w:t xml:space="preserve"> below, by the end of </w:t>
      </w:r>
      <w:r w:rsidR="0092331E">
        <w:t xml:space="preserve">November </w:t>
      </w:r>
      <w:r>
        <w:t xml:space="preserve">in each year, every </w:t>
      </w:r>
      <w:r w:rsidR="00F86836" w:rsidRPr="00F86836">
        <w:rPr>
          <w:b/>
        </w:rPr>
        <w:t>GTB</w:t>
      </w:r>
      <w:r>
        <w:t xml:space="preserve"> must </w:t>
      </w:r>
      <w:r w:rsidRPr="007D09C8">
        <w:rPr>
          <w:b/>
        </w:rPr>
        <w:t>publicly disclose</w:t>
      </w:r>
      <w:r>
        <w:t xml:space="preserve"> in respect of the most recent 12 month period ended 31 September:</w:t>
      </w:r>
      <w:bookmarkEnd w:id="102"/>
    </w:p>
    <w:p w:rsidR="001D335E" w:rsidRDefault="00BD79CB" w:rsidP="001D335E">
      <w:pPr>
        <w:pStyle w:val="HeadingH6ClausesubtextL2"/>
      </w:pPr>
      <w:bookmarkStart w:id="103" w:name="_Ref327453738"/>
      <w:r>
        <w:t xml:space="preserve">for each transmission system, the information specified in </w:t>
      </w:r>
      <w:proofErr w:type="spellStart"/>
      <w:r w:rsidR="00A92689">
        <w:t>sub</w:t>
      </w:r>
      <w:r>
        <w:t>clause</w:t>
      </w:r>
      <w:proofErr w:type="spellEnd"/>
      <w:r>
        <w:t xml:space="preserve"> </w:t>
      </w:r>
      <w:r w:rsidR="0033518E">
        <w:fldChar w:fldCharType="begin"/>
      </w:r>
      <w:r w:rsidR="00221576">
        <w:instrText xml:space="preserve"> REF  _Ref327376147 \h \w </w:instrText>
      </w:r>
      <w:r w:rsidR="0033518E">
        <w:fldChar w:fldCharType="separate"/>
      </w:r>
      <w:r w:rsidR="00B06C04">
        <w:t>2.5.2(2)</w:t>
      </w:r>
      <w:r w:rsidR="0033518E">
        <w:fldChar w:fldCharType="end"/>
      </w:r>
      <w:r w:rsidR="00221576">
        <w:t xml:space="preserve"> </w:t>
      </w:r>
      <w:r>
        <w:t>below</w:t>
      </w:r>
      <w:bookmarkEnd w:id="103"/>
    </w:p>
    <w:p w:rsidR="001D335E" w:rsidRDefault="00BD79CB" w:rsidP="001D335E">
      <w:pPr>
        <w:pStyle w:val="HeadingH6ClausesubtextL2"/>
      </w:pPr>
      <w:bookmarkStart w:id="104" w:name="_Ref327453754"/>
      <w:r w:rsidRPr="009A47BD">
        <w:t xml:space="preserve">for each </w:t>
      </w:r>
      <w:proofErr w:type="spellStart"/>
      <w:r w:rsidRPr="009A47BD">
        <w:t>offtake</w:t>
      </w:r>
      <w:proofErr w:type="spellEnd"/>
      <w:r w:rsidRPr="009A47BD">
        <w:t xml:space="preserve"> point </w:t>
      </w:r>
      <w:r>
        <w:t>with</w:t>
      </w:r>
      <w:r w:rsidRPr="009A47BD">
        <w:t xml:space="preserve"> a throughput of gas </w:t>
      </w:r>
      <w:r>
        <w:t>during</w:t>
      </w:r>
      <w:r w:rsidRPr="006B0078">
        <w:t xml:space="preserve"> </w:t>
      </w:r>
      <w:r w:rsidRPr="009A47BD">
        <w:t>the system peak flow period of 2,000</w:t>
      </w:r>
      <w:r>
        <w:t> GJ</w:t>
      </w:r>
      <w:r w:rsidRPr="009A47BD">
        <w:t xml:space="preserve"> or more</w:t>
      </w:r>
      <w:r>
        <w:t xml:space="preserve">, the information specified in clause </w:t>
      </w:r>
      <w:r w:rsidR="0033518E">
        <w:fldChar w:fldCharType="begin"/>
      </w:r>
      <w:r w:rsidR="00221576">
        <w:instrText xml:space="preserve"> REF  _Ref327376173 \h \w </w:instrText>
      </w:r>
      <w:r w:rsidR="0033518E">
        <w:fldChar w:fldCharType="separate"/>
      </w:r>
      <w:r w:rsidR="00B06C04">
        <w:t>2.5.2(3)</w:t>
      </w:r>
      <w:r w:rsidR="0033518E">
        <w:fldChar w:fldCharType="end"/>
      </w:r>
      <w:r>
        <w:t xml:space="preserve"> below.</w:t>
      </w:r>
      <w:bookmarkEnd w:id="104"/>
    </w:p>
    <w:p w:rsidR="001D335E" w:rsidRDefault="00BD79CB" w:rsidP="001D335E">
      <w:pPr>
        <w:pStyle w:val="HeadingH5ClausesubtextL1"/>
      </w:pPr>
      <w:bookmarkStart w:id="105" w:name="_Ref327376147"/>
      <w:r>
        <w:t xml:space="preserve">The information referred to in </w:t>
      </w:r>
      <w:proofErr w:type="spellStart"/>
      <w:r>
        <w:t>subclause</w:t>
      </w:r>
      <w:proofErr w:type="spellEnd"/>
      <w:r>
        <w:t xml:space="preserve"> </w:t>
      </w:r>
      <w:r w:rsidR="0033518E">
        <w:fldChar w:fldCharType="begin"/>
      </w:r>
      <w:r w:rsidR="00D7661D">
        <w:instrText xml:space="preserve"> REF _Ref329194254 \r \h </w:instrText>
      </w:r>
      <w:r w:rsidR="0033518E">
        <w:fldChar w:fldCharType="separate"/>
      </w:r>
      <w:r w:rsidR="00B06C04">
        <w:t>2.5.3(1)(a)</w:t>
      </w:r>
      <w:r w:rsidR="0033518E">
        <w:fldChar w:fldCharType="end"/>
      </w:r>
      <w:r>
        <w:t xml:space="preserve"> above is:</w:t>
      </w:r>
      <w:bookmarkEnd w:id="105"/>
    </w:p>
    <w:p w:rsidR="001D335E" w:rsidRDefault="00BD79CB" w:rsidP="001D335E">
      <w:pPr>
        <w:pStyle w:val="HeadingH6ClausesubtextL2"/>
      </w:pPr>
      <w:r>
        <w:t>the end date and duration of the</w:t>
      </w:r>
      <w:r w:rsidRPr="006B0078">
        <w:t xml:space="preserve"> system peak flow period</w:t>
      </w:r>
    </w:p>
    <w:p w:rsidR="001D335E" w:rsidRDefault="00BD79CB" w:rsidP="001D335E">
      <w:pPr>
        <w:pStyle w:val="HeadingH6ClausesubtextL2"/>
      </w:pPr>
      <w:proofErr w:type="gramStart"/>
      <w:r w:rsidRPr="006B0078">
        <w:t>the</w:t>
      </w:r>
      <w:proofErr w:type="gramEnd"/>
      <w:r w:rsidRPr="006B0078">
        <w:t xml:space="preserve"> </w:t>
      </w:r>
      <w:r>
        <w:t xml:space="preserve">total </w:t>
      </w:r>
      <w:r w:rsidRPr="006B0078">
        <w:t>throughput of gas (</w:t>
      </w:r>
      <w:r>
        <w:t>in GJ</w:t>
      </w:r>
      <w:r w:rsidRPr="006B0078">
        <w:t xml:space="preserve">) </w:t>
      </w:r>
      <w:r>
        <w:t>at each intake point during</w:t>
      </w:r>
      <w:r w:rsidRPr="006B0078">
        <w:t xml:space="preserve"> the system peak flow period</w:t>
      </w:r>
      <w:r>
        <w:t>.</w:t>
      </w:r>
    </w:p>
    <w:p w:rsidR="001D335E" w:rsidRDefault="00BD79CB" w:rsidP="001D335E">
      <w:pPr>
        <w:pStyle w:val="HeadingH5ClausesubtextL1"/>
      </w:pPr>
      <w:bookmarkStart w:id="106" w:name="_Ref327376173"/>
      <w:bookmarkStart w:id="107" w:name="_Ref327277676"/>
      <w:r>
        <w:t xml:space="preserve">The information referred to in </w:t>
      </w:r>
      <w:proofErr w:type="spellStart"/>
      <w:r>
        <w:t>subclause</w:t>
      </w:r>
      <w:proofErr w:type="spellEnd"/>
      <w:r>
        <w:t xml:space="preserve"> </w:t>
      </w:r>
      <w:r w:rsidR="0033518E">
        <w:fldChar w:fldCharType="begin"/>
      </w:r>
      <w:r w:rsidR="00D7661D">
        <w:instrText xml:space="preserve"> REF  _Ref327453754 \h \w </w:instrText>
      </w:r>
      <w:r w:rsidR="0033518E">
        <w:fldChar w:fldCharType="separate"/>
      </w:r>
      <w:r w:rsidR="00B06C04">
        <w:t>2.5.2(1)(b)</w:t>
      </w:r>
      <w:r w:rsidR="0033518E">
        <w:fldChar w:fldCharType="end"/>
      </w:r>
      <w:r>
        <w:t xml:space="preserve"> </w:t>
      </w:r>
      <w:r w:rsidR="00D7661D">
        <w:t xml:space="preserve">above </w:t>
      </w:r>
      <w:r>
        <w:t>is:</w:t>
      </w:r>
      <w:bookmarkEnd w:id="106"/>
    </w:p>
    <w:p w:rsidR="001D335E" w:rsidRDefault="00BD79CB" w:rsidP="001D335E">
      <w:pPr>
        <w:pStyle w:val="HeadingH6ClausesubtextL2"/>
      </w:pPr>
      <w:r>
        <w:t>the end date and duration of the</w:t>
      </w:r>
      <w:r w:rsidRPr="006B0078">
        <w:t xml:space="preserve"> </w:t>
      </w:r>
      <w:proofErr w:type="spellStart"/>
      <w:r w:rsidRPr="006B0078">
        <w:t>offtake</w:t>
      </w:r>
      <w:proofErr w:type="spellEnd"/>
      <w:r w:rsidRPr="006B0078">
        <w:t xml:space="preserve"> peak flow period</w:t>
      </w:r>
    </w:p>
    <w:p w:rsidR="001D335E" w:rsidRDefault="00BD79CB" w:rsidP="001D335E">
      <w:pPr>
        <w:pStyle w:val="HeadingH6ClausesubtextL2"/>
      </w:pPr>
      <w:r w:rsidRPr="006B0078">
        <w:t>the throughput of gas (</w:t>
      </w:r>
      <w:r>
        <w:t>in GJ</w:t>
      </w:r>
      <w:r w:rsidRPr="006B0078">
        <w:t xml:space="preserve">) at the </w:t>
      </w:r>
      <w:proofErr w:type="spellStart"/>
      <w:r w:rsidRPr="006B0078">
        <w:t>offtake</w:t>
      </w:r>
      <w:proofErr w:type="spellEnd"/>
      <w:r w:rsidRPr="006B0078">
        <w:t xml:space="preserve"> point </w:t>
      </w:r>
      <w:r>
        <w:t xml:space="preserve">in each hour of </w:t>
      </w:r>
      <w:r w:rsidRPr="006B0078">
        <w:t>the system peak flow period</w:t>
      </w:r>
    </w:p>
    <w:p w:rsidR="001D335E" w:rsidRDefault="00BD79CB" w:rsidP="001D335E">
      <w:pPr>
        <w:pStyle w:val="HeadingH6ClausesubtextL2"/>
      </w:pPr>
      <w:r w:rsidRPr="006B0078">
        <w:t>the total throughput of gas (</w:t>
      </w:r>
      <w:r>
        <w:t>in GJ</w:t>
      </w:r>
      <w:r w:rsidRPr="006B0078">
        <w:t xml:space="preserve">) at the </w:t>
      </w:r>
      <w:proofErr w:type="spellStart"/>
      <w:r w:rsidRPr="006B0078">
        <w:t>offtake</w:t>
      </w:r>
      <w:proofErr w:type="spellEnd"/>
      <w:r w:rsidRPr="006B0078">
        <w:t xml:space="preserve"> point </w:t>
      </w:r>
      <w:r>
        <w:t>during</w:t>
      </w:r>
      <w:r w:rsidRPr="006B0078">
        <w:t xml:space="preserve"> the system peak flow period</w:t>
      </w:r>
    </w:p>
    <w:p w:rsidR="001D335E" w:rsidRDefault="00BD79CB" w:rsidP="001D335E">
      <w:pPr>
        <w:pStyle w:val="HeadingH6ClausesubtextL2"/>
      </w:pPr>
      <w:proofErr w:type="gramStart"/>
      <w:r w:rsidRPr="006B0078">
        <w:t>the</w:t>
      </w:r>
      <w:proofErr w:type="gramEnd"/>
      <w:r w:rsidRPr="006B0078">
        <w:t xml:space="preserve"> total throughput </w:t>
      </w:r>
      <w:r>
        <w:t>of gas (in GJ)</w:t>
      </w:r>
      <w:r w:rsidRPr="006B0078">
        <w:t xml:space="preserve"> at the </w:t>
      </w:r>
      <w:proofErr w:type="spellStart"/>
      <w:r w:rsidRPr="006B0078">
        <w:t>offtake</w:t>
      </w:r>
      <w:proofErr w:type="spellEnd"/>
      <w:r w:rsidRPr="006B0078">
        <w:t xml:space="preserve"> point </w:t>
      </w:r>
      <w:r>
        <w:t>during</w:t>
      </w:r>
      <w:r w:rsidRPr="006B0078">
        <w:t xml:space="preserve"> the </w:t>
      </w:r>
      <w:proofErr w:type="spellStart"/>
      <w:r w:rsidRPr="006B0078">
        <w:t>offtake</w:t>
      </w:r>
      <w:proofErr w:type="spellEnd"/>
      <w:r w:rsidRPr="006B0078">
        <w:t xml:space="preserve"> peak flow period</w:t>
      </w:r>
      <w:bookmarkEnd w:id="107"/>
      <w:r>
        <w:t>.</w:t>
      </w:r>
    </w:p>
    <w:p w:rsidR="001D335E" w:rsidRDefault="00BD79CB" w:rsidP="001D335E">
      <w:pPr>
        <w:pStyle w:val="HeadingH5ClausesubtextL1"/>
      </w:pPr>
      <w:bookmarkStart w:id="108" w:name="_Ref327453790"/>
      <w:r>
        <w:t xml:space="preserve">Notwithstanding </w:t>
      </w:r>
      <w:proofErr w:type="spellStart"/>
      <w:r w:rsidR="00D7661D">
        <w:t>sub</w:t>
      </w:r>
      <w:r>
        <w:t>clause</w:t>
      </w:r>
      <w:proofErr w:type="spellEnd"/>
      <w:r>
        <w:t xml:space="preserve"> </w:t>
      </w:r>
      <w:r w:rsidR="0033518E">
        <w:fldChar w:fldCharType="begin"/>
      </w:r>
      <w:r w:rsidR="00D7661D">
        <w:instrText xml:space="preserve"> REF  _Ref329177135 \h \w </w:instrText>
      </w:r>
      <w:r w:rsidR="0033518E">
        <w:fldChar w:fldCharType="separate"/>
      </w:r>
      <w:r w:rsidR="00B06C04">
        <w:t>2.5.2(1)</w:t>
      </w:r>
      <w:r w:rsidR="0033518E">
        <w:fldChar w:fldCharType="end"/>
      </w:r>
      <w:r w:rsidR="00D7661D">
        <w:t xml:space="preserve"> </w:t>
      </w:r>
      <w:r>
        <w:t xml:space="preserve">above, public disclosure is deemed to have occurred if the information specified in </w:t>
      </w:r>
      <w:proofErr w:type="spellStart"/>
      <w:r>
        <w:t>subclauses</w:t>
      </w:r>
      <w:proofErr w:type="spellEnd"/>
      <w:r>
        <w:t xml:space="preserve"> </w:t>
      </w:r>
      <w:r w:rsidR="0033518E">
        <w:fldChar w:fldCharType="begin"/>
      </w:r>
      <w:r w:rsidR="00D7661D">
        <w:instrText xml:space="preserve"> REF  _Ref327376147 \h \w </w:instrText>
      </w:r>
      <w:r w:rsidR="0033518E">
        <w:fldChar w:fldCharType="separate"/>
      </w:r>
      <w:r w:rsidR="00B06C04">
        <w:t>2.5.2(2)</w:t>
      </w:r>
      <w:r w:rsidR="0033518E">
        <w:fldChar w:fldCharType="end"/>
      </w:r>
      <w:r>
        <w:t xml:space="preserve">and </w:t>
      </w:r>
      <w:r w:rsidR="0033518E">
        <w:fldChar w:fldCharType="begin"/>
      </w:r>
      <w:r w:rsidR="00D7661D">
        <w:instrText xml:space="preserve"> REF  _Ref327376173 \h \w </w:instrText>
      </w:r>
      <w:r w:rsidR="0033518E">
        <w:fldChar w:fldCharType="separate"/>
      </w:r>
      <w:r w:rsidR="00B06C04">
        <w:t>2.5.2(3)</w:t>
      </w:r>
      <w:r w:rsidR="0033518E">
        <w:fldChar w:fldCharType="end"/>
      </w:r>
      <w:r w:rsidR="00D7661D">
        <w:t xml:space="preserve"> </w:t>
      </w:r>
      <w:r>
        <w:t xml:space="preserve">is posted on a website normally used for the publication of the GTB’s transmission data within </w:t>
      </w:r>
      <w:r w:rsidR="00D7661D">
        <w:t xml:space="preserve">one </w:t>
      </w:r>
      <w:r>
        <w:t xml:space="preserve">week after the end of the </w:t>
      </w:r>
      <w:r w:rsidRPr="00886832">
        <w:rPr>
          <w:b/>
        </w:rPr>
        <w:t>disclosure year</w:t>
      </w:r>
      <w:r>
        <w:t xml:space="preserve"> and can be readily accessed at no charge by interested persons, with the information retained on such a website for a period of not less than five years.</w:t>
      </w:r>
      <w:bookmarkEnd w:id="108"/>
    </w:p>
    <w:p w:rsidR="00F40DAE" w:rsidRDefault="00BD79CB">
      <w:pPr>
        <w:pStyle w:val="HeadingH4Clausetext"/>
        <w:tabs>
          <w:tab w:val="clear" w:pos="4679"/>
          <w:tab w:val="num" w:pos="709"/>
        </w:tabs>
      </w:pPr>
      <w:r>
        <w:t>Capacity allocation methodology</w:t>
      </w:r>
    </w:p>
    <w:p w:rsidR="00F40DAE" w:rsidRDefault="00D7661D">
      <w:pPr>
        <w:pStyle w:val="HeadingH5ClausesubtextL1"/>
      </w:pPr>
      <w:r>
        <w:t xml:space="preserve">Within </w:t>
      </w:r>
      <w:r w:rsidR="0092331E">
        <w:t>6</w:t>
      </w:r>
      <w:r>
        <w:t xml:space="preserve"> months </w:t>
      </w:r>
      <w:r w:rsidR="00BD79CB">
        <w:t xml:space="preserve">after the end of each </w:t>
      </w:r>
      <w:r w:rsidR="00BD79CB" w:rsidRPr="00886832">
        <w:rPr>
          <w:b/>
        </w:rPr>
        <w:t>disclosure year</w:t>
      </w:r>
      <w:r w:rsidR="00BD79CB">
        <w:t xml:space="preserve">, every </w:t>
      </w:r>
      <w:r w:rsidR="00F86836" w:rsidRPr="00F86836">
        <w:rPr>
          <w:b/>
        </w:rPr>
        <w:t>GTB</w:t>
      </w:r>
      <w:r w:rsidR="00BD79CB">
        <w:t xml:space="preserve"> must publicly disclose a description of </w:t>
      </w:r>
      <w:r w:rsidR="00BD79CB" w:rsidRPr="006B0078">
        <w:t xml:space="preserve">the extent to which current capacity allocation methodologies result in efficient outcomes. </w:t>
      </w:r>
      <w:r w:rsidR="00BD79CB">
        <w:t>The disclosure must i</w:t>
      </w:r>
      <w:r w:rsidR="00BD79CB" w:rsidRPr="006B0078">
        <w:t>nclude</w:t>
      </w:r>
      <w:r w:rsidR="00BD79CB" w:rsidRPr="00EF269A">
        <w:t xml:space="preserve"> </w:t>
      </w:r>
      <w:r w:rsidR="00BD79CB">
        <w:t>a</w:t>
      </w:r>
      <w:r w:rsidR="00BD79CB" w:rsidRPr="006B0078">
        <w:t xml:space="preserve"> description of</w:t>
      </w:r>
      <w:r w:rsidR="00BD79CB">
        <w:t>:</w:t>
      </w:r>
    </w:p>
    <w:p w:rsidR="00F40DAE" w:rsidRDefault="00BD79CB">
      <w:pPr>
        <w:pStyle w:val="HeadingH6ClausesubtextL2"/>
      </w:pPr>
      <w:bookmarkStart w:id="109" w:name="_Ref329194254"/>
      <w:r w:rsidRPr="006B0078">
        <w:t xml:space="preserve">the methodology or methodologies used to determine </w:t>
      </w:r>
      <w:r>
        <w:t>how capacity is assigned</w:t>
      </w:r>
      <w:bookmarkEnd w:id="109"/>
    </w:p>
    <w:p w:rsidR="00F40DAE" w:rsidRDefault="00BD79CB">
      <w:pPr>
        <w:pStyle w:val="HeadingH6ClausesubtextL2"/>
      </w:pPr>
      <w:r w:rsidRPr="006B0078">
        <w:t xml:space="preserve">which, if any, requests for capacity </w:t>
      </w:r>
      <w:r>
        <w:t>was</w:t>
      </w:r>
      <w:r w:rsidRPr="006B0078">
        <w:t xml:space="preserve"> approved in full or in part</w:t>
      </w:r>
      <w:r>
        <w:t xml:space="preserve"> during the </w:t>
      </w:r>
      <w:r w:rsidRPr="00886832">
        <w:rPr>
          <w:b/>
        </w:rPr>
        <w:t>disclosure year</w:t>
      </w:r>
      <w:r w:rsidRPr="006B0078">
        <w:t xml:space="preserve">, including how, if at all, the quantity of uncommitted capacity in the pipeline </w:t>
      </w:r>
      <w:r>
        <w:t>wa</w:t>
      </w:r>
      <w:r w:rsidRPr="006B0078">
        <w:t>s determined</w:t>
      </w:r>
    </w:p>
    <w:p w:rsidR="00F40DAE" w:rsidRDefault="00BD79CB">
      <w:pPr>
        <w:pStyle w:val="HeadingH6ClausesubtextL2"/>
      </w:pPr>
      <w:bookmarkStart w:id="110" w:name="_Ref327375695"/>
      <w:proofErr w:type="gramStart"/>
      <w:r w:rsidRPr="006B0078">
        <w:t>the</w:t>
      </w:r>
      <w:proofErr w:type="gramEnd"/>
      <w:r w:rsidRPr="006B0078">
        <w:t xml:space="preserve"> extent of unmet demand for capacity during the past </w:t>
      </w:r>
      <w:r w:rsidRPr="00886832">
        <w:rPr>
          <w:b/>
        </w:rPr>
        <w:t>disclosure year</w:t>
      </w:r>
      <w:r w:rsidRPr="006B0078">
        <w:t>, including</w:t>
      </w:r>
      <w:r>
        <w:t xml:space="preserve"> the information specified in clause </w:t>
      </w:r>
      <w:r w:rsidR="0033518E">
        <w:fldChar w:fldCharType="begin"/>
      </w:r>
      <w:r w:rsidR="00221576">
        <w:instrText xml:space="preserve"> REF  _Ref327375611 \h \w </w:instrText>
      </w:r>
      <w:r w:rsidR="0033518E">
        <w:fldChar w:fldCharType="separate"/>
      </w:r>
      <w:r w:rsidR="00B06C04">
        <w:t>2.5.3(2)</w:t>
      </w:r>
      <w:r w:rsidR="0033518E">
        <w:fldChar w:fldCharType="end"/>
      </w:r>
      <w:r>
        <w:t xml:space="preserve"> below.</w:t>
      </w:r>
      <w:bookmarkEnd w:id="110"/>
    </w:p>
    <w:p w:rsidR="00F40DAE" w:rsidRDefault="00BD79CB">
      <w:pPr>
        <w:pStyle w:val="HeadingH5ClausesubtextL1"/>
      </w:pPr>
      <w:bookmarkStart w:id="111" w:name="_Ref327375611"/>
      <w:r>
        <w:t xml:space="preserve">The information referred to in </w:t>
      </w:r>
      <w:proofErr w:type="spellStart"/>
      <w:r>
        <w:t>subclause</w:t>
      </w:r>
      <w:proofErr w:type="spellEnd"/>
      <w:r>
        <w:t xml:space="preserve"> </w:t>
      </w:r>
      <w:r w:rsidR="0033518E">
        <w:fldChar w:fldCharType="begin"/>
      </w:r>
      <w:r w:rsidR="00221576">
        <w:instrText xml:space="preserve"> REF  _Ref327375695 \h \w </w:instrText>
      </w:r>
      <w:r w:rsidR="0033518E">
        <w:fldChar w:fldCharType="separate"/>
      </w:r>
      <w:r w:rsidR="00B06C04">
        <w:t>2.5.3(1)(c)</w:t>
      </w:r>
      <w:r w:rsidR="0033518E">
        <w:fldChar w:fldCharType="end"/>
      </w:r>
      <w:r>
        <w:t xml:space="preserve"> above is as follows:</w:t>
      </w:r>
      <w:bookmarkEnd w:id="111"/>
    </w:p>
    <w:p w:rsidR="00F40DAE" w:rsidRDefault="00BD79CB">
      <w:pPr>
        <w:pStyle w:val="HeadingH6ClausesubtextL2"/>
      </w:pPr>
      <w:bookmarkStart w:id="112" w:name="_Ref327463810"/>
      <w:r w:rsidRPr="006B0078">
        <w:t xml:space="preserve">total number of requests for firm capacity that the </w:t>
      </w:r>
      <w:r w:rsidR="00F86836" w:rsidRPr="00F86836">
        <w:rPr>
          <w:b/>
        </w:rPr>
        <w:t>GTB</w:t>
      </w:r>
      <w:r w:rsidRPr="006B0078">
        <w:t xml:space="preserve"> has not approved in full in the past </w:t>
      </w:r>
      <w:r w:rsidR="00F86836" w:rsidRPr="00F86836">
        <w:rPr>
          <w:b/>
        </w:rPr>
        <w:t>disclosure year</w:t>
      </w:r>
      <w:bookmarkEnd w:id="112"/>
    </w:p>
    <w:p w:rsidR="00F40DAE" w:rsidRDefault="00BD79CB">
      <w:pPr>
        <w:pStyle w:val="HeadingH6ClausesubtextL2"/>
      </w:pPr>
      <w:r w:rsidRPr="006B0078">
        <w:t xml:space="preserve">maximum daily quantities </w:t>
      </w:r>
      <w:r w:rsidRPr="003E03BF">
        <w:t xml:space="preserve">associated with the requests referred to in </w:t>
      </w:r>
      <w:proofErr w:type="spellStart"/>
      <w:r w:rsidRPr="003E03BF">
        <w:t>subclause</w:t>
      </w:r>
      <w:proofErr w:type="spellEnd"/>
      <w:r w:rsidRPr="003E03BF">
        <w:t xml:space="preserve"> </w:t>
      </w:r>
      <w:r w:rsidR="0033518E">
        <w:fldChar w:fldCharType="begin"/>
      </w:r>
      <w:r w:rsidR="00221576">
        <w:instrText xml:space="preserve"> REF  _Ref327463810 \h \w </w:instrText>
      </w:r>
      <w:r w:rsidR="0033518E">
        <w:fldChar w:fldCharType="separate"/>
      </w:r>
      <w:r w:rsidR="00B06C04">
        <w:t>2.5.3(2)(a)</w:t>
      </w:r>
      <w:r w:rsidR="0033518E">
        <w:fldChar w:fldCharType="end"/>
      </w:r>
      <w:r w:rsidRPr="003E03BF">
        <w:t xml:space="preserve"> above, </w:t>
      </w:r>
      <w:r>
        <w:t xml:space="preserve">aggregated </w:t>
      </w:r>
      <w:r w:rsidRPr="003E03BF">
        <w:t xml:space="preserve">by </w:t>
      </w:r>
      <w:proofErr w:type="spellStart"/>
      <w:r w:rsidRPr="003E03BF">
        <w:t>offtake</w:t>
      </w:r>
      <w:proofErr w:type="spellEnd"/>
      <w:r w:rsidRPr="003E03BF">
        <w:t xml:space="preserve"> point</w:t>
      </w:r>
    </w:p>
    <w:p w:rsidR="00F40DAE" w:rsidRDefault="00BD79CB">
      <w:pPr>
        <w:pStyle w:val="HeadingH6ClausesubtextL2"/>
      </w:pPr>
      <w:proofErr w:type="gramStart"/>
      <w:r>
        <w:t>i</w:t>
      </w:r>
      <w:r w:rsidRPr="006B0078">
        <w:t>n</w:t>
      </w:r>
      <w:proofErr w:type="gramEnd"/>
      <w:r w:rsidRPr="006B0078">
        <w:t xml:space="preserve"> respect of each request for firm capacity not approved in full, the reasons for the request not being fulfilled</w:t>
      </w:r>
      <w:r>
        <w:t>.</w:t>
      </w:r>
    </w:p>
    <w:p w:rsidR="00F40DAE" w:rsidRDefault="00BD79CB">
      <w:pPr>
        <w:pStyle w:val="HeadingH4Clausetext"/>
        <w:tabs>
          <w:tab w:val="clear" w:pos="4679"/>
          <w:tab w:val="num" w:pos="709"/>
        </w:tabs>
      </w:pPr>
      <w:r>
        <w:t>Transmission System Capacity Reservations</w:t>
      </w:r>
    </w:p>
    <w:p w:rsidR="00F40DAE" w:rsidRDefault="00BD79CB">
      <w:pPr>
        <w:pStyle w:val="HeadingH5ClausesubtextL1"/>
      </w:pPr>
      <w:bookmarkStart w:id="113" w:name="_Ref327348838"/>
      <w:r>
        <w:t xml:space="preserve">Within </w:t>
      </w:r>
      <w:r w:rsidR="0092331E">
        <w:t xml:space="preserve">6 </w:t>
      </w:r>
      <w:r>
        <w:t xml:space="preserve">months after the end of each </w:t>
      </w:r>
      <w:r w:rsidRPr="00886832">
        <w:rPr>
          <w:b/>
        </w:rPr>
        <w:t>disclosure year</w:t>
      </w:r>
      <w:r>
        <w:t xml:space="preserve">, in respect of </w:t>
      </w:r>
      <w:r w:rsidRPr="00B70566">
        <w:t>the firm capacity</w:t>
      </w:r>
      <w:r w:rsidRPr="00A924FD">
        <w:t xml:space="preserve"> held or reserved</w:t>
      </w:r>
      <w:r>
        <w:t xml:space="preserve"> by:</w:t>
      </w:r>
    </w:p>
    <w:p w:rsidR="00F40DAE" w:rsidRDefault="00BD79CB">
      <w:pPr>
        <w:pStyle w:val="HeadingH6ClausesubtextL2"/>
      </w:pPr>
      <w:r w:rsidRPr="00B70566">
        <w:t xml:space="preserve">the </w:t>
      </w:r>
      <w:r w:rsidR="00F86836" w:rsidRPr="00F86836">
        <w:rPr>
          <w:b/>
        </w:rPr>
        <w:t>GTB</w:t>
      </w:r>
      <w:r>
        <w:t>,</w:t>
      </w:r>
      <w:r w:rsidRPr="00B70566">
        <w:t xml:space="preserve"> including any person involved in the </w:t>
      </w:r>
      <w:r w:rsidR="00F86836" w:rsidRPr="00F86836">
        <w:rPr>
          <w:b/>
        </w:rPr>
        <w:t>GTB</w:t>
      </w:r>
      <w:r>
        <w:t>,</w:t>
      </w:r>
      <w:r w:rsidRPr="00B70566">
        <w:t xml:space="preserve"> and</w:t>
      </w:r>
      <w:bookmarkEnd w:id="113"/>
    </w:p>
    <w:p w:rsidR="00F40DAE" w:rsidRDefault="00BD79CB">
      <w:pPr>
        <w:pStyle w:val="HeadingH6ClausesubtextL2"/>
      </w:pPr>
      <w:r w:rsidRPr="00B70566">
        <w:t>all other persons collectively</w:t>
      </w:r>
      <w:r>
        <w:t>;</w:t>
      </w:r>
    </w:p>
    <w:p w:rsidR="00F40DAE" w:rsidRDefault="00BD79CB">
      <w:pPr>
        <w:pStyle w:val="HeadingH6ClausesubtextL2"/>
      </w:pPr>
      <w:bookmarkStart w:id="114" w:name="_Ref327374386"/>
      <w:r>
        <w:t xml:space="preserve">every </w:t>
      </w:r>
      <w:r w:rsidR="00F86836" w:rsidRPr="00F86836">
        <w:rPr>
          <w:b/>
        </w:rPr>
        <w:t>GTB</w:t>
      </w:r>
      <w:r>
        <w:t xml:space="preserve"> must </w:t>
      </w:r>
      <w:r w:rsidR="00221576">
        <w:t xml:space="preserve">publicly </w:t>
      </w:r>
      <w:r>
        <w:t xml:space="preserve">disclose the information specified in clause </w:t>
      </w:r>
      <w:r w:rsidR="0033518E">
        <w:fldChar w:fldCharType="begin"/>
      </w:r>
      <w:r w:rsidR="00221576">
        <w:instrText xml:space="preserve"> REF  _Ref327374372 \h \w </w:instrText>
      </w:r>
      <w:r w:rsidR="0033518E">
        <w:fldChar w:fldCharType="separate"/>
      </w:r>
      <w:r w:rsidR="00B06C04">
        <w:t>2.5.4(2)</w:t>
      </w:r>
      <w:r w:rsidR="0033518E">
        <w:fldChar w:fldCharType="end"/>
      </w:r>
      <w:r>
        <w:t xml:space="preserve"> below concerning the capacity reservations that applied to the </w:t>
      </w:r>
      <w:proofErr w:type="spellStart"/>
      <w:r>
        <w:t>offtake</w:t>
      </w:r>
      <w:proofErr w:type="spellEnd"/>
      <w:r>
        <w:t xml:space="preserve"> points specified in clause </w:t>
      </w:r>
      <w:r w:rsidR="0033518E">
        <w:fldChar w:fldCharType="begin"/>
      </w:r>
      <w:r w:rsidR="00221576">
        <w:instrText xml:space="preserve"> REF  _Ref327447068 \h \w </w:instrText>
      </w:r>
      <w:r w:rsidR="0033518E">
        <w:fldChar w:fldCharType="separate"/>
      </w:r>
      <w:r w:rsidR="00B06C04">
        <w:t>2.5.4(3)</w:t>
      </w:r>
      <w:r w:rsidR="0033518E">
        <w:fldChar w:fldCharType="end"/>
      </w:r>
      <w:r>
        <w:t xml:space="preserve"> on the days specified in clause </w:t>
      </w:r>
      <w:r w:rsidR="0033518E">
        <w:fldChar w:fldCharType="begin"/>
      </w:r>
      <w:r w:rsidR="00D7661D">
        <w:instrText xml:space="preserve"> REF  _Ref327434765 \h \w </w:instrText>
      </w:r>
      <w:r w:rsidR="0033518E">
        <w:fldChar w:fldCharType="separate"/>
      </w:r>
      <w:r w:rsidR="00B06C04">
        <w:t>2.5.4(4)</w:t>
      </w:r>
      <w:r w:rsidR="0033518E">
        <w:fldChar w:fldCharType="end"/>
      </w:r>
      <w:r>
        <w:t xml:space="preserve"> below.</w:t>
      </w:r>
      <w:bookmarkEnd w:id="114"/>
    </w:p>
    <w:p w:rsidR="00F40DAE" w:rsidRDefault="00BD79CB">
      <w:pPr>
        <w:pStyle w:val="HeadingH5ClausesubtextL1"/>
      </w:pPr>
      <w:bookmarkStart w:id="115" w:name="_Ref327370084"/>
      <w:bookmarkStart w:id="116" w:name="_Ref327374372"/>
      <w:r w:rsidRPr="006B0078">
        <w:t xml:space="preserve">The information referred to in </w:t>
      </w:r>
      <w:proofErr w:type="spellStart"/>
      <w:r>
        <w:t>sub</w:t>
      </w:r>
      <w:r w:rsidRPr="006B0078">
        <w:t>clause</w:t>
      </w:r>
      <w:proofErr w:type="spellEnd"/>
      <w:r w:rsidRPr="006B0078">
        <w:t xml:space="preserve"> </w:t>
      </w:r>
      <w:r w:rsidR="0033518E">
        <w:fldChar w:fldCharType="begin"/>
      </w:r>
      <w:r w:rsidR="00221576">
        <w:instrText xml:space="preserve"> REF  _Ref327374386 \h \w </w:instrText>
      </w:r>
      <w:r w:rsidR="0033518E">
        <w:fldChar w:fldCharType="separate"/>
      </w:r>
      <w:r w:rsidR="00B06C04">
        <w:t>2.5.4(1)(c)</w:t>
      </w:r>
      <w:r w:rsidR="0033518E">
        <w:fldChar w:fldCharType="end"/>
      </w:r>
      <w:r>
        <w:t xml:space="preserve"> above is as follows</w:t>
      </w:r>
      <w:bookmarkEnd w:id="115"/>
      <w:r>
        <w:t>:</w:t>
      </w:r>
      <w:bookmarkEnd w:id="116"/>
    </w:p>
    <w:p w:rsidR="00F40DAE" w:rsidRDefault="00BD79CB">
      <w:pPr>
        <w:pStyle w:val="HeadingH6ClausesubtextL2"/>
      </w:pPr>
      <w:r w:rsidRPr="006B0078">
        <w:t xml:space="preserve">the effective maximum daily </w:t>
      </w:r>
      <w:r>
        <w:t>quantity (in GJ)</w:t>
      </w:r>
      <w:r w:rsidRPr="006B0078">
        <w:t xml:space="preserve"> applicable to the agg</w:t>
      </w:r>
      <w:r>
        <w:t>regate amount of firm capacity</w:t>
      </w:r>
    </w:p>
    <w:p w:rsidR="00F40DAE" w:rsidRDefault="00BD79CB">
      <w:pPr>
        <w:pStyle w:val="HeadingH6ClausesubtextL2"/>
      </w:pPr>
      <w:r w:rsidRPr="006B0078">
        <w:t xml:space="preserve">the effective maximum hourly </w:t>
      </w:r>
      <w:r>
        <w:t>quantity (in GJ)</w:t>
      </w:r>
      <w:r w:rsidRPr="006B0078">
        <w:t xml:space="preserve"> applicable to the aggregate amount of firm capacity</w:t>
      </w:r>
    </w:p>
    <w:p w:rsidR="00F40DAE" w:rsidRDefault="00BD79CB">
      <w:pPr>
        <w:pStyle w:val="HeadingH6ClausesubtextL2"/>
      </w:pPr>
      <w:proofErr w:type="gramStart"/>
      <w:r w:rsidRPr="006B0078">
        <w:t>the</w:t>
      </w:r>
      <w:proofErr w:type="gramEnd"/>
      <w:r w:rsidRPr="006B0078">
        <w:t xml:space="preserve"> nominal delivery pressure where such pressur</w:t>
      </w:r>
      <w:r>
        <w:t>e is greater than 20</w:t>
      </w:r>
      <w:r w:rsidR="00D7661D">
        <w:t> </w:t>
      </w:r>
      <w:r>
        <w:t>bar gauge.</w:t>
      </w:r>
    </w:p>
    <w:p w:rsidR="00F40DAE" w:rsidRDefault="00BD79CB">
      <w:pPr>
        <w:pStyle w:val="HeadingH5ClausesubtextL1"/>
      </w:pPr>
      <w:bookmarkStart w:id="117" w:name="_Ref327447068"/>
      <w:bookmarkStart w:id="118" w:name="_Ref327370102"/>
      <w:r>
        <w:t xml:space="preserve">The </w:t>
      </w:r>
      <w:proofErr w:type="spellStart"/>
      <w:r>
        <w:t>offtake</w:t>
      </w:r>
      <w:proofErr w:type="spellEnd"/>
      <w:r>
        <w:t xml:space="preserve"> points referred to in clause </w:t>
      </w:r>
      <w:fldSimple w:instr=" REF  _Ref327348838 \h \w  \* MERGEFORMAT ">
        <w:r w:rsidR="00B06C04">
          <w:t>2.5.4(1)</w:t>
        </w:r>
      </w:fldSimple>
      <w:r>
        <w:t xml:space="preserve"> above are the </w:t>
      </w:r>
      <w:proofErr w:type="spellStart"/>
      <w:r w:rsidRPr="006B0078">
        <w:t>offtake</w:t>
      </w:r>
      <w:proofErr w:type="spellEnd"/>
      <w:r w:rsidRPr="006B0078">
        <w:t xml:space="preserve"> point</w:t>
      </w:r>
      <w:r>
        <w:t>s:</w:t>
      </w:r>
      <w:bookmarkEnd w:id="117"/>
    </w:p>
    <w:p w:rsidR="00F40DAE" w:rsidRDefault="00BD79CB">
      <w:pPr>
        <w:pStyle w:val="HeadingH6ClausesubtextL2"/>
      </w:pPr>
      <w:r>
        <w:t>with</w:t>
      </w:r>
      <w:r w:rsidRPr="00B139E7">
        <w:t xml:space="preserve"> a throughput of gas in the system peak flow period of 2,000</w:t>
      </w:r>
      <w:r>
        <w:t> GJ</w:t>
      </w:r>
      <w:r w:rsidRPr="00B139E7">
        <w:t xml:space="preserve"> or more</w:t>
      </w:r>
      <w:r w:rsidR="00D7661D">
        <w:t>;</w:t>
      </w:r>
      <w:r>
        <w:t xml:space="preserve"> </w:t>
      </w:r>
      <w:r w:rsidR="00D7661D">
        <w:t>or</w:t>
      </w:r>
    </w:p>
    <w:p w:rsidR="00F40DAE" w:rsidRDefault="00BD79CB">
      <w:pPr>
        <w:pStyle w:val="HeadingH6ClausesubtextL2"/>
      </w:pPr>
      <w:r>
        <w:t xml:space="preserve">a </w:t>
      </w:r>
      <w:r w:rsidRPr="00B139E7">
        <w:t>contractual firm maximum daily quantity in the system peak flow period of 10,000</w:t>
      </w:r>
      <w:r>
        <w:t> GJ</w:t>
      </w:r>
      <w:r w:rsidRPr="00B139E7">
        <w:t xml:space="preserve"> or more, </w:t>
      </w:r>
      <w:r>
        <w:t>irrespective of the throughput;</w:t>
      </w:r>
      <w:r w:rsidR="00D7661D">
        <w:t xml:space="preserve"> or</w:t>
      </w:r>
    </w:p>
    <w:p w:rsidR="00F40DAE" w:rsidRDefault="00BD79CB">
      <w:pPr>
        <w:pStyle w:val="HeadingH6ClausesubtextL2"/>
      </w:pPr>
      <w:r>
        <w:t xml:space="preserve">with a nominal delivery pressure greater than 20 bar gauge </w:t>
      </w:r>
      <w:r w:rsidRPr="00B139E7">
        <w:t>in the system peak flow period</w:t>
      </w:r>
      <w:r w:rsidR="00D7661D">
        <w:t>;</w:t>
      </w:r>
    </w:p>
    <w:p w:rsidR="00F40DAE" w:rsidRDefault="00BD79CB">
      <w:pPr>
        <w:pStyle w:val="HeadingH6ClausesubtextL2"/>
      </w:pPr>
      <w:proofErr w:type="gramStart"/>
      <w:r w:rsidRPr="00F50681">
        <w:t>with</w:t>
      </w:r>
      <w:proofErr w:type="gramEnd"/>
      <w:r w:rsidRPr="00F50681">
        <w:t xml:space="preserve"> all other </w:t>
      </w:r>
      <w:proofErr w:type="spellStart"/>
      <w:r w:rsidRPr="00F50681">
        <w:t>offtake</w:t>
      </w:r>
      <w:proofErr w:type="spellEnd"/>
      <w:r w:rsidRPr="00F50681">
        <w:t xml:space="preserve"> points taken together as a group</w:t>
      </w:r>
      <w:r>
        <w:t>.</w:t>
      </w:r>
    </w:p>
    <w:p w:rsidR="00F40DAE" w:rsidRDefault="00BD79CB">
      <w:pPr>
        <w:pStyle w:val="HeadingH5ClausesubtextL1"/>
      </w:pPr>
      <w:bookmarkStart w:id="119" w:name="_Ref327434765"/>
      <w:r>
        <w:t xml:space="preserve">The days referred to in clause </w:t>
      </w:r>
      <w:fldSimple w:instr=" REF  _Ref327348838 \h \w  \* MERGEFORMAT ">
        <w:r w:rsidR="00B06C04">
          <w:t>2.5.4(1)</w:t>
        </w:r>
      </w:fldSimple>
      <w:r>
        <w:t xml:space="preserve"> above are:</w:t>
      </w:r>
      <w:bookmarkEnd w:id="119"/>
    </w:p>
    <w:bookmarkEnd w:id="118"/>
    <w:p w:rsidR="00F40DAE" w:rsidRDefault="00BD79CB">
      <w:pPr>
        <w:pStyle w:val="HeadingH6ClausesubtextL2"/>
      </w:pPr>
      <w:r>
        <w:t>t</w:t>
      </w:r>
      <w:r w:rsidRPr="006B0078">
        <w:t xml:space="preserve">he last day of the preceding </w:t>
      </w:r>
      <w:r w:rsidRPr="00886832">
        <w:rPr>
          <w:b/>
        </w:rPr>
        <w:t>disclosure year</w:t>
      </w:r>
    </w:p>
    <w:p w:rsidR="00F40DAE" w:rsidRDefault="00BD79CB">
      <w:pPr>
        <w:pStyle w:val="HeadingH6ClausesubtextL2"/>
      </w:pPr>
      <w:r>
        <w:t>t</w:t>
      </w:r>
      <w:r w:rsidRPr="006B0078">
        <w:t xml:space="preserve">he first day of the new </w:t>
      </w:r>
      <w:r w:rsidRPr="00886832">
        <w:rPr>
          <w:b/>
        </w:rPr>
        <w:t>disclosure year</w:t>
      </w:r>
    </w:p>
    <w:p w:rsidR="00F40DAE" w:rsidRDefault="00BD79CB">
      <w:pPr>
        <w:pStyle w:val="HeadingH6ClausesubtextL2"/>
      </w:pPr>
      <w:proofErr w:type="gramStart"/>
      <w:r w:rsidRPr="00E876D7">
        <w:t>the</w:t>
      </w:r>
      <w:proofErr w:type="gramEnd"/>
      <w:r w:rsidRPr="00E876D7">
        <w:t xml:space="preserve"> first day in the system peak flow period.</w:t>
      </w:r>
    </w:p>
    <w:p w:rsidR="00F40DAE" w:rsidRDefault="00870D08">
      <w:pPr>
        <w:pStyle w:val="HeadingH3SectionHeading"/>
      </w:pPr>
      <w:bookmarkStart w:id="120" w:name="_Ref329061452"/>
      <w:bookmarkStart w:id="121" w:name="_Ref329201902"/>
      <w:bookmarkStart w:id="122" w:name="_Toc329296362"/>
      <w:r w:rsidRPr="006441E4">
        <w:t xml:space="preserve">ASSET MANAGEMENT </w:t>
      </w:r>
      <w:r w:rsidR="00BD79CB">
        <w:t xml:space="preserve">Plans and Forecast </w:t>
      </w:r>
      <w:r w:rsidR="00D94C94" w:rsidRPr="006441E4">
        <w:t>INFORMATION</w:t>
      </w:r>
      <w:bookmarkEnd w:id="120"/>
      <w:bookmarkEnd w:id="121"/>
      <w:bookmarkEnd w:id="122"/>
    </w:p>
    <w:p w:rsidR="00F40DAE" w:rsidRDefault="008837D4">
      <w:pPr>
        <w:pStyle w:val="HeadingH4Clausetext"/>
      </w:pPr>
      <w:bookmarkStart w:id="123" w:name="_Toc311193362"/>
      <w:bookmarkStart w:id="124" w:name="_Toc311195603"/>
      <w:bookmarkStart w:id="125" w:name="_Toc311195831"/>
      <w:bookmarkStart w:id="126" w:name="_Toc311196429"/>
      <w:bookmarkStart w:id="127" w:name="_Toc310881591"/>
      <w:bookmarkStart w:id="128" w:name="_Toc310884659"/>
      <w:bookmarkStart w:id="129" w:name="_Toc310888404"/>
      <w:bookmarkStart w:id="130" w:name="_Toc310881592"/>
      <w:bookmarkStart w:id="131" w:name="_Toc310884660"/>
      <w:bookmarkStart w:id="132" w:name="_Toc310888405"/>
      <w:bookmarkStart w:id="133" w:name="_Toc310881593"/>
      <w:bookmarkStart w:id="134" w:name="_Toc310884661"/>
      <w:bookmarkStart w:id="135" w:name="_Toc310888406"/>
      <w:bookmarkStart w:id="136" w:name="_Toc310881594"/>
      <w:bookmarkStart w:id="137" w:name="_Toc310884662"/>
      <w:bookmarkStart w:id="138" w:name="_Toc310888407"/>
      <w:bookmarkStart w:id="139" w:name="_Toc310881595"/>
      <w:bookmarkStart w:id="140" w:name="_Toc310884663"/>
      <w:bookmarkStart w:id="141" w:name="_Toc310888408"/>
      <w:bookmarkStart w:id="142" w:name="_Toc310881596"/>
      <w:bookmarkStart w:id="143" w:name="_Toc310884664"/>
      <w:bookmarkStart w:id="144" w:name="_Toc310888409"/>
      <w:bookmarkStart w:id="145" w:name="_Toc310881597"/>
      <w:bookmarkStart w:id="146" w:name="_Toc310884665"/>
      <w:bookmarkStart w:id="147" w:name="_Toc310888410"/>
      <w:bookmarkStart w:id="148" w:name="_Ref308090365"/>
      <w:bookmarkStart w:id="149" w:name="_Ref308724063"/>
      <w:bookmarkStart w:id="150" w:name="_Ref31113393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6441E4">
        <w:t xml:space="preserve">Subject to </w:t>
      </w:r>
      <w:proofErr w:type="spellStart"/>
      <w:r w:rsidR="001136F2" w:rsidRPr="006441E4">
        <w:t>subclause</w:t>
      </w:r>
      <w:proofErr w:type="spellEnd"/>
      <w:r w:rsidR="001136F2" w:rsidRPr="006441E4">
        <w:t xml:space="preserve"> </w:t>
      </w:r>
      <w:r w:rsidR="0033518E">
        <w:fldChar w:fldCharType="begin"/>
      </w:r>
      <w:r w:rsidR="00D7661D">
        <w:instrText xml:space="preserve"> REF _Ref329179873 \r \h </w:instrText>
      </w:r>
      <w:r w:rsidR="0033518E">
        <w:fldChar w:fldCharType="separate"/>
      </w:r>
      <w:r w:rsidR="00B06C04">
        <w:t>2.6.3</w:t>
      </w:r>
      <w:r w:rsidR="0033518E">
        <w:fldChar w:fldCharType="end"/>
      </w:r>
      <w:r w:rsidR="00D7661D">
        <w:t xml:space="preserve"> </w:t>
      </w:r>
      <w:r w:rsidR="003E60AB" w:rsidRPr="006441E4">
        <w:t>of this section</w:t>
      </w:r>
      <w:r w:rsidRPr="006441E4">
        <w:t xml:space="preserve">, before the start of each </w:t>
      </w:r>
      <w:r w:rsidRPr="008A1C94">
        <w:rPr>
          <w:b/>
        </w:rPr>
        <w:t>disclosure year</w:t>
      </w:r>
      <w:r w:rsidR="00F86836" w:rsidRPr="00F86836">
        <w:t xml:space="preserve"> c</w:t>
      </w:r>
      <w:r w:rsidR="001C052C">
        <w:t xml:space="preserve">ommencing with the </w:t>
      </w:r>
      <w:r w:rsidR="00F86836" w:rsidRPr="00F86836">
        <w:rPr>
          <w:b/>
        </w:rPr>
        <w:t>disclosure year</w:t>
      </w:r>
      <w:r w:rsidR="001C052C">
        <w:t xml:space="preserve"> 2014</w:t>
      </w:r>
      <w:r w:rsidR="00F86836" w:rsidRPr="00F86836">
        <w:t>,</w:t>
      </w:r>
      <w:r w:rsidRPr="006441E4">
        <w:t xml:space="preserve"> every </w:t>
      </w:r>
      <w:r w:rsidR="00EC586B" w:rsidRPr="008A1C94">
        <w:rPr>
          <w:b/>
        </w:rPr>
        <w:t>G</w:t>
      </w:r>
      <w:r w:rsidR="006D2EAC" w:rsidRPr="008A1C94">
        <w:rPr>
          <w:b/>
        </w:rPr>
        <w:t>T</w:t>
      </w:r>
      <w:r w:rsidR="00EC586B" w:rsidRPr="008A1C94">
        <w:rPr>
          <w:b/>
        </w:rPr>
        <w:t>B</w:t>
      </w:r>
      <w:r w:rsidRPr="006441E4">
        <w:t xml:space="preserve"> must</w:t>
      </w:r>
      <w:bookmarkStart w:id="151" w:name="_Ref308103390"/>
      <w:bookmarkEnd w:id="148"/>
      <w:bookmarkEnd w:id="149"/>
      <w:r w:rsidRPr="006441E4">
        <w:t xml:space="preserve"> </w:t>
      </w:r>
      <w:bookmarkStart w:id="152" w:name="_Ref310787386"/>
      <w:r w:rsidRPr="006441E4">
        <w:t xml:space="preserve">complete and </w:t>
      </w:r>
      <w:r w:rsidRPr="008A1C94">
        <w:rPr>
          <w:b/>
        </w:rPr>
        <w:t>publicly disclose</w:t>
      </w:r>
      <w:r w:rsidRPr="006441E4">
        <w:t xml:space="preserve"> an </w:t>
      </w:r>
      <w:r w:rsidR="00F32B71" w:rsidRPr="008A1C94">
        <w:rPr>
          <w:b/>
        </w:rPr>
        <w:t>AMP</w:t>
      </w:r>
      <w:r w:rsidR="00A85643" w:rsidRPr="00CC4F52">
        <w:rPr>
          <w:b/>
          <w:sz w:val="16"/>
          <w:szCs w:val="16"/>
        </w:rPr>
        <w:t xml:space="preserve"> </w:t>
      </w:r>
      <w:r w:rsidRPr="006441E4">
        <w:t>that—</w:t>
      </w:r>
      <w:bookmarkEnd w:id="150"/>
      <w:bookmarkEnd w:id="151"/>
      <w:bookmarkEnd w:id="152"/>
    </w:p>
    <w:p w:rsidR="00F40DAE" w:rsidRDefault="00F44DEB">
      <w:pPr>
        <w:pStyle w:val="HeadingH5ClausesubtextL1"/>
      </w:pPr>
      <w:r w:rsidRPr="006441E4">
        <w:t>R</w:t>
      </w:r>
      <w:r w:rsidR="008837D4" w:rsidRPr="006441E4">
        <w:t xml:space="preserve">elates to the </w:t>
      </w:r>
      <w:r w:rsidR="00E46BC1" w:rsidRPr="006441E4">
        <w:rPr>
          <w:b/>
        </w:rPr>
        <w:t xml:space="preserve">gas </w:t>
      </w:r>
      <w:r w:rsidR="008D6E8E" w:rsidRPr="006441E4">
        <w:rPr>
          <w:b/>
        </w:rPr>
        <w:t>transmission services</w:t>
      </w:r>
      <w:r w:rsidR="008837D4" w:rsidRPr="006441E4">
        <w:t xml:space="preserve"> supplied by the </w:t>
      </w:r>
      <w:r w:rsidR="00EC586B" w:rsidRPr="006441E4">
        <w:rPr>
          <w:b/>
        </w:rPr>
        <w:t>G</w:t>
      </w:r>
      <w:r w:rsidR="006D2EAC" w:rsidRPr="006441E4">
        <w:rPr>
          <w:b/>
        </w:rPr>
        <w:t>T</w:t>
      </w:r>
      <w:r w:rsidR="00EC586B" w:rsidRPr="006441E4">
        <w:rPr>
          <w:b/>
        </w:rPr>
        <w:t>B</w:t>
      </w:r>
      <w:bookmarkStart w:id="153" w:name="_Ref311127591"/>
    </w:p>
    <w:p w:rsidR="00F40DAE" w:rsidRDefault="00F44DEB">
      <w:pPr>
        <w:pStyle w:val="HeadingH5ClausesubtextL1"/>
      </w:pPr>
      <w:bookmarkStart w:id="154" w:name="_Ref328671250"/>
      <w:r w:rsidRPr="006441E4">
        <w:t>M</w:t>
      </w:r>
      <w:r w:rsidR="008837D4" w:rsidRPr="006441E4">
        <w:t xml:space="preserve">eets the purposes of </w:t>
      </w:r>
      <w:r w:rsidR="008837D4" w:rsidRPr="006441E4">
        <w:rPr>
          <w:b/>
        </w:rPr>
        <w:t>AMP</w:t>
      </w:r>
      <w:r w:rsidR="008837D4" w:rsidRPr="006441E4">
        <w:t xml:space="preserve"> disclosure set out in clause</w:t>
      </w:r>
      <w:r w:rsidR="00EC586B" w:rsidRPr="006441E4">
        <w:t xml:space="preserve"> </w:t>
      </w:r>
      <w:r w:rsidR="0033518E">
        <w:fldChar w:fldCharType="begin"/>
      </w:r>
      <w:r w:rsidR="00221576">
        <w:instrText xml:space="preserve"> REF _Ref329177693 \r \h </w:instrText>
      </w:r>
      <w:r w:rsidR="0033518E">
        <w:fldChar w:fldCharType="separate"/>
      </w:r>
      <w:r w:rsidR="00B06C04">
        <w:t>2.6.2</w:t>
      </w:r>
      <w:r w:rsidR="0033518E">
        <w:fldChar w:fldCharType="end"/>
      </w:r>
      <w:bookmarkEnd w:id="153"/>
      <w:r w:rsidR="009170E8">
        <w:t>;</w:t>
      </w:r>
      <w:bookmarkEnd w:id="154"/>
    </w:p>
    <w:p w:rsidR="00F40DAE" w:rsidRDefault="00F44DEB">
      <w:pPr>
        <w:pStyle w:val="HeadingH5ClausesubtextL1"/>
      </w:pPr>
      <w:r w:rsidRPr="006441E4">
        <w:t>H</w:t>
      </w:r>
      <w:r w:rsidR="008837D4" w:rsidRPr="006441E4">
        <w:t xml:space="preserve">as been prepared in accordance with </w:t>
      </w:r>
      <w:r w:rsidR="006D2EAC" w:rsidRPr="006441E4">
        <w:t>Appendix A</w:t>
      </w:r>
      <w:r w:rsidR="009170E8">
        <w:t xml:space="preserve"> to this determination;</w:t>
      </w:r>
    </w:p>
    <w:p w:rsidR="00F40DAE" w:rsidRDefault="00D47D33">
      <w:pPr>
        <w:pStyle w:val="HeadingH5ClausesubtextL1"/>
      </w:pPr>
      <w:r>
        <w:t>Contains</w:t>
      </w:r>
      <w:r w:rsidR="008837D4" w:rsidRPr="006441E4">
        <w:t xml:space="preserve"> </w:t>
      </w:r>
      <w:r>
        <w:t xml:space="preserve">the completed tables </w:t>
      </w:r>
      <w:r w:rsidR="00280E4C">
        <w:t>required in</w:t>
      </w:r>
      <w:r w:rsidR="004A3E8B">
        <w:t xml:space="preserve"> clause </w:t>
      </w:r>
      <w:r w:rsidR="0033518E">
        <w:fldChar w:fldCharType="begin"/>
      </w:r>
      <w:r w:rsidR="00221576">
        <w:instrText xml:space="preserve"> REF  _Ref328670738 \h \w </w:instrText>
      </w:r>
      <w:r w:rsidR="0033518E">
        <w:fldChar w:fldCharType="separate"/>
      </w:r>
      <w:r w:rsidR="00B06C04">
        <w:t>2.6.5(2)</w:t>
      </w:r>
      <w:r w:rsidR="0033518E">
        <w:fldChar w:fldCharType="end"/>
      </w:r>
      <w:r w:rsidR="009170E8">
        <w:t>;</w:t>
      </w:r>
    </w:p>
    <w:p w:rsidR="00F40DAE" w:rsidRDefault="003F76AA">
      <w:pPr>
        <w:pStyle w:val="HeadingH5ClausesubtextL1"/>
      </w:pPr>
      <w:r>
        <w:t xml:space="preserve">Contains the </w:t>
      </w:r>
      <w:r w:rsidR="00377682" w:rsidRPr="00377682">
        <w:t xml:space="preserve">Report </w:t>
      </w:r>
      <w:r w:rsidR="00377682">
        <w:t>o</w:t>
      </w:r>
      <w:r w:rsidR="00377682" w:rsidRPr="00377682">
        <w:t xml:space="preserve">n Asset </w:t>
      </w:r>
      <w:r w:rsidR="0021422E">
        <w:t xml:space="preserve">Management </w:t>
      </w:r>
      <w:r w:rsidR="00377682" w:rsidRPr="00377682">
        <w:t>Maturity</w:t>
      </w:r>
      <w:r w:rsidR="00377682">
        <w:t xml:space="preserve"> </w:t>
      </w:r>
      <w:r>
        <w:t>set out in Schedule 1</w:t>
      </w:r>
      <w:r w:rsidR="00377682">
        <w:t>3</w:t>
      </w:r>
      <w:r w:rsidR="00B74838" w:rsidRPr="006441E4">
        <w:t>.</w:t>
      </w:r>
    </w:p>
    <w:p w:rsidR="00F40DAE" w:rsidRDefault="008837D4">
      <w:pPr>
        <w:pStyle w:val="HeadingH4Clausetext"/>
      </w:pPr>
      <w:bookmarkStart w:id="155" w:name="_Ref329177693"/>
      <w:r w:rsidRPr="006441E4">
        <w:t xml:space="preserve">The purposes of </w:t>
      </w:r>
      <w:r w:rsidRPr="006441E4">
        <w:rPr>
          <w:b/>
        </w:rPr>
        <w:t>AMP</w:t>
      </w:r>
      <w:r w:rsidRPr="006441E4">
        <w:t xml:space="preserve"> disclosure </w:t>
      </w:r>
      <w:r w:rsidR="003F76AA" w:rsidRPr="002F2828">
        <w:t xml:space="preserve">referred to in </w:t>
      </w:r>
      <w:proofErr w:type="spellStart"/>
      <w:r w:rsidR="003F76AA" w:rsidRPr="002F2828">
        <w:t>subclause</w:t>
      </w:r>
      <w:proofErr w:type="spellEnd"/>
      <w:r w:rsidR="003F76AA" w:rsidRPr="002F2828">
        <w:t xml:space="preserve"> </w:t>
      </w:r>
      <w:r w:rsidR="0033518E">
        <w:fldChar w:fldCharType="begin"/>
      </w:r>
      <w:r w:rsidR="00221576">
        <w:instrText xml:space="preserve"> REF  _Ref328671250 \h \w </w:instrText>
      </w:r>
      <w:r w:rsidR="0033518E">
        <w:fldChar w:fldCharType="separate"/>
      </w:r>
      <w:r w:rsidR="00B06C04">
        <w:t>2.6.1(2)</w:t>
      </w:r>
      <w:r w:rsidR="0033518E">
        <w:fldChar w:fldCharType="end"/>
      </w:r>
      <w:r w:rsidR="003F76AA" w:rsidRPr="002F2828">
        <w:t xml:space="preserve"> </w:t>
      </w:r>
      <w:r w:rsidRPr="006441E4">
        <w:t xml:space="preserve">are that </w:t>
      </w:r>
      <w:bookmarkStart w:id="156" w:name="_Ref310846915"/>
      <w:r w:rsidR="00F32B71" w:rsidRPr="006441E4">
        <w:t xml:space="preserve">the </w:t>
      </w:r>
      <w:r w:rsidRPr="006441E4">
        <w:rPr>
          <w:b/>
        </w:rPr>
        <w:t>AMP</w:t>
      </w:r>
      <w:r w:rsidRPr="006441E4">
        <w:t>—</w:t>
      </w:r>
      <w:bookmarkEnd w:id="156"/>
      <w:bookmarkEnd w:id="155"/>
    </w:p>
    <w:p w:rsidR="00F40DAE" w:rsidRDefault="00F44DEB">
      <w:pPr>
        <w:pStyle w:val="HeadingH5ClausesubtextL1"/>
      </w:pPr>
      <w:r w:rsidRPr="006441E4">
        <w:t>M</w:t>
      </w:r>
      <w:r w:rsidR="008837D4" w:rsidRPr="006441E4">
        <w:t xml:space="preserve">ust provide sufficient information for </w:t>
      </w:r>
      <w:r w:rsidR="009170E8">
        <w:t xml:space="preserve">an </w:t>
      </w:r>
      <w:r w:rsidR="008837D4" w:rsidRPr="006441E4">
        <w:t>interested person to assess whether:</w:t>
      </w:r>
    </w:p>
    <w:p w:rsidR="00F40DAE" w:rsidRDefault="008837D4">
      <w:pPr>
        <w:pStyle w:val="HeadingH6ClausesubtextL2"/>
      </w:pPr>
      <w:r w:rsidRPr="006441E4">
        <w:t xml:space="preserve">assets are </w:t>
      </w:r>
      <w:r w:rsidR="00A20821" w:rsidRPr="006441E4">
        <w:t>being managed for the long term</w:t>
      </w:r>
      <w:r w:rsidR="009170E8">
        <w:t>;</w:t>
      </w:r>
    </w:p>
    <w:p w:rsidR="00F40DAE" w:rsidRDefault="008837D4">
      <w:pPr>
        <w:pStyle w:val="HeadingH6ClausesubtextL2"/>
      </w:pPr>
      <w:r w:rsidRPr="006441E4">
        <w:t>the required level of perf</w:t>
      </w:r>
      <w:r w:rsidR="00A20821" w:rsidRPr="006441E4">
        <w:t>ormance is being delivered</w:t>
      </w:r>
      <w:r w:rsidR="009170E8">
        <w:t>; and</w:t>
      </w:r>
    </w:p>
    <w:p w:rsidR="00F40DAE" w:rsidRDefault="008837D4">
      <w:pPr>
        <w:pStyle w:val="HeadingH6ClausesubtextL2"/>
      </w:pPr>
      <w:r w:rsidRPr="006441E4">
        <w:t xml:space="preserve">costs are efficient and performance </w:t>
      </w:r>
      <w:r w:rsidR="00A20821" w:rsidRPr="006441E4">
        <w:t>efficiencies are being achieved</w:t>
      </w:r>
      <w:r w:rsidR="009170E8">
        <w:t>;</w:t>
      </w:r>
    </w:p>
    <w:p w:rsidR="00F40DAE" w:rsidRDefault="00F44DEB">
      <w:pPr>
        <w:pStyle w:val="HeadingH5ClausesubtextL1"/>
      </w:pPr>
      <w:r w:rsidRPr="006441E4">
        <w:t>M</w:t>
      </w:r>
      <w:r w:rsidR="008837D4" w:rsidRPr="006441E4">
        <w:t xml:space="preserve">ust be </w:t>
      </w:r>
      <w:r w:rsidR="008D6E8E" w:rsidRPr="006441E4">
        <w:t xml:space="preserve">capable of being </w:t>
      </w:r>
      <w:r w:rsidR="008837D4" w:rsidRPr="006441E4">
        <w:t xml:space="preserve">understood by </w:t>
      </w:r>
      <w:r w:rsidR="009170E8">
        <w:t xml:space="preserve">an </w:t>
      </w:r>
      <w:r w:rsidR="008837D4" w:rsidRPr="006441E4">
        <w:t>interested person with a reasonable understanding of the mana</w:t>
      </w:r>
      <w:r w:rsidR="00A20821" w:rsidRPr="006441E4">
        <w:t>gement of infrastructure assets</w:t>
      </w:r>
    </w:p>
    <w:p w:rsidR="00F40DAE" w:rsidRDefault="00F44DEB">
      <w:pPr>
        <w:pStyle w:val="HeadingH5ClausesubtextL1"/>
      </w:pPr>
      <w:r w:rsidRPr="006441E4">
        <w:t>S</w:t>
      </w:r>
      <w:r w:rsidR="008837D4" w:rsidRPr="006441E4">
        <w:t>hould provide a sound basis for the ongoing assessment of asset-related risks, particularly high impact asset-related risks.</w:t>
      </w:r>
    </w:p>
    <w:p w:rsidR="00F40DAE" w:rsidRDefault="008837D4">
      <w:pPr>
        <w:pStyle w:val="HeadingH4Clausetext"/>
      </w:pPr>
      <w:bookmarkStart w:id="157" w:name="_Ref329179873"/>
      <w:r w:rsidRPr="006441E4">
        <w:t xml:space="preserve">If </w:t>
      </w:r>
      <w:r w:rsidR="003F76AA">
        <w:t xml:space="preserve">the disclosure year described in </w:t>
      </w:r>
      <w:r w:rsidRPr="006441E4">
        <w:t xml:space="preserve">clause </w:t>
      </w:r>
      <w:fldSimple w:instr=" REF  _Ref311133930 \h \w  \* MERGEFORMAT ">
        <w:r w:rsidR="00B06C04">
          <w:t>2.6.1</w:t>
        </w:r>
      </w:fldSimple>
      <w:r w:rsidR="001136F2" w:rsidRPr="006441E4">
        <w:t xml:space="preserve"> </w:t>
      </w:r>
      <w:r w:rsidR="003F76AA">
        <w:t>above</w:t>
      </w:r>
      <w:r w:rsidR="003F76AA" w:rsidRPr="002F2828">
        <w:t xml:space="preserve"> </w:t>
      </w:r>
      <w:r w:rsidR="003F76AA">
        <w:t xml:space="preserve">does not coincide with the first or fourth </w:t>
      </w:r>
      <w:r w:rsidR="003F76AA" w:rsidRPr="00C332A2">
        <w:rPr>
          <w:b/>
        </w:rPr>
        <w:t>disclosure year</w:t>
      </w:r>
      <w:r w:rsidR="003F76AA">
        <w:t xml:space="preserve"> of the </w:t>
      </w:r>
      <w:r w:rsidR="003F76AA" w:rsidRPr="00B03D11">
        <w:rPr>
          <w:b/>
        </w:rPr>
        <w:t>DPP regulatory period</w:t>
      </w:r>
      <w:r w:rsidR="003F76AA">
        <w:t xml:space="preserve"> and if the </w:t>
      </w:r>
      <w:r w:rsidR="00F86836" w:rsidRPr="00F86836">
        <w:rPr>
          <w:b/>
        </w:rPr>
        <w:t>GTB</w:t>
      </w:r>
      <w:r w:rsidR="003F76AA">
        <w:t xml:space="preserve"> has publicly disclosed an AMP under clause </w:t>
      </w:r>
      <w:fldSimple w:instr=" REF  _Ref311133930 \h \w  \* MERGEFORMAT ">
        <w:r w:rsidR="00B06C04">
          <w:t>2.6.1</w:t>
        </w:r>
      </w:fldSimple>
      <w:r w:rsidR="003F76AA">
        <w:t xml:space="preserve"> above in respect of a prior</w:t>
      </w:r>
      <w:r w:rsidRPr="006441E4">
        <w:t xml:space="preserve"> </w:t>
      </w:r>
      <w:r w:rsidRPr="006441E4">
        <w:rPr>
          <w:b/>
        </w:rPr>
        <w:t>disclosure year</w:t>
      </w:r>
      <w:r w:rsidRPr="006441E4">
        <w:t xml:space="preserve">, then </w:t>
      </w:r>
      <w:r w:rsidR="00F32B71" w:rsidRPr="006441E4">
        <w:t xml:space="preserve">the </w:t>
      </w:r>
      <w:r w:rsidR="00F32B71" w:rsidRPr="006441E4">
        <w:rPr>
          <w:b/>
        </w:rPr>
        <w:t>G</w:t>
      </w:r>
      <w:r w:rsidR="006D2EAC" w:rsidRPr="006441E4">
        <w:rPr>
          <w:b/>
        </w:rPr>
        <w:t>T</w:t>
      </w:r>
      <w:r w:rsidR="00F32B71" w:rsidRPr="006441E4">
        <w:rPr>
          <w:b/>
        </w:rPr>
        <w:t>B</w:t>
      </w:r>
      <w:r w:rsidR="00F32B71" w:rsidRPr="006441E4">
        <w:t xml:space="preserve"> </w:t>
      </w:r>
      <w:r w:rsidRPr="006441E4">
        <w:t>may—</w:t>
      </w:r>
      <w:bookmarkEnd w:id="157"/>
    </w:p>
    <w:p w:rsidR="00476A3F" w:rsidRDefault="00F44DEB">
      <w:pPr>
        <w:pStyle w:val="HeadingH5ClausesubtextL1"/>
      </w:pPr>
      <w:r w:rsidRPr="006441E4">
        <w:t>E</w:t>
      </w:r>
      <w:r w:rsidR="008837D4" w:rsidRPr="006441E4">
        <w:t xml:space="preserve">lect to not comply with </w:t>
      </w:r>
      <w:r w:rsidR="001136F2" w:rsidRPr="006441E4">
        <w:t xml:space="preserve">clause </w:t>
      </w:r>
      <w:fldSimple w:instr=" REF  _Ref311133930 \h \w  \* MERGEFORMAT ">
        <w:r w:rsidR="00B06C04">
          <w:t>2.6.1</w:t>
        </w:r>
      </w:fldSimple>
      <w:r w:rsidR="001136F2" w:rsidRPr="006441E4">
        <w:t xml:space="preserve"> </w:t>
      </w:r>
      <w:r w:rsidR="008837D4" w:rsidRPr="006441E4">
        <w:t xml:space="preserve">in the current </w:t>
      </w:r>
      <w:r w:rsidR="008837D4" w:rsidRPr="006441E4">
        <w:rPr>
          <w:b/>
        </w:rPr>
        <w:t>disclosure year</w:t>
      </w:r>
      <w:r w:rsidR="008837D4" w:rsidRPr="006441E4">
        <w:t>; and</w:t>
      </w:r>
      <w:bookmarkStart w:id="158" w:name="_Ref312325364"/>
      <w:bookmarkStart w:id="159" w:name="_Ref310790168"/>
      <w:bookmarkStart w:id="160" w:name="_Ref311133516"/>
    </w:p>
    <w:p w:rsidR="00476A3F" w:rsidRDefault="00F44DEB">
      <w:pPr>
        <w:pStyle w:val="HeadingH5ClausesubtextL1"/>
      </w:pPr>
      <w:bookmarkStart w:id="161" w:name="_Ref327190157"/>
      <w:r w:rsidRPr="006441E4">
        <w:t>C</w:t>
      </w:r>
      <w:r w:rsidR="008837D4" w:rsidRPr="006441E4">
        <w:t xml:space="preserve">omplete and </w:t>
      </w:r>
      <w:r w:rsidR="00F86836" w:rsidRPr="00F86836">
        <w:rPr>
          <w:b/>
        </w:rPr>
        <w:t>publicly disclose</w:t>
      </w:r>
      <w:r w:rsidR="00804F51">
        <w:t xml:space="preserve">, before the start of the </w:t>
      </w:r>
      <w:r w:rsidR="00F86836" w:rsidRPr="00F86836">
        <w:rPr>
          <w:b/>
        </w:rPr>
        <w:t>disclosure year</w:t>
      </w:r>
      <w:r w:rsidR="00804F51">
        <w:t>,</w:t>
      </w:r>
      <w:r w:rsidR="008837D4" w:rsidRPr="006441E4">
        <w:t xml:space="preserve"> an </w:t>
      </w:r>
      <w:r w:rsidR="008837D4" w:rsidRPr="006441E4">
        <w:rPr>
          <w:b/>
        </w:rPr>
        <w:t xml:space="preserve">AMP </w:t>
      </w:r>
      <w:r w:rsidR="0074561C" w:rsidRPr="006441E4">
        <w:rPr>
          <w:b/>
        </w:rPr>
        <w:t>u</w:t>
      </w:r>
      <w:r w:rsidR="008837D4" w:rsidRPr="006441E4">
        <w:rPr>
          <w:b/>
        </w:rPr>
        <w:t>pdate</w:t>
      </w:r>
      <w:r w:rsidR="008837D4" w:rsidRPr="006441E4">
        <w:t xml:space="preserve"> </w:t>
      </w:r>
      <w:r w:rsidR="00A20821" w:rsidRPr="006441E4">
        <w:t>under</w:t>
      </w:r>
      <w:r w:rsidR="008837D4" w:rsidRPr="006441E4">
        <w:t xml:space="preserve"> </w:t>
      </w:r>
      <w:r w:rsidR="001136F2" w:rsidRPr="006441E4">
        <w:t xml:space="preserve">clause </w:t>
      </w:r>
      <w:fldSimple w:instr=" REF  _Ref311134677 \h \w  \* MERGEFORMAT ">
        <w:r w:rsidR="00B06C04">
          <w:t>2.6.4</w:t>
        </w:r>
      </w:fldSimple>
      <w:r w:rsidR="001136F2" w:rsidRPr="006441E4">
        <w:t xml:space="preserve"> </w:t>
      </w:r>
      <w:r w:rsidR="00804F51">
        <w:t>below</w:t>
      </w:r>
      <w:r w:rsidR="008837D4" w:rsidRPr="006441E4">
        <w:t>.</w:t>
      </w:r>
      <w:bookmarkEnd w:id="158"/>
      <w:bookmarkEnd w:id="161"/>
    </w:p>
    <w:p w:rsidR="00F40DAE" w:rsidRDefault="008837D4">
      <w:pPr>
        <w:pStyle w:val="HeadingH4Clausetext"/>
      </w:pPr>
      <w:bookmarkStart w:id="162" w:name="_Ref311134677"/>
      <w:bookmarkEnd w:id="159"/>
      <w:bookmarkEnd w:id="160"/>
      <w:r w:rsidRPr="006441E4">
        <w:t xml:space="preserve">For the purpose of </w:t>
      </w:r>
      <w:proofErr w:type="spellStart"/>
      <w:r w:rsidR="001136F2" w:rsidRPr="006441E4">
        <w:t>subclause</w:t>
      </w:r>
      <w:proofErr w:type="spellEnd"/>
      <w:r w:rsidR="001136F2" w:rsidRPr="006441E4">
        <w:t xml:space="preserve"> </w:t>
      </w:r>
      <w:r w:rsidR="0033518E">
        <w:fldChar w:fldCharType="begin"/>
      </w:r>
      <w:r w:rsidR="00221576">
        <w:instrText xml:space="preserve"> REF  _Ref327190157 \h \w </w:instrText>
      </w:r>
      <w:r w:rsidR="0033518E">
        <w:fldChar w:fldCharType="separate"/>
      </w:r>
      <w:r w:rsidR="00B06C04">
        <w:t>2.6.3(2)</w:t>
      </w:r>
      <w:r w:rsidR="0033518E">
        <w:fldChar w:fldCharType="end"/>
      </w:r>
      <w:r w:rsidR="00F32B71" w:rsidRPr="006441E4">
        <w:t>,</w:t>
      </w:r>
      <w:r w:rsidRPr="006441E4">
        <w:t xml:space="preserve"> the </w:t>
      </w:r>
      <w:r w:rsidRPr="006441E4">
        <w:rPr>
          <w:b/>
        </w:rPr>
        <w:t xml:space="preserve">AMP </w:t>
      </w:r>
      <w:r w:rsidR="0074561C" w:rsidRPr="006441E4">
        <w:rPr>
          <w:b/>
        </w:rPr>
        <w:t>u</w:t>
      </w:r>
      <w:r w:rsidRPr="006441E4">
        <w:rPr>
          <w:b/>
        </w:rPr>
        <w:t>pdate</w:t>
      </w:r>
      <w:r w:rsidRPr="006441E4">
        <w:t xml:space="preserve"> must—</w:t>
      </w:r>
      <w:bookmarkEnd w:id="162"/>
    </w:p>
    <w:p w:rsidR="00F40DAE" w:rsidRDefault="00F44DEB">
      <w:pPr>
        <w:pStyle w:val="HeadingH5ClausesubtextL1"/>
      </w:pPr>
      <w:r w:rsidRPr="006441E4">
        <w:t>R</w:t>
      </w:r>
      <w:r w:rsidR="008837D4" w:rsidRPr="006441E4">
        <w:t xml:space="preserve">elate to the </w:t>
      </w:r>
      <w:r w:rsidR="00E46BC1" w:rsidRPr="006441E4">
        <w:rPr>
          <w:b/>
        </w:rPr>
        <w:t xml:space="preserve">gas </w:t>
      </w:r>
      <w:r w:rsidR="008D6E8E" w:rsidRPr="006441E4">
        <w:rPr>
          <w:b/>
        </w:rPr>
        <w:t>transmission</w:t>
      </w:r>
      <w:r w:rsidR="00E46BC1" w:rsidRPr="006441E4">
        <w:rPr>
          <w:b/>
        </w:rPr>
        <w:t xml:space="preserve"> service</w:t>
      </w:r>
      <w:r w:rsidR="008837D4" w:rsidRPr="006441E4">
        <w:rPr>
          <w:b/>
        </w:rPr>
        <w:t>s</w:t>
      </w:r>
      <w:r w:rsidR="008837D4" w:rsidRPr="006441E4">
        <w:t xml:space="preserve"> supplied by the </w:t>
      </w:r>
      <w:r w:rsidR="00F32B71" w:rsidRPr="006441E4">
        <w:rPr>
          <w:b/>
        </w:rPr>
        <w:t>G</w:t>
      </w:r>
      <w:r w:rsidR="0074561C" w:rsidRPr="006441E4">
        <w:rPr>
          <w:b/>
        </w:rPr>
        <w:t>TB</w:t>
      </w:r>
      <w:r w:rsidR="00804F51">
        <w:rPr>
          <w:b/>
        </w:rPr>
        <w:t>;</w:t>
      </w:r>
    </w:p>
    <w:p w:rsidR="00F40DAE" w:rsidRDefault="00F44DEB">
      <w:pPr>
        <w:pStyle w:val="HeadingH5ClausesubtextL1"/>
      </w:pPr>
      <w:r w:rsidRPr="006441E4">
        <w:t>I</w:t>
      </w:r>
      <w:r w:rsidR="008837D4" w:rsidRPr="006441E4">
        <w:t xml:space="preserve">dentify any </w:t>
      </w:r>
      <w:r w:rsidR="00D47D33">
        <w:t>material</w:t>
      </w:r>
      <w:r w:rsidR="00D47D33" w:rsidRPr="006441E4">
        <w:t xml:space="preserve"> </w:t>
      </w:r>
      <w:r w:rsidR="008837D4" w:rsidRPr="006441E4">
        <w:t xml:space="preserve">changes to the network development plans disclosed in the last </w:t>
      </w:r>
      <w:r w:rsidR="008837D4" w:rsidRPr="006441E4">
        <w:rPr>
          <w:b/>
        </w:rPr>
        <w:t>AMP</w:t>
      </w:r>
      <w:r w:rsidR="008837D4" w:rsidRPr="006441E4">
        <w:t xml:space="preserve"> </w:t>
      </w:r>
      <w:r w:rsidR="00D47D33">
        <w:t>under</w:t>
      </w:r>
      <w:r w:rsidR="008837D4" w:rsidRPr="006441E4">
        <w:t xml:space="preserve"> clause</w:t>
      </w:r>
      <w:r w:rsidR="00A20821" w:rsidRPr="006441E4">
        <w:t xml:space="preserve"> </w:t>
      </w:r>
      <w:r w:rsidR="0033518E">
        <w:fldChar w:fldCharType="begin"/>
      </w:r>
      <w:r w:rsidR="00221576">
        <w:instrText xml:space="preserve"> REF _Ref329177966 \r \h </w:instrText>
      </w:r>
      <w:r w:rsidR="0033518E">
        <w:fldChar w:fldCharType="separate"/>
      </w:r>
      <w:r w:rsidR="00B06C04">
        <w:t>16</w:t>
      </w:r>
      <w:r w:rsidR="0033518E">
        <w:fldChar w:fldCharType="end"/>
      </w:r>
      <w:r w:rsidR="00A20821" w:rsidRPr="006441E4">
        <w:t xml:space="preserve"> </w:t>
      </w:r>
      <w:r w:rsidR="003329CA" w:rsidRPr="006441E4">
        <w:t xml:space="preserve">of </w:t>
      </w:r>
      <w:r w:rsidR="00804F51" w:rsidRPr="006441E4">
        <w:t>Appendix</w:t>
      </w:r>
      <w:r w:rsidR="00804F51">
        <w:t> </w:t>
      </w:r>
      <w:r w:rsidR="003329CA" w:rsidRPr="006441E4">
        <w:t>A</w:t>
      </w:r>
      <w:r w:rsidR="00D47D33">
        <w:t xml:space="preserve"> or in the last </w:t>
      </w:r>
      <w:r w:rsidR="00D47D33" w:rsidRPr="00D47D33">
        <w:rPr>
          <w:b/>
        </w:rPr>
        <w:t>AMP update</w:t>
      </w:r>
      <w:r w:rsidR="00D47D33">
        <w:t xml:space="preserve"> disclosed under this </w:t>
      </w:r>
      <w:r w:rsidR="00B61BA6">
        <w:t>section;</w:t>
      </w:r>
    </w:p>
    <w:p w:rsidR="00F40DAE" w:rsidRDefault="00F44DEB">
      <w:pPr>
        <w:pStyle w:val="HeadingH5ClausesubtextL1"/>
      </w:pPr>
      <w:r w:rsidRPr="006441E4">
        <w:t>I</w:t>
      </w:r>
      <w:r w:rsidR="008837D4" w:rsidRPr="006441E4">
        <w:t xml:space="preserve">dentify any </w:t>
      </w:r>
      <w:r w:rsidR="00D47D33">
        <w:t>material</w:t>
      </w:r>
      <w:r w:rsidR="00D47D33" w:rsidRPr="006441E4">
        <w:t xml:space="preserve"> </w:t>
      </w:r>
      <w:r w:rsidR="008837D4" w:rsidRPr="006441E4">
        <w:t>changes to the lifecycle</w:t>
      </w:r>
      <w:r w:rsidR="00AF22FA" w:rsidRPr="00AF22FA">
        <w:t xml:space="preserve"> </w:t>
      </w:r>
      <w:r w:rsidR="00AF22FA">
        <w:t>asset management</w:t>
      </w:r>
      <w:r w:rsidR="008837D4" w:rsidRPr="006441E4">
        <w:t xml:space="preserve"> (maintenance and renewal) plans disclosed in the last </w:t>
      </w:r>
      <w:r w:rsidR="008837D4" w:rsidRPr="006441E4">
        <w:rPr>
          <w:b/>
        </w:rPr>
        <w:t>AMP</w:t>
      </w:r>
      <w:r w:rsidR="008837D4" w:rsidRPr="006441E4">
        <w:t xml:space="preserve"> </w:t>
      </w:r>
      <w:r w:rsidR="00D47D33">
        <w:t>under</w:t>
      </w:r>
      <w:r w:rsidR="008837D4" w:rsidRPr="006441E4">
        <w:t xml:space="preserve"> clause </w:t>
      </w:r>
      <w:r w:rsidR="0033518E">
        <w:fldChar w:fldCharType="begin"/>
      </w:r>
      <w:r w:rsidR="00D6010E">
        <w:instrText xml:space="preserve"> REF _Ref329178574 \r \h </w:instrText>
      </w:r>
      <w:r w:rsidR="0033518E">
        <w:fldChar w:fldCharType="separate"/>
      </w:r>
      <w:r w:rsidR="00B06C04">
        <w:t>17</w:t>
      </w:r>
      <w:r w:rsidR="0033518E">
        <w:fldChar w:fldCharType="end"/>
      </w:r>
      <w:r w:rsidR="003329CA" w:rsidRPr="006441E4">
        <w:t xml:space="preserve"> of Appendix A</w:t>
      </w:r>
      <w:r w:rsidR="00D47D33">
        <w:t xml:space="preserve"> or in the last </w:t>
      </w:r>
      <w:r w:rsidR="00D47D33" w:rsidRPr="00D47D33">
        <w:rPr>
          <w:b/>
        </w:rPr>
        <w:t>AMP update</w:t>
      </w:r>
      <w:r w:rsidR="00D47D33">
        <w:t xml:space="preserve"> disclosed under this </w:t>
      </w:r>
      <w:r w:rsidR="00B61BA6">
        <w:t>section;</w:t>
      </w:r>
    </w:p>
    <w:p w:rsidR="00F40DAE" w:rsidRDefault="00D47D33">
      <w:pPr>
        <w:pStyle w:val="HeadingH5ClausesubtextL1"/>
      </w:pPr>
      <w:r>
        <w:t>Contain the complete</w:t>
      </w:r>
      <w:r w:rsidR="00804F51">
        <w:t>d</w:t>
      </w:r>
      <w:r>
        <w:t xml:space="preserve"> tables </w:t>
      </w:r>
      <w:r w:rsidR="00804F51">
        <w:t>required</w:t>
      </w:r>
      <w:r>
        <w:t xml:space="preserve"> in</w:t>
      </w:r>
      <w:r w:rsidR="008837D4" w:rsidRPr="006441E4">
        <w:t xml:space="preserve"> </w:t>
      </w:r>
      <w:proofErr w:type="spellStart"/>
      <w:r w:rsidR="003329CA" w:rsidRPr="006441E4">
        <w:t>sub</w:t>
      </w:r>
      <w:r w:rsidR="008837D4" w:rsidRPr="006441E4">
        <w:t>clause</w:t>
      </w:r>
      <w:proofErr w:type="spellEnd"/>
      <w:r w:rsidR="00F32B71" w:rsidRPr="006441E4">
        <w:t xml:space="preserve"> </w:t>
      </w:r>
      <w:r w:rsidR="0033518E">
        <w:fldChar w:fldCharType="begin"/>
      </w:r>
      <w:r w:rsidR="00D6010E">
        <w:instrText xml:space="preserve"> REF  _Ref328670738 \h \w </w:instrText>
      </w:r>
      <w:r w:rsidR="0033518E">
        <w:fldChar w:fldCharType="separate"/>
      </w:r>
      <w:r w:rsidR="00B06C04">
        <w:t>2.6.5(2)</w:t>
      </w:r>
      <w:r w:rsidR="0033518E">
        <w:fldChar w:fldCharType="end"/>
      </w:r>
      <w:r w:rsidR="00B61BA6">
        <w:t>;</w:t>
      </w:r>
    </w:p>
    <w:p w:rsidR="00F40DAE" w:rsidRDefault="00F44DEB">
      <w:pPr>
        <w:pStyle w:val="HeadingH5ClausesubtextL1"/>
      </w:pPr>
      <w:r w:rsidRPr="006441E4">
        <w:t>P</w:t>
      </w:r>
      <w:r w:rsidR="008837D4" w:rsidRPr="006441E4">
        <w:t xml:space="preserve">rovide the reasons for any material changes </w:t>
      </w:r>
      <w:r w:rsidR="00732FCD">
        <w:t>to</w:t>
      </w:r>
      <w:r w:rsidR="00732FCD" w:rsidRPr="006441E4" w:rsidDel="00732FCD">
        <w:t xml:space="preserve"> </w:t>
      </w:r>
      <w:r w:rsidR="008837D4" w:rsidRPr="006441E4">
        <w:t>the previous</w:t>
      </w:r>
      <w:r w:rsidR="00732FCD">
        <w:t xml:space="preserve"> disclosure</w:t>
      </w:r>
      <w:r w:rsidR="00AF22FA">
        <w:t>s</w:t>
      </w:r>
      <w:r w:rsidR="00732FCD">
        <w:t xml:space="preserve"> </w:t>
      </w:r>
      <w:r w:rsidR="00AF22FA">
        <w:t>in</w:t>
      </w:r>
      <w:r w:rsidR="008837D4" w:rsidRPr="006441E4">
        <w:t xml:space="preserve"> the </w:t>
      </w:r>
      <w:r w:rsidR="006D2EAC" w:rsidRPr="006441E4">
        <w:t xml:space="preserve">Network Expenditure AMP Report </w:t>
      </w:r>
      <w:r w:rsidR="008837D4" w:rsidRPr="006441E4">
        <w:t xml:space="preserve">set out in </w:t>
      </w:r>
      <w:r w:rsidR="006D2EAC" w:rsidRPr="006441E4">
        <w:t>Schedule 14</w:t>
      </w:r>
    </w:p>
    <w:p w:rsidR="00F40DAE" w:rsidRDefault="00D47D33">
      <w:pPr>
        <w:pStyle w:val="HeadingH5ClausesubtextL1"/>
      </w:pPr>
      <w:bookmarkStart w:id="163" w:name="_Ref310881972"/>
      <w:bookmarkStart w:id="164" w:name="_Ref308726728"/>
      <w:bookmarkStart w:id="165" w:name="_Ref308188562"/>
      <w:r>
        <w:t xml:space="preserve">Identify any changes to the asset management practices of the </w:t>
      </w:r>
      <w:r w:rsidRPr="000A2E6C">
        <w:rPr>
          <w:b/>
        </w:rPr>
        <w:t>GTB</w:t>
      </w:r>
      <w:r>
        <w:t xml:space="preserve"> </w:t>
      </w:r>
      <w:r w:rsidR="00AF22FA">
        <w:t>that would affect</w:t>
      </w:r>
      <w:r>
        <w:t xml:space="preserve"> a schedule 1</w:t>
      </w:r>
      <w:r w:rsidR="00AF22FA">
        <w:t>3</w:t>
      </w:r>
      <w:r>
        <w:t xml:space="preserve"> </w:t>
      </w:r>
      <w:r w:rsidR="00AF22FA">
        <w:t xml:space="preserve">Report on Asset Management Maturity </w:t>
      </w:r>
      <w:r>
        <w:t>disclosure.</w:t>
      </w:r>
    </w:p>
    <w:p w:rsidR="00F40DAE" w:rsidRDefault="00D47D33">
      <w:pPr>
        <w:pStyle w:val="HeadingH4Clausetext"/>
        <w:tabs>
          <w:tab w:val="clear" w:pos="4679"/>
          <w:tab w:val="num" w:pos="709"/>
        </w:tabs>
      </w:pPr>
      <w:bookmarkStart w:id="166" w:name="_Ref329180300"/>
      <w:r>
        <w:t>E</w:t>
      </w:r>
      <w:r w:rsidR="008837D4" w:rsidRPr="006441E4">
        <w:t xml:space="preserve">very </w:t>
      </w:r>
      <w:r w:rsidR="00F32B71" w:rsidRPr="006441E4">
        <w:rPr>
          <w:b/>
        </w:rPr>
        <w:t>G</w:t>
      </w:r>
      <w:r w:rsidR="00143168" w:rsidRPr="006441E4">
        <w:rPr>
          <w:b/>
        </w:rPr>
        <w:t>T</w:t>
      </w:r>
      <w:r w:rsidR="00F32B71" w:rsidRPr="006441E4">
        <w:rPr>
          <w:b/>
        </w:rPr>
        <w:t>B</w:t>
      </w:r>
      <w:r w:rsidR="008837D4" w:rsidRPr="006441E4">
        <w:t xml:space="preserve"> must—</w:t>
      </w:r>
      <w:bookmarkStart w:id="167" w:name="_Ref308091605"/>
      <w:bookmarkStart w:id="168" w:name="_Ref308089873"/>
      <w:bookmarkEnd w:id="163"/>
      <w:bookmarkEnd w:id="164"/>
      <w:bookmarkEnd w:id="166"/>
    </w:p>
    <w:p w:rsidR="00F40DAE" w:rsidRDefault="00D47D33">
      <w:pPr>
        <w:pStyle w:val="HeadingH5ClausesubtextL1"/>
      </w:pPr>
      <w:bookmarkStart w:id="169" w:name="_Ref327190939"/>
      <w:r w:rsidRPr="006441E4">
        <w:t xml:space="preserve">Before the start of each </w:t>
      </w:r>
      <w:r w:rsidRPr="006441E4">
        <w:rPr>
          <w:b/>
        </w:rPr>
        <w:t>disclosure year</w:t>
      </w:r>
      <w:r>
        <w:t>, c</w:t>
      </w:r>
      <w:r w:rsidR="008837D4" w:rsidRPr="006441E4">
        <w:t xml:space="preserve">omplete each of the following reports by inserting all information relating to the </w:t>
      </w:r>
      <w:r w:rsidR="00227B61" w:rsidRPr="006441E4">
        <w:rPr>
          <w:b/>
        </w:rPr>
        <w:t>gas transmission services</w:t>
      </w:r>
      <w:r w:rsidR="008837D4" w:rsidRPr="006441E4">
        <w:t xml:space="preserve"> supplied by the </w:t>
      </w:r>
      <w:r w:rsidR="00F32B71" w:rsidRPr="006441E4">
        <w:rPr>
          <w:b/>
        </w:rPr>
        <w:t>G</w:t>
      </w:r>
      <w:r w:rsidR="00143168" w:rsidRPr="006441E4">
        <w:rPr>
          <w:b/>
        </w:rPr>
        <w:t>T</w:t>
      </w:r>
      <w:r w:rsidR="00F32B71" w:rsidRPr="006441E4">
        <w:rPr>
          <w:b/>
        </w:rPr>
        <w:t xml:space="preserve">B </w:t>
      </w:r>
      <w:r w:rsidR="008837D4" w:rsidRPr="006441E4">
        <w:t xml:space="preserve">for the </w:t>
      </w:r>
      <w:r w:rsidR="008837D4" w:rsidRPr="006441E4">
        <w:rPr>
          <w:b/>
        </w:rPr>
        <w:t>disclosure year</w:t>
      </w:r>
      <w:r w:rsidR="00280E4C">
        <w:rPr>
          <w:b/>
        </w:rPr>
        <w:t>s</w:t>
      </w:r>
      <w:r w:rsidR="008837D4" w:rsidRPr="006441E4">
        <w:t xml:space="preserve"> provided for in</w:t>
      </w:r>
      <w:r w:rsidR="00A20821" w:rsidRPr="006441E4">
        <w:t xml:space="preserve"> the following</w:t>
      </w:r>
      <w:r w:rsidR="008837D4" w:rsidRPr="006441E4">
        <w:t xml:space="preserve"> reports—</w:t>
      </w:r>
      <w:bookmarkStart w:id="170" w:name="_Ref313450780"/>
      <w:bookmarkEnd w:id="167"/>
      <w:bookmarkEnd w:id="169"/>
    </w:p>
    <w:p w:rsidR="00F40DAE" w:rsidRDefault="008837D4">
      <w:pPr>
        <w:pStyle w:val="HeadingH6ClausesubtextL2"/>
      </w:pPr>
      <w:r w:rsidRPr="006441E4">
        <w:t xml:space="preserve">the </w:t>
      </w:r>
      <w:r w:rsidR="007B4637" w:rsidRPr="007B4637">
        <w:t xml:space="preserve">Report </w:t>
      </w:r>
      <w:r w:rsidR="007B4637">
        <w:t>o</w:t>
      </w:r>
      <w:r w:rsidR="007B4637" w:rsidRPr="007B4637">
        <w:t>n Forecast Capital Expenditure</w:t>
      </w:r>
      <w:r w:rsidR="007B4637">
        <w:t xml:space="preserve"> </w:t>
      </w:r>
      <w:r w:rsidR="00143168" w:rsidRPr="006441E4">
        <w:t xml:space="preserve">in Schedule </w:t>
      </w:r>
      <w:bookmarkStart w:id="171" w:name="_Ref313450773"/>
      <w:bookmarkEnd w:id="170"/>
      <w:r w:rsidR="007B4637" w:rsidRPr="006441E4">
        <w:t>1</w:t>
      </w:r>
      <w:r w:rsidR="007B4637">
        <w:t>1a</w:t>
      </w:r>
    </w:p>
    <w:p w:rsidR="00F40DAE" w:rsidRDefault="008837D4">
      <w:pPr>
        <w:pStyle w:val="HeadingH6ClausesubtextL2"/>
      </w:pPr>
      <w:r w:rsidRPr="006441E4">
        <w:t xml:space="preserve">the </w:t>
      </w:r>
      <w:r w:rsidR="007B4637" w:rsidRPr="007B4637">
        <w:t xml:space="preserve">Report </w:t>
      </w:r>
      <w:r w:rsidR="007B4637">
        <w:t>o</w:t>
      </w:r>
      <w:r w:rsidR="007B4637" w:rsidRPr="007B4637">
        <w:t>n Forecast Operational Expenditure</w:t>
      </w:r>
      <w:r w:rsidR="007B4637">
        <w:t xml:space="preserve"> </w:t>
      </w:r>
      <w:r w:rsidRPr="006441E4">
        <w:t xml:space="preserve">in </w:t>
      </w:r>
      <w:r w:rsidR="00143168" w:rsidRPr="006441E4">
        <w:t xml:space="preserve">Schedule </w:t>
      </w:r>
      <w:bookmarkEnd w:id="171"/>
      <w:r w:rsidR="007B4637" w:rsidRPr="006441E4">
        <w:t>1</w:t>
      </w:r>
      <w:r w:rsidR="007B4637">
        <w:t>1b</w:t>
      </w:r>
    </w:p>
    <w:p w:rsidR="00F40DAE" w:rsidRDefault="00187EE6">
      <w:pPr>
        <w:pStyle w:val="HeadingH6ClausesubtextL2"/>
      </w:pPr>
      <w:r>
        <w:t>the Report on Asset Condition in Schedule 12a</w:t>
      </w:r>
      <w:r w:rsidRPr="006441E4">
        <w:t xml:space="preserve"> </w:t>
      </w:r>
    </w:p>
    <w:p w:rsidR="00F40DAE" w:rsidRDefault="008837D4">
      <w:pPr>
        <w:pStyle w:val="HeadingH6ClausesubtextL2"/>
      </w:pPr>
      <w:r w:rsidRPr="006441E4">
        <w:t xml:space="preserve">the </w:t>
      </w:r>
      <w:r w:rsidR="007B4637" w:rsidRPr="007B4637">
        <w:t xml:space="preserve">Report </w:t>
      </w:r>
      <w:r w:rsidR="007B4637">
        <w:t>o</w:t>
      </w:r>
      <w:r w:rsidR="007B4637" w:rsidRPr="007B4637">
        <w:t>n Forecast Demand</w:t>
      </w:r>
      <w:r w:rsidR="007B4637" w:rsidRPr="006441E4">
        <w:t xml:space="preserve"> </w:t>
      </w:r>
      <w:r w:rsidRPr="006441E4">
        <w:t xml:space="preserve">in </w:t>
      </w:r>
      <w:bookmarkEnd w:id="168"/>
      <w:r w:rsidR="00143168" w:rsidRPr="006441E4">
        <w:t xml:space="preserve">Schedule </w:t>
      </w:r>
      <w:r w:rsidR="007B4637" w:rsidRPr="006441E4">
        <w:t>1</w:t>
      </w:r>
      <w:r w:rsidR="007B4637">
        <w:t>2b</w:t>
      </w:r>
    </w:p>
    <w:p w:rsidR="00F40DAE" w:rsidRDefault="00D47D33">
      <w:pPr>
        <w:pStyle w:val="HeadingH5ClausesubtextL1"/>
      </w:pPr>
      <w:bookmarkStart w:id="172" w:name="_Ref328670738"/>
      <w:bookmarkStart w:id="173" w:name="_Ref329275192"/>
      <w:r>
        <w:t xml:space="preserve">Include, in the </w:t>
      </w:r>
      <w:r w:rsidRPr="00083937">
        <w:rPr>
          <w:b/>
        </w:rPr>
        <w:t>AMP</w:t>
      </w:r>
      <w:r>
        <w:t xml:space="preserve"> or </w:t>
      </w:r>
      <w:r w:rsidRPr="00083937">
        <w:rPr>
          <w:b/>
        </w:rPr>
        <w:t>AMP update</w:t>
      </w:r>
      <w:r>
        <w:t xml:space="preserve"> as applicable, the information contained in each of the </w:t>
      </w:r>
      <w:r w:rsidR="007B4637">
        <w:t>report</w:t>
      </w:r>
      <w:r>
        <w:t xml:space="preserve">s described in </w:t>
      </w:r>
      <w:proofErr w:type="spellStart"/>
      <w:r>
        <w:t>subclause</w:t>
      </w:r>
      <w:proofErr w:type="spellEnd"/>
      <w:r>
        <w:t xml:space="preserve"> </w:t>
      </w:r>
      <w:r w:rsidR="0033518E">
        <w:fldChar w:fldCharType="begin"/>
      </w:r>
      <w:r w:rsidR="00D6010E">
        <w:instrText xml:space="preserve"> REF  _Ref327190939 \h \w </w:instrText>
      </w:r>
      <w:r w:rsidR="0033518E">
        <w:fldChar w:fldCharType="separate"/>
      </w:r>
      <w:r w:rsidR="00B06C04">
        <w:t>2.6.5(1)</w:t>
      </w:r>
      <w:r w:rsidR="0033518E">
        <w:fldChar w:fldCharType="end"/>
      </w:r>
      <w:bookmarkEnd w:id="172"/>
      <w:r w:rsidR="007B4637">
        <w:t>;</w:t>
      </w:r>
      <w:bookmarkEnd w:id="173"/>
    </w:p>
    <w:p w:rsidR="00F40DAE" w:rsidRDefault="00083937">
      <w:pPr>
        <w:pStyle w:val="HeadingH5ClausesubtextL1"/>
      </w:pPr>
      <w:r w:rsidRPr="00D47D33">
        <w:t xml:space="preserve">Within 5 </w:t>
      </w:r>
      <w:r>
        <w:t>working days</w:t>
      </w:r>
      <w:r w:rsidRPr="00D47D33">
        <w:t xml:space="preserve"> of </w:t>
      </w:r>
      <w:r w:rsidRPr="00D47D33">
        <w:rPr>
          <w:b/>
        </w:rPr>
        <w:t>publicly disclos</w:t>
      </w:r>
      <w:r>
        <w:rPr>
          <w:b/>
        </w:rPr>
        <w:t>ing</w:t>
      </w:r>
      <w:r w:rsidRPr="006441E4">
        <w:t xml:space="preserve"> th</w:t>
      </w:r>
      <w:r>
        <w:t xml:space="preserve">e </w:t>
      </w:r>
      <w:r w:rsidRPr="00083937">
        <w:rPr>
          <w:b/>
        </w:rPr>
        <w:t>AMP</w:t>
      </w:r>
      <w:r>
        <w:t xml:space="preserve"> or </w:t>
      </w:r>
      <w:r w:rsidRPr="00083937">
        <w:rPr>
          <w:b/>
        </w:rPr>
        <w:t>AMP update</w:t>
      </w:r>
      <w:r>
        <w:t xml:space="preserve"> as applicable, disclose these</w:t>
      </w:r>
      <w:r w:rsidRPr="006441E4">
        <w:t xml:space="preserve"> reports</w:t>
      </w:r>
      <w:r>
        <w:t xml:space="preserve"> </w:t>
      </w:r>
      <w:r w:rsidR="007B4637">
        <w:t xml:space="preserve">described in </w:t>
      </w:r>
      <w:proofErr w:type="spellStart"/>
      <w:r w:rsidR="007B4637">
        <w:t>subclause</w:t>
      </w:r>
      <w:proofErr w:type="spellEnd"/>
      <w:r w:rsidR="007B4637">
        <w:t xml:space="preserve"> </w:t>
      </w:r>
      <w:r w:rsidR="0033518E">
        <w:fldChar w:fldCharType="begin"/>
      </w:r>
      <w:r w:rsidR="007B4637">
        <w:instrText xml:space="preserve"> REF  _Ref327190939 \h \w </w:instrText>
      </w:r>
      <w:r w:rsidR="0033518E">
        <w:fldChar w:fldCharType="separate"/>
      </w:r>
      <w:r w:rsidR="00B06C04">
        <w:t>2.6.5(1)</w:t>
      </w:r>
      <w:r w:rsidR="0033518E">
        <w:fldChar w:fldCharType="end"/>
      </w:r>
      <w:r w:rsidR="007B4637">
        <w:t xml:space="preserve"> </w:t>
      </w:r>
      <w:r>
        <w:t xml:space="preserve">to the </w:t>
      </w:r>
      <w:r w:rsidRPr="00083937">
        <w:rPr>
          <w:b/>
        </w:rPr>
        <w:t>Commission</w:t>
      </w:r>
    </w:p>
    <w:p w:rsidR="00F40DAE" w:rsidRDefault="00D47D33">
      <w:pPr>
        <w:pStyle w:val="HeadingH5ClausesubtextL1"/>
      </w:pPr>
      <w:bookmarkStart w:id="174" w:name="_Ref329274710"/>
      <w:r w:rsidRPr="00D47D33">
        <w:t xml:space="preserve">Within </w:t>
      </w:r>
      <w:r w:rsidR="007D09C8">
        <w:t>6</w:t>
      </w:r>
      <w:r w:rsidRPr="00D47D33">
        <w:t xml:space="preserve"> months of the start of the </w:t>
      </w:r>
      <w:r w:rsidR="00083937" w:rsidRPr="00083937">
        <w:rPr>
          <w:b/>
        </w:rPr>
        <w:t>disclosure</w:t>
      </w:r>
      <w:r w:rsidRPr="00083937">
        <w:rPr>
          <w:b/>
        </w:rPr>
        <w:t xml:space="preserve"> year</w:t>
      </w:r>
      <w:r w:rsidRPr="00D47D33">
        <w:t xml:space="preserve">, </w:t>
      </w:r>
      <w:r w:rsidR="00B74838" w:rsidRPr="00D47D33">
        <w:rPr>
          <w:b/>
        </w:rPr>
        <w:t>p</w:t>
      </w:r>
      <w:r w:rsidR="008837D4" w:rsidRPr="00D47D33">
        <w:rPr>
          <w:b/>
        </w:rPr>
        <w:t>ublicly disclose</w:t>
      </w:r>
      <w:r w:rsidR="008837D4" w:rsidRPr="006441E4">
        <w:t xml:space="preserve"> </w:t>
      </w:r>
      <w:r w:rsidRPr="006441E4">
        <w:t>th</w:t>
      </w:r>
      <w:r>
        <w:t>e</w:t>
      </w:r>
      <w:r w:rsidRPr="006441E4">
        <w:t xml:space="preserve">se </w:t>
      </w:r>
      <w:r w:rsidR="008837D4" w:rsidRPr="006441E4">
        <w:t>reports.</w:t>
      </w:r>
      <w:bookmarkEnd w:id="174"/>
    </w:p>
    <w:p w:rsidR="00F40DAE" w:rsidRDefault="006A0050">
      <w:pPr>
        <w:pStyle w:val="HeadingH3SectionHeading"/>
      </w:pPr>
      <w:bookmarkStart w:id="175" w:name="_Toc328897379"/>
      <w:bookmarkStart w:id="176" w:name="_Toc328897469"/>
      <w:bookmarkStart w:id="177" w:name="_Toc328897534"/>
      <w:bookmarkStart w:id="178" w:name="_Toc329060943"/>
      <w:bookmarkStart w:id="179" w:name="_Toc328897380"/>
      <w:bookmarkStart w:id="180" w:name="_Toc328897470"/>
      <w:bookmarkStart w:id="181" w:name="_Toc328897535"/>
      <w:bookmarkStart w:id="182" w:name="_Toc329060944"/>
      <w:bookmarkStart w:id="183" w:name="_Toc328897381"/>
      <w:bookmarkStart w:id="184" w:name="_Toc328897471"/>
      <w:bookmarkStart w:id="185" w:name="_Toc328897536"/>
      <w:bookmarkStart w:id="186" w:name="_Toc329060945"/>
      <w:bookmarkStart w:id="187" w:name="_Toc328897382"/>
      <w:bookmarkStart w:id="188" w:name="_Toc328897472"/>
      <w:bookmarkStart w:id="189" w:name="_Toc328897537"/>
      <w:bookmarkStart w:id="190" w:name="_Toc329060946"/>
      <w:bookmarkStart w:id="191" w:name="_Toc328897383"/>
      <w:bookmarkStart w:id="192" w:name="_Toc328897473"/>
      <w:bookmarkStart w:id="193" w:name="_Toc328897538"/>
      <w:bookmarkStart w:id="194" w:name="_Toc329060947"/>
      <w:bookmarkStart w:id="195" w:name="_Toc328897384"/>
      <w:bookmarkStart w:id="196" w:name="_Toc328897474"/>
      <w:bookmarkStart w:id="197" w:name="_Toc328897539"/>
      <w:bookmarkStart w:id="198" w:name="_Toc329060948"/>
      <w:bookmarkStart w:id="199" w:name="_Toc328819649"/>
      <w:bookmarkStart w:id="200" w:name="_Ref328819373"/>
      <w:bookmarkStart w:id="201" w:name="_Ref329061469"/>
      <w:bookmarkStart w:id="202" w:name="_Ref329061615"/>
      <w:bookmarkStart w:id="203" w:name="_Ref329266253"/>
      <w:bookmarkStart w:id="204" w:name="_Toc32929636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65"/>
      <w:r>
        <w:t>EXPLANATORY NOTES TO INFORMATION RELATING TO THE DISCLOSURE YEAR</w:t>
      </w:r>
      <w:bookmarkEnd w:id="199"/>
      <w:bookmarkEnd w:id="200"/>
      <w:bookmarkEnd w:id="201"/>
      <w:bookmarkEnd w:id="202"/>
      <w:bookmarkEnd w:id="203"/>
      <w:bookmarkEnd w:id="204"/>
    </w:p>
    <w:p w:rsidR="00F40DAE" w:rsidRDefault="00325BFF">
      <w:pPr>
        <w:pStyle w:val="HeadingH4Clausetext"/>
        <w:tabs>
          <w:tab w:val="clear" w:pos="4679"/>
          <w:tab w:val="num" w:pos="0"/>
        </w:tabs>
      </w:pPr>
      <w:bookmarkStart w:id="205" w:name="_Ref328811155"/>
      <w:r>
        <w:t>Within 6</w:t>
      </w:r>
      <w:r w:rsidR="006A0050">
        <w:t xml:space="preserve"> months of the end of each </w:t>
      </w:r>
      <w:r w:rsidR="006A0050">
        <w:rPr>
          <w:b/>
        </w:rPr>
        <w:t>disclosure year</w:t>
      </w:r>
      <w:r w:rsidR="006A0050">
        <w:t xml:space="preserve">, every </w:t>
      </w:r>
      <w:r w:rsidR="00DB4E72">
        <w:rPr>
          <w:b/>
        </w:rPr>
        <w:t>GT</w:t>
      </w:r>
      <w:r w:rsidR="006A0050">
        <w:rPr>
          <w:b/>
        </w:rPr>
        <w:t>B</w:t>
      </w:r>
      <w:r w:rsidR="006A0050">
        <w:t xml:space="preserve"> must</w:t>
      </w:r>
      <w:r w:rsidR="00DB4E72">
        <w:t xml:space="preserve"> complete and</w:t>
      </w:r>
      <w:r w:rsidR="006A0050">
        <w:t xml:space="preserve"> </w:t>
      </w:r>
      <w:r w:rsidR="006A0050">
        <w:rPr>
          <w:b/>
        </w:rPr>
        <w:t>publicly disclose</w:t>
      </w:r>
      <w:r w:rsidR="006A0050">
        <w:t xml:space="preserve"> the Schedule of Mandatory Explanatory Notes (Schedule 14) </w:t>
      </w:r>
      <w:r w:rsidR="00DB4E72">
        <w:t xml:space="preserve">by inserting all </w:t>
      </w:r>
      <w:r w:rsidR="006A0050">
        <w:t xml:space="preserve">information </w:t>
      </w:r>
      <w:r w:rsidR="00DB4E72">
        <w:t xml:space="preserve">relating to information </w:t>
      </w:r>
      <w:r w:rsidR="006A0050">
        <w:t xml:space="preserve">disclosed in accordance with clauses </w:t>
      </w:r>
      <w:r w:rsidR="0033518E">
        <w:fldChar w:fldCharType="begin"/>
      </w:r>
      <w:r w:rsidR="00D6010E">
        <w:instrText xml:space="preserve"> REF  _Ref279613342 \h \w </w:instrText>
      </w:r>
      <w:r w:rsidR="0033518E">
        <w:fldChar w:fldCharType="separate"/>
      </w:r>
      <w:r w:rsidR="00B06C04">
        <w:t>2.3.1</w:t>
      </w:r>
      <w:r w:rsidR="0033518E">
        <w:fldChar w:fldCharType="end"/>
      </w:r>
      <w:r w:rsidR="006A0050">
        <w:t xml:space="preserve">, </w:t>
      </w:r>
      <w:r w:rsidR="0033518E">
        <w:fldChar w:fldCharType="begin"/>
      </w:r>
      <w:r w:rsidR="00D6010E">
        <w:instrText xml:space="preserve"> REF  _Ref329107641 \h \r \w </w:instrText>
      </w:r>
      <w:r w:rsidR="0033518E">
        <w:fldChar w:fldCharType="separate"/>
      </w:r>
      <w:r w:rsidR="00B06C04">
        <w:t>2.4.18</w:t>
      </w:r>
      <w:r w:rsidR="0033518E">
        <w:fldChar w:fldCharType="end"/>
      </w:r>
      <w:r w:rsidR="006A0050">
        <w:t xml:space="preserve">, </w:t>
      </w:r>
      <w:r w:rsidR="0033518E">
        <w:fldChar w:fldCharType="begin"/>
      </w:r>
      <w:r w:rsidR="00D6010E">
        <w:instrText xml:space="preserve"> REF _Ref329178711 \r \h </w:instrText>
      </w:r>
      <w:r w:rsidR="0033518E">
        <w:fldChar w:fldCharType="separate"/>
      </w:r>
      <w:r w:rsidR="00B06C04">
        <w:t>2.5.1</w:t>
      </w:r>
      <w:r w:rsidR="0033518E">
        <w:fldChar w:fldCharType="end"/>
      </w:r>
      <w:r w:rsidR="006A0050">
        <w:t xml:space="preserve"> and </w:t>
      </w:r>
      <w:r w:rsidR="0033518E">
        <w:fldChar w:fldCharType="begin"/>
      </w:r>
      <w:r w:rsidR="00D6010E">
        <w:instrText xml:space="preserve"> REF _Ref329178760 \r \h </w:instrText>
      </w:r>
      <w:r w:rsidR="0033518E">
        <w:fldChar w:fldCharType="separate"/>
      </w:r>
      <w:r w:rsidR="00B06C04">
        <w:t>2.5.2</w:t>
      </w:r>
      <w:r w:rsidR="0033518E">
        <w:fldChar w:fldCharType="end"/>
      </w:r>
      <w:r w:rsidR="00372238">
        <w:t>.</w:t>
      </w:r>
      <w:bookmarkEnd w:id="205"/>
    </w:p>
    <w:p w:rsidR="00F40DAE" w:rsidRDefault="00DB4E72">
      <w:pPr>
        <w:pStyle w:val="HeadingH5ClausesubtextL1"/>
      </w:pPr>
      <w:bookmarkStart w:id="206" w:name="_Ref328810217"/>
      <w:r>
        <w:t>In relation to d</w:t>
      </w:r>
      <w:r w:rsidR="006A0050">
        <w:t xml:space="preserve">etails of any insurance cover for the assets used to provide </w:t>
      </w:r>
      <w:r>
        <w:rPr>
          <w:b/>
        </w:rPr>
        <w:t>gas transmission</w:t>
      </w:r>
      <w:r w:rsidR="006A0050">
        <w:rPr>
          <w:b/>
        </w:rPr>
        <w:t xml:space="preserve"> services</w:t>
      </w:r>
      <w:r w:rsidR="006A0050">
        <w:t xml:space="preserve">, </w:t>
      </w:r>
      <w:r>
        <w:t>the explanatory notes in Schedule 14 must include</w:t>
      </w:r>
      <w:r w:rsidR="006A0050">
        <w:t>:</w:t>
      </w:r>
    </w:p>
    <w:p w:rsidR="00F40DAE" w:rsidRDefault="006A0050">
      <w:pPr>
        <w:pStyle w:val="HeadingH6ClausesubtextL2"/>
      </w:pPr>
      <w:r>
        <w:t xml:space="preserve">The </w:t>
      </w:r>
      <w:r w:rsidR="00DB4E72">
        <w:rPr>
          <w:b/>
        </w:rPr>
        <w:t>GT</w:t>
      </w:r>
      <w:r>
        <w:rPr>
          <w:b/>
        </w:rPr>
        <w:t>B</w:t>
      </w:r>
      <w:r>
        <w:t>’s approaches and practices in regard to the insurance of assets, including the level of insurance;</w:t>
      </w:r>
    </w:p>
    <w:p w:rsidR="00F40DAE" w:rsidRDefault="006A0050">
      <w:pPr>
        <w:pStyle w:val="HeadingH6ClausesubtextL2"/>
      </w:pPr>
      <w:r>
        <w:t>In respect of any self insurance, the level of reserves, details of how reserves are managed and invested, and details of any reinsurance.</w:t>
      </w:r>
    </w:p>
    <w:p w:rsidR="00F40DAE" w:rsidRDefault="006A0050">
      <w:pPr>
        <w:pStyle w:val="HeadingH5ClausesubtextL1"/>
      </w:pPr>
      <w:bookmarkStart w:id="207" w:name="_Ref329181706"/>
      <w:r>
        <w:t xml:space="preserve">Where an item disclosed in accordance with clause </w:t>
      </w:r>
      <w:r w:rsidR="0033518E">
        <w:fldChar w:fldCharType="begin"/>
      </w:r>
      <w:r w:rsidR="00D6010E">
        <w:instrText xml:space="preserve"> REF  _Ref279613342 \h \w </w:instrText>
      </w:r>
      <w:r w:rsidR="0033518E">
        <w:fldChar w:fldCharType="separate"/>
      </w:r>
      <w:r w:rsidR="00B06C04">
        <w:t>2.3.1</w:t>
      </w:r>
      <w:r w:rsidR="0033518E">
        <w:fldChar w:fldCharType="end"/>
      </w:r>
      <w:r>
        <w:t xml:space="preserve"> is classified differently from the previous year, the</w:t>
      </w:r>
      <w:r w:rsidR="00DB4E72">
        <w:t xml:space="preserve"> explanatory notes in Schedule 14 must include the</w:t>
      </w:r>
      <w:r>
        <w:t>:</w:t>
      </w:r>
      <w:bookmarkEnd w:id="206"/>
      <w:bookmarkEnd w:id="207"/>
      <w:r>
        <w:t xml:space="preserve"> </w:t>
      </w:r>
    </w:p>
    <w:p w:rsidR="00F40DAE" w:rsidRDefault="006A0050">
      <w:pPr>
        <w:pStyle w:val="HeadingH6ClausesubtextL2"/>
      </w:pPr>
      <w:r>
        <w:t>nature of the item reclassified;</w:t>
      </w:r>
    </w:p>
    <w:p w:rsidR="00F40DAE" w:rsidRDefault="006A0050">
      <w:pPr>
        <w:pStyle w:val="HeadingH6ClausesubtextL2"/>
      </w:pPr>
      <w:r>
        <w:t>value of the item in the current</w:t>
      </w:r>
      <w:r>
        <w:rPr>
          <w:b/>
        </w:rPr>
        <w:t xml:space="preserve"> disclosure year</w:t>
      </w:r>
      <w:r>
        <w:t xml:space="preserve"> and in the previous </w:t>
      </w:r>
      <w:r>
        <w:rPr>
          <w:b/>
        </w:rPr>
        <w:t>disclosure year;</w:t>
      </w:r>
    </w:p>
    <w:p w:rsidR="00F40DAE" w:rsidRDefault="006A0050">
      <w:pPr>
        <w:pStyle w:val="HeadingH6ClausesubtextL2"/>
      </w:pPr>
      <w:r>
        <w:t>classification of the item in the previous</w:t>
      </w:r>
      <w:r>
        <w:rPr>
          <w:b/>
        </w:rPr>
        <w:t xml:space="preserve"> disclosure year;</w:t>
      </w:r>
    </w:p>
    <w:p w:rsidR="00F40DAE" w:rsidRDefault="006A0050">
      <w:pPr>
        <w:pStyle w:val="HeadingH6ClausesubtextL2"/>
      </w:pPr>
      <w:r>
        <w:t>classification of the item in the current</w:t>
      </w:r>
      <w:r>
        <w:rPr>
          <w:b/>
        </w:rPr>
        <w:t xml:space="preserve"> disclosure year; </w:t>
      </w:r>
      <w:r>
        <w:t>and</w:t>
      </w:r>
    </w:p>
    <w:p w:rsidR="00F40DAE" w:rsidRDefault="006A0050">
      <w:pPr>
        <w:pStyle w:val="HeadingH6ClausesubtextL2"/>
      </w:pPr>
      <w:proofErr w:type="gramStart"/>
      <w:r>
        <w:t>reason</w:t>
      </w:r>
      <w:proofErr w:type="gramEnd"/>
      <w:r>
        <w:t xml:space="preserve"> why the item has been reclassified.</w:t>
      </w:r>
    </w:p>
    <w:p w:rsidR="00F40DAE" w:rsidRDefault="006A0050">
      <w:pPr>
        <w:pStyle w:val="HeadingH4Clausetext"/>
        <w:tabs>
          <w:tab w:val="clear" w:pos="4679"/>
          <w:tab w:val="num" w:pos="0"/>
        </w:tabs>
      </w:pPr>
      <w:bookmarkStart w:id="208" w:name="_Ref329181671"/>
      <w:r>
        <w:t xml:space="preserve">Within </w:t>
      </w:r>
      <w:r w:rsidR="00325BFF">
        <w:t>6</w:t>
      </w:r>
      <w:r>
        <w:t xml:space="preserve"> months of the end of each </w:t>
      </w:r>
      <w:r>
        <w:rPr>
          <w:b/>
        </w:rPr>
        <w:t>disclosure year</w:t>
      </w:r>
      <w:r>
        <w:t xml:space="preserve">, every </w:t>
      </w:r>
      <w:r w:rsidR="00F86836" w:rsidRPr="00F86836">
        <w:rPr>
          <w:b/>
        </w:rPr>
        <w:t>GT</w:t>
      </w:r>
      <w:r>
        <w:rPr>
          <w:b/>
        </w:rPr>
        <w:t>B</w:t>
      </w:r>
      <w:r>
        <w:t xml:space="preserve"> must</w:t>
      </w:r>
      <w:r w:rsidR="00DB4E72">
        <w:t xml:space="preserve"> complete and</w:t>
      </w:r>
      <w:r>
        <w:t xml:space="preserve"> </w:t>
      </w:r>
      <w:r>
        <w:rPr>
          <w:b/>
        </w:rPr>
        <w:t>publicly disclose</w:t>
      </w:r>
      <w:r>
        <w:t xml:space="preserve"> the Mandatory Explanatory Notes </w:t>
      </w:r>
      <w:r w:rsidR="00372238">
        <w:t xml:space="preserve">on Forecast Information </w:t>
      </w:r>
      <w:r w:rsidR="00DB4E72">
        <w:t xml:space="preserve">in </w:t>
      </w:r>
      <w:r>
        <w:t>Schedule 14</w:t>
      </w:r>
      <w:r w:rsidR="00DB4E72">
        <w:t>a</w:t>
      </w:r>
      <w:r>
        <w:t xml:space="preserve"> </w:t>
      </w:r>
      <w:r w:rsidR="00DB4E72">
        <w:t xml:space="preserve">by inserting all relevant information relating to </w:t>
      </w:r>
      <w:r>
        <w:t xml:space="preserve">information disclosed in accordance with clause </w:t>
      </w:r>
      <w:r w:rsidR="0033518E">
        <w:fldChar w:fldCharType="begin"/>
      </w:r>
      <w:r w:rsidR="00D6010E">
        <w:instrText xml:space="preserve"> REF  _Ref310881972 \h \w </w:instrText>
      </w:r>
      <w:r w:rsidR="0033518E">
        <w:fldChar w:fldCharType="separate"/>
      </w:r>
      <w:r w:rsidR="00B06C04">
        <w:t>2.6.4(6)</w:t>
      </w:r>
      <w:r w:rsidR="0033518E">
        <w:fldChar w:fldCharType="end"/>
      </w:r>
      <w:r w:rsidR="00372238">
        <w:rPr>
          <w:bCs/>
          <w:iCs/>
        </w:rPr>
        <w:t>.</w:t>
      </w:r>
      <w:bookmarkEnd w:id="208"/>
    </w:p>
    <w:p w:rsidR="00AA27C9" w:rsidRDefault="006A0050">
      <w:pPr>
        <w:pStyle w:val="HeadingH4Clausetext"/>
        <w:tabs>
          <w:tab w:val="clear" w:pos="4679"/>
          <w:tab w:val="num" w:pos="0"/>
        </w:tabs>
      </w:pPr>
      <w:r>
        <w:t xml:space="preserve">Within </w:t>
      </w:r>
      <w:r w:rsidR="00325BFF">
        <w:t>6</w:t>
      </w:r>
      <w:r>
        <w:t xml:space="preserve"> months of the end of each </w:t>
      </w:r>
      <w:r>
        <w:rPr>
          <w:b/>
        </w:rPr>
        <w:t>disclosure year</w:t>
      </w:r>
      <w:r>
        <w:t xml:space="preserve">, every </w:t>
      </w:r>
      <w:r w:rsidR="00DB4E72">
        <w:rPr>
          <w:b/>
        </w:rPr>
        <w:t>GT</w:t>
      </w:r>
      <w:r>
        <w:rPr>
          <w:b/>
        </w:rPr>
        <w:t>B</w:t>
      </w:r>
      <w:r>
        <w:t xml:space="preserve"> may </w:t>
      </w:r>
      <w:r>
        <w:rPr>
          <w:b/>
        </w:rPr>
        <w:t>publicly disclose</w:t>
      </w:r>
      <w:r>
        <w:t xml:space="preserve"> </w:t>
      </w:r>
      <w:r w:rsidR="00BD6093">
        <w:t xml:space="preserve">any further </w:t>
      </w:r>
      <w:r>
        <w:t xml:space="preserve">explanatory comment on the information disclosed in accordance with clauses </w:t>
      </w:r>
      <w:r w:rsidR="0033518E">
        <w:fldChar w:fldCharType="begin"/>
      </w:r>
      <w:r w:rsidR="00C96368">
        <w:instrText xml:space="preserve"> REF  _Ref279613342 \h \w </w:instrText>
      </w:r>
      <w:r w:rsidR="0033518E">
        <w:fldChar w:fldCharType="separate"/>
      </w:r>
      <w:r w:rsidR="00B06C04">
        <w:t>2.3.1</w:t>
      </w:r>
      <w:r w:rsidR="0033518E">
        <w:fldChar w:fldCharType="end"/>
      </w:r>
      <w:r>
        <w:t xml:space="preserve">, </w:t>
      </w:r>
      <w:fldSimple w:instr=" REF  _Ref329107641 \h \w  \* MERGEFORMAT ">
        <w:r w:rsidR="00B06C04">
          <w:t>2.4.18</w:t>
        </w:r>
      </w:fldSimple>
      <w:r>
        <w:t xml:space="preserve">, </w:t>
      </w:r>
      <w:r w:rsidR="0033518E">
        <w:fldChar w:fldCharType="begin"/>
      </w:r>
      <w:r w:rsidR="00C96368">
        <w:instrText xml:space="preserve"> REF _Ref329178711 \r \h </w:instrText>
      </w:r>
      <w:r w:rsidR="0033518E">
        <w:fldChar w:fldCharType="separate"/>
      </w:r>
      <w:r w:rsidR="00B06C04">
        <w:t>2.5.1</w:t>
      </w:r>
      <w:r w:rsidR="0033518E">
        <w:fldChar w:fldCharType="end"/>
      </w:r>
      <w:r w:rsidR="00C96368">
        <w:t xml:space="preserve">, </w:t>
      </w:r>
      <w:r w:rsidR="0033518E">
        <w:fldChar w:fldCharType="begin"/>
      </w:r>
      <w:r w:rsidR="00C96368">
        <w:instrText xml:space="preserve"> REF _Ref329178760 \r \h </w:instrText>
      </w:r>
      <w:r w:rsidR="0033518E">
        <w:fldChar w:fldCharType="separate"/>
      </w:r>
      <w:r w:rsidR="00B06C04">
        <w:t>2.5.2</w:t>
      </w:r>
      <w:r w:rsidR="0033518E">
        <w:fldChar w:fldCharType="end"/>
      </w:r>
      <w:r w:rsidR="00C96368">
        <w:t xml:space="preserve"> and </w:t>
      </w:r>
      <w:r w:rsidR="0033518E">
        <w:fldChar w:fldCharType="begin"/>
      </w:r>
      <w:r w:rsidR="00C96368">
        <w:instrText xml:space="preserve"> REF  _Ref310881972 \h \w </w:instrText>
      </w:r>
      <w:r w:rsidR="0033518E">
        <w:fldChar w:fldCharType="separate"/>
      </w:r>
      <w:r w:rsidR="00B06C04">
        <w:t>2.6.4(6)</w:t>
      </w:r>
      <w:r w:rsidR="0033518E">
        <w:fldChar w:fldCharType="end"/>
      </w:r>
      <w:r>
        <w:t>, in Schedule 15.</w:t>
      </w:r>
    </w:p>
    <w:p w:rsidR="00C80BBC" w:rsidRPr="006441E4" w:rsidRDefault="00C80BBC" w:rsidP="002B1F59">
      <w:pPr>
        <w:pStyle w:val="BodyText"/>
        <w:spacing w:line="264" w:lineRule="auto"/>
      </w:pPr>
    </w:p>
    <w:p w:rsidR="00C80BBC" w:rsidRPr="006441E4" w:rsidRDefault="00C80BBC" w:rsidP="002B1F59">
      <w:pPr>
        <w:pStyle w:val="Heading1"/>
        <w:keepNext w:val="0"/>
        <w:tabs>
          <w:tab w:val="left" w:pos="851"/>
        </w:tabs>
        <w:spacing w:before="240" w:after="240" w:line="264" w:lineRule="auto"/>
        <w:ind w:left="851" w:hanging="851"/>
        <w:rPr>
          <w:caps/>
          <w:sz w:val="24"/>
        </w:rPr>
        <w:sectPr w:rsidR="00C80BBC" w:rsidRPr="006441E4" w:rsidSect="000A7887">
          <w:type w:val="continuous"/>
          <w:pgSz w:w="11907" w:h="16840" w:code="9"/>
          <w:pgMar w:top="1440" w:right="1440" w:bottom="1440" w:left="1440" w:header="1134" w:footer="431" w:gutter="0"/>
          <w:cols w:space="720"/>
          <w:titlePg/>
        </w:sectPr>
      </w:pPr>
    </w:p>
    <w:p w:rsidR="00F40DAE" w:rsidRDefault="00F35CCC">
      <w:pPr>
        <w:pStyle w:val="HeadingH3SectionHeading"/>
      </w:pPr>
      <w:bookmarkStart w:id="209" w:name="_Ref329061481"/>
      <w:bookmarkStart w:id="210" w:name="_Ref329181566"/>
      <w:bookmarkStart w:id="211" w:name="_Toc329296364"/>
      <w:r>
        <w:t>ASSURANCE</w:t>
      </w:r>
      <w:r w:rsidRPr="006441E4">
        <w:t xml:space="preserve"> </w:t>
      </w:r>
      <w:r w:rsidR="00D75592" w:rsidRPr="006441E4">
        <w:t>REPORTS</w:t>
      </w:r>
      <w:bookmarkEnd w:id="209"/>
      <w:bookmarkEnd w:id="210"/>
      <w:bookmarkEnd w:id="211"/>
    </w:p>
    <w:p w:rsidR="00F40DAE" w:rsidRDefault="00307644">
      <w:pPr>
        <w:pStyle w:val="HeadingH4Clausetext"/>
        <w:tabs>
          <w:tab w:val="clear" w:pos="4679"/>
          <w:tab w:val="num" w:pos="709"/>
        </w:tabs>
      </w:pPr>
      <w:bookmarkStart w:id="212" w:name="_Ref329184104"/>
      <w:r w:rsidRPr="006441E4">
        <w:t xml:space="preserve">Where a </w:t>
      </w:r>
      <w:r w:rsidR="00F86836" w:rsidRPr="00F86836">
        <w:rPr>
          <w:b/>
        </w:rPr>
        <w:t>GTB</w:t>
      </w:r>
      <w:r w:rsidR="00BD252C" w:rsidRPr="006441E4">
        <w:t xml:space="preserve"> </w:t>
      </w:r>
      <w:r w:rsidRPr="006441E4">
        <w:t xml:space="preserve">is required to </w:t>
      </w:r>
      <w:r w:rsidR="00F86836" w:rsidRPr="00F86836">
        <w:rPr>
          <w:b/>
        </w:rPr>
        <w:t>publicly disclose</w:t>
      </w:r>
      <w:r w:rsidRPr="006441E4">
        <w:t xml:space="preserve"> any </w:t>
      </w:r>
      <w:r w:rsidR="00F86836" w:rsidRPr="00F86836">
        <w:rPr>
          <w:b/>
        </w:rPr>
        <w:t>audited disclosure information</w:t>
      </w:r>
      <w:r w:rsidRPr="006441E4">
        <w:t xml:space="preserve">, the </w:t>
      </w:r>
      <w:r w:rsidR="00F86836" w:rsidRPr="00F86836">
        <w:rPr>
          <w:b/>
        </w:rPr>
        <w:t>GTB</w:t>
      </w:r>
      <w:r w:rsidRPr="006441E4">
        <w:t xml:space="preserve"> must:</w:t>
      </w:r>
      <w:bookmarkStart w:id="213" w:name="_Ref279615954"/>
      <w:bookmarkEnd w:id="212"/>
    </w:p>
    <w:p w:rsidR="00F40DAE" w:rsidRDefault="00F44DEB">
      <w:pPr>
        <w:pStyle w:val="HeadingH5ClausesubtextL1"/>
      </w:pPr>
      <w:bookmarkStart w:id="214" w:name="_Ref328898403"/>
      <w:r w:rsidRPr="006441E4">
        <w:t>P</w:t>
      </w:r>
      <w:r w:rsidR="00307644" w:rsidRPr="006441E4">
        <w:t>rocure a</w:t>
      </w:r>
      <w:r w:rsidR="00726317">
        <w:t>n assurance</w:t>
      </w:r>
      <w:r w:rsidR="00307644" w:rsidRPr="006441E4">
        <w:t xml:space="preserve"> report by an </w:t>
      </w:r>
      <w:r w:rsidR="00307644" w:rsidRPr="006441E4">
        <w:rPr>
          <w:b/>
        </w:rPr>
        <w:t>independent auditor</w:t>
      </w:r>
      <w:r w:rsidR="00307644" w:rsidRPr="006441E4">
        <w:t xml:space="preserve"> in respect of that </w:t>
      </w:r>
      <w:r w:rsidR="00307644" w:rsidRPr="006441E4">
        <w:rPr>
          <w:b/>
        </w:rPr>
        <w:t>audited disclosure information</w:t>
      </w:r>
      <w:r w:rsidR="00726317">
        <w:t>, that is prepared in accordance with Standard on Assurance Engagements 3100 – Compliance Engagements (SAE 3100) and International Standard on Assurance Engagements 3000 (ISAE (NZ) 3000) or their successor standards,</w:t>
      </w:r>
      <w:r w:rsidR="00307644" w:rsidRPr="006441E4">
        <w:t xml:space="preserve"> signed by the </w:t>
      </w:r>
      <w:r w:rsidR="00307644" w:rsidRPr="006441E4">
        <w:rPr>
          <w:b/>
        </w:rPr>
        <w:t>independent auditor</w:t>
      </w:r>
      <w:r w:rsidR="00307644" w:rsidRPr="006441E4">
        <w:t xml:space="preserve"> (either in his or her own name or that of his or her firm), </w:t>
      </w:r>
      <w:r w:rsidR="00726317">
        <w:t>that</w:t>
      </w:r>
      <w:r w:rsidR="00307644" w:rsidRPr="006441E4">
        <w:t>:</w:t>
      </w:r>
      <w:bookmarkEnd w:id="213"/>
      <w:bookmarkEnd w:id="214"/>
    </w:p>
    <w:p w:rsidR="00F40DAE" w:rsidRDefault="00726317">
      <w:pPr>
        <w:pStyle w:val="HeadingH6ClausesubtextL2"/>
      </w:pPr>
      <w:r>
        <w:t xml:space="preserve">is addressed to the directors of the </w:t>
      </w:r>
      <w:r>
        <w:rPr>
          <w:b/>
        </w:rPr>
        <w:t xml:space="preserve">GTB </w:t>
      </w:r>
      <w:r>
        <w:t xml:space="preserve">and to the </w:t>
      </w:r>
      <w:r>
        <w:rPr>
          <w:b/>
        </w:rPr>
        <w:t xml:space="preserve">Commission </w:t>
      </w:r>
      <w:r>
        <w:t xml:space="preserve">as the intended users of the assurance report, </w:t>
      </w:r>
    </w:p>
    <w:p w:rsidR="00F40DAE" w:rsidRDefault="00726317">
      <w:pPr>
        <w:pStyle w:val="HeadingH6ClausesubtextL2"/>
      </w:pPr>
      <w:r>
        <w:t>states:</w:t>
      </w:r>
    </w:p>
    <w:p w:rsidR="00F40DAE" w:rsidRDefault="00726317">
      <w:pPr>
        <w:pStyle w:val="HeadingH7ClausesubtextL3"/>
      </w:pPr>
      <w:r>
        <w:t>that it has been prepared in accordance with Standard on Assurance Engagements 3100 – Compliance Engagements (SAE 3100) and International Standard on Assurance Engagements 3000 (ISAE (NZ) 3000) or their successor standards;</w:t>
      </w:r>
      <w:r w:rsidR="00F35CCC">
        <w:t xml:space="preserve"> and</w:t>
      </w:r>
    </w:p>
    <w:p w:rsidR="00F40DAE" w:rsidRDefault="00307644">
      <w:pPr>
        <w:pStyle w:val="HeadingH7ClausesubtextL3"/>
      </w:pPr>
      <w:r w:rsidRPr="006441E4">
        <w:t xml:space="preserve">the work done by the </w:t>
      </w:r>
      <w:r w:rsidRPr="006441E4">
        <w:rPr>
          <w:b/>
        </w:rPr>
        <w:t>independent auditor</w:t>
      </w:r>
      <w:r w:rsidR="00726317">
        <w:t>; and</w:t>
      </w:r>
    </w:p>
    <w:p w:rsidR="00F40DAE" w:rsidRDefault="00307644">
      <w:pPr>
        <w:pStyle w:val="HeadingH7ClausesubtextL3"/>
      </w:pPr>
      <w:r w:rsidRPr="006441E4">
        <w:t>the scope and limitations of the audit</w:t>
      </w:r>
      <w:r w:rsidR="00726317">
        <w:t>;</w:t>
      </w:r>
      <w:r w:rsidR="00F35CCC">
        <w:t xml:space="preserve"> and</w:t>
      </w:r>
    </w:p>
    <w:p w:rsidR="00F40DAE" w:rsidRDefault="00307644">
      <w:pPr>
        <w:pStyle w:val="HeadingH7ClausesubtextL3"/>
      </w:pPr>
      <w:r w:rsidRPr="006441E4">
        <w:t xml:space="preserve">the existence of any relationship (other than that of auditor) which the </w:t>
      </w:r>
      <w:r w:rsidRPr="006441E4">
        <w:rPr>
          <w:b/>
        </w:rPr>
        <w:t>independent auditor</w:t>
      </w:r>
      <w:r w:rsidRPr="006441E4">
        <w:t xml:space="preserve"> has with, or any interests which the </w:t>
      </w:r>
      <w:r w:rsidRPr="006441E4">
        <w:rPr>
          <w:b/>
        </w:rPr>
        <w:t>independent auditor</w:t>
      </w:r>
      <w:r w:rsidRPr="006441E4">
        <w:t xml:space="preserve"> has in, the </w:t>
      </w:r>
      <w:r w:rsidR="00BD252C" w:rsidRPr="006441E4">
        <w:rPr>
          <w:b/>
        </w:rPr>
        <w:t>GTB</w:t>
      </w:r>
      <w:r w:rsidRPr="006441E4">
        <w:t xml:space="preserve"> or any of its subsidiaries</w:t>
      </w:r>
      <w:r w:rsidR="00426CF4">
        <w:t xml:space="preserve"> or </w:t>
      </w:r>
      <w:r w:rsidR="00426CF4" w:rsidRPr="00426CF4">
        <w:rPr>
          <w:b/>
        </w:rPr>
        <w:t>related parties</w:t>
      </w:r>
      <w:r w:rsidR="00726317">
        <w:t>; and</w:t>
      </w:r>
    </w:p>
    <w:p w:rsidR="00F40DAE" w:rsidRDefault="00307644">
      <w:pPr>
        <w:pStyle w:val="HeadingH7ClausesubtextL3"/>
      </w:pPr>
      <w:r w:rsidRPr="006441E4">
        <w:t xml:space="preserve">whether the </w:t>
      </w:r>
      <w:r w:rsidRPr="006441E4">
        <w:rPr>
          <w:b/>
        </w:rPr>
        <w:t>independent auditor</w:t>
      </w:r>
      <w:r w:rsidRPr="006441E4">
        <w:t xml:space="preserve"> has obtained </w:t>
      </w:r>
      <w:r w:rsidR="00726317">
        <w:t xml:space="preserve">sufficient recorded evidence </w:t>
      </w:r>
      <w:r w:rsidRPr="006441E4">
        <w:t>and explanations that he or she required and, if not, the information and explanations not obtained</w:t>
      </w:r>
      <w:r w:rsidR="00726317">
        <w:t>; and</w:t>
      </w:r>
    </w:p>
    <w:p w:rsidR="00F40DAE" w:rsidRDefault="00307644">
      <w:pPr>
        <w:pStyle w:val="HeadingH7ClausesubtextL3"/>
      </w:pPr>
      <w:r w:rsidRPr="006441E4">
        <w:t xml:space="preserve">whether, in the </w:t>
      </w:r>
      <w:r w:rsidRPr="006441E4">
        <w:rPr>
          <w:b/>
        </w:rPr>
        <w:t>independent auditor</w:t>
      </w:r>
      <w:r w:rsidRPr="006441E4">
        <w:t xml:space="preserve">’s opinion, as far as appears from an examination, </w:t>
      </w:r>
      <w:r w:rsidR="00726317">
        <w:t xml:space="preserve">the information used in the preparation of Schedules </w:t>
      </w:r>
      <w:r w:rsidR="00837D44">
        <w:t>2, 3, 3a, 4, 4a, 4b, 4c, 5, 5a, 5b, 5c, 5d, 6, 7, 8a, 8b, 9a, 9b, 9c, 9d, 10a, 10b,</w:t>
      </w:r>
      <w:r w:rsidR="00726317">
        <w:t xml:space="preserve"> </w:t>
      </w:r>
      <w:r w:rsidR="00837D44">
        <w:t xml:space="preserve">14, 14a, and 14b </w:t>
      </w:r>
      <w:r w:rsidR="00726317">
        <w:t>has been properly extracted from</w:t>
      </w:r>
      <w:r w:rsidR="00837D44">
        <w:t xml:space="preserve"> the </w:t>
      </w:r>
      <w:r w:rsidR="00837D44">
        <w:rPr>
          <w:b/>
        </w:rPr>
        <w:t>GTB</w:t>
      </w:r>
      <w:r w:rsidR="00726317">
        <w:t>’s accounting and other records, sourced from its financial and non-financial systems</w:t>
      </w:r>
      <w:r w:rsidR="00B20719">
        <w:t>; and</w:t>
      </w:r>
    </w:p>
    <w:p w:rsidR="00F40DAE" w:rsidRDefault="00837D44">
      <w:pPr>
        <w:pStyle w:val="HeadingH7ClausesubtextL3"/>
      </w:pPr>
      <w:r>
        <w:t xml:space="preserve">whether, in the </w:t>
      </w:r>
      <w:r>
        <w:rPr>
          <w:b/>
        </w:rPr>
        <w:t>independent auditor</w:t>
      </w:r>
      <w:r>
        <w:t xml:space="preserve">’s opinion, as far as appears from an examination of them, proper </w:t>
      </w:r>
      <w:r>
        <w:rPr>
          <w:b/>
        </w:rPr>
        <w:t>records</w:t>
      </w:r>
      <w:r>
        <w:t xml:space="preserve"> to enable the complete and accurate compilation of information required by the Commerce Act (Gas Transmission Services Information Disclosure) Determination 2012</w:t>
      </w:r>
      <w:r>
        <w:rPr>
          <w:b/>
        </w:rPr>
        <w:t xml:space="preserve"> </w:t>
      </w:r>
      <w:r>
        <w:t xml:space="preserve">have been kept by the </w:t>
      </w:r>
      <w:r w:rsidR="002F7189">
        <w:rPr>
          <w:b/>
        </w:rPr>
        <w:t>GT</w:t>
      </w:r>
      <w:r>
        <w:rPr>
          <w:b/>
        </w:rPr>
        <w:t>B</w:t>
      </w:r>
      <w:r>
        <w:t xml:space="preserve"> and, if not, the </w:t>
      </w:r>
      <w:r>
        <w:rPr>
          <w:b/>
        </w:rPr>
        <w:t>records</w:t>
      </w:r>
      <w:r>
        <w:t xml:space="preserve"> not so kept; and</w:t>
      </w:r>
    </w:p>
    <w:p w:rsidR="00F40DAE" w:rsidRDefault="00F35CCC">
      <w:pPr>
        <w:pStyle w:val="HeadingH6ClausesubtextL2"/>
      </w:pPr>
      <w:bookmarkStart w:id="215" w:name="_Ref328898323"/>
      <w:r>
        <w:t xml:space="preserve">States </w:t>
      </w:r>
      <w:r w:rsidR="00307644" w:rsidRPr="006441E4">
        <w:t xml:space="preserve">whether (and, if not, the respects in which it </w:t>
      </w:r>
      <w:r w:rsidR="00CE00EE">
        <w:t>has</w:t>
      </w:r>
      <w:r w:rsidR="00CE00EE" w:rsidRPr="006441E4">
        <w:t xml:space="preserve"> </w:t>
      </w:r>
      <w:r w:rsidR="00307644" w:rsidRPr="006441E4">
        <w:t xml:space="preserve">not), in the </w:t>
      </w:r>
      <w:r w:rsidR="00307644" w:rsidRPr="006441E4">
        <w:rPr>
          <w:b/>
        </w:rPr>
        <w:t>independent auditor</w:t>
      </w:r>
      <w:r w:rsidR="00307644" w:rsidRPr="006441E4">
        <w:t xml:space="preserve">’s opinion, the </w:t>
      </w:r>
      <w:r>
        <w:rPr>
          <w:b/>
        </w:rPr>
        <w:t xml:space="preserve">GTB </w:t>
      </w:r>
      <w:r>
        <w:t xml:space="preserve">has </w:t>
      </w:r>
      <w:r w:rsidR="00307644" w:rsidRPr="006441E4">
        <w:t>complie</w:t>
      </w:r>
      <w:r>
        <w:t>d, in all material respects,</w:t>
      </w:r>
      <w:r w:rsidR="00307644" w:rsidRPr="006441E4">
        <w:t xml:space="preserve"> with </w:t>
      </w:r>
      <w:r>
        <w:t>the Commerce Act (Gas Transmission Services Information Disclosure) Determination 2012</w:t>
      </w:r>
      <w:r w:rsidR="002F7189">
        <w:t>.</w:t>
      </w:r>
      <w:bookmarkEnd w:id="215"/>
      <w:r w:rsidR="00823495" w:rsidRPr="006441E4">
        <w:t xml:space="preserve"> </w:t>
      </w:r>
    </w:p>
    <w:p w:rsidR="00F40DAE" w:rsidRDefault="00DD4AA6">
      <w:pPr>
        <w:pStyle w:val="HeadingH5ClausesubtextL1"/>
      </w:pPr>
      <w:r w:rsidRPr="006441E4">
        <w:rPr>
          <w:b/>
        </w:rPr>
        <w:t>P</w:t>
      </w:r>
      <w:r w:rsidR="00307644" w:rsidRPr="006441E4">
        <w:rPr>
          <w:b/>
        </w:rPr>
        <w:t>ublicly disclose</w:t>
      </w:r>
      <w:r w:rsidR="00307644" w:rsidRPr="006441E4">
        <w:t xml:space="preserve"> the </w:t>
      </w:r>
      <w:r w:rsidR="00307644" w:rsidRPr="006441E4">
        <w:rPr>
          <w:b/>
        </w:rPr>
        <w:t>independent auditor</w:t>
      </w:r>
      <w:r w:rsidR="00307644" w:rsidRPr="006441E4">
        <w:t xml:space="preserve">’s report prepared in accordance with </w:t>
      </w:r>
      <w:proofErr w:type="spellStart"/>
      <w:r w:rsidR="00F44DEB" w:rsidRPr="006441E4">
        <w:t>sub</w:t>
      </w:r>
      <w:r w:rsidR="00307644" w:rsidRPr="006441E4">
        <w:t>clause</w:t>
      </w:r>
      <w:proofErr w:type="spellEnd"/>
      <w:r w:rsidR="00307644" w:rsidRPr="006441E4">
        <w:t xml:space="preserve"> </w:t>
      </w:r>
      <w:r w:rsidR="0033518E">
        <w:fldChar w:fldCharType="begin"/>
      </w:r>
      <w:r w:rsidR="00C96368">
        <w:instrText xml:space="preserve"> REF  _Ref328898403 \h \w </w:instrText>
      </w:r>
      <w:r w:rsidR="0033518E">
        <w:fldChar w:fldCharType="separate"/>
      </w:r>
      <w:r w:rsidR="00B06C04">
        <w:t>2.8.1(1)</w:t>
      </w:r>
      <w:r w:rsidR="0033518E">
        <w:fldChar w:fldCharType="end"/>
      </w:r>
      <w:r w:rsidR="00307644" w:rsidRPr="006441E4">
        <w:t xml:space="preserve"> </w:t>
      </w:r>
      <w:r w:rsidR="00F44DEB" w:rsidRPr="006441E4">
        <w:t xml:space="preserve">above </w:t>
      </w:r>
      <w:r w:rsidR="00307644" w:rsidRPr="006441E4">
        <w:t xml:space="preserve">at the same time as the </w:t>
      </w:r>
      <w:r w:rsidR="00BD252C" w:rsidRPr="006441E4">
        <w:rPr>
          <w:b/>
        </w:rPr>
        <w:t>GTB</w:t>
      </w:r>
      <w:r w:rsidR="00307644" w:rsidRPr="006441E4">
        <w:t xml:space="preserve"> </w:t>
      </w:r>
      <w:r w:rsidR="00307644" w:rsidRPr="006441E4">
        <w:rPr>
          <w:b/>
        </w:rPr>
        <w:t>publicly discloses</w:t>
      </w:r>
      <w:r w:rsidR="00307644" w:rsidRPr="006441E4">
        <w:t xml:space="preserve"> the </w:t>
      </w:r>
      <w:r w:rsidR="00307644" w:rsidRPr="006441E4">
        <w:rPr>
          <w:b/>
        </w:rPr>
        <w:t>audited disclosure information</w:t>
      </w:r>
      <w:r w:rsidR="00910FD9" w:rsidRPr="006441E4">
        <w:t>.</w:t>
      </w:r>
    </w:p>
    <w:p w:rsidR="00C80BBC" w:rsidRPr="006441E4" w:rsidRDefault="00C80BBC" w:rsidP="002B1F59">
      <w:pPr>
        <w:pStyle w:val="BodyText"/>
        <w:spacing w:line="264" w:lineRule="auto"/>
      </w:pPr>
    </w:p>
    <w:p w:rsidR="00C80BBC" w:rsidRPr="006441E4" w:rsidRDefault="00C80BBC" w:rsidP="002B1F59">
      <w:pPr>
        <w:pStyle w:val="BodyText"/>
        <w:spacing w:line="264" w:lineRule="auto"/>
        <w:sectPr w:rsidR="00C80BBC" w:rsidRPr="006441E4" w:rsidSect="000A7887">
          <w:type w:val="continuous"/>
          <w:pgSz w:w="11907" w:h="16840" w:code="9"/>
          <w:pgMar w:top="1440" w:right="1440" w:bottom="1440" w:left="1440" w:header="1134" w:footer="431" w:gutter="0"/>
          <w:cols w:space="720"/>
          <w:titlePg/>
        </w:sectPr>
      </w:pPr>
    </w:p>
    <w:p w:rsidR="00F40DAE" w:rsidRDefault="00870D08">
      <w:pPr>
        <w:pStyle w:val="HeadingH3SectionHeading"/>
      </w:pPr>
      <w:bookmarkStart w:id="216" w:name="_Ref329061656"/>
      <w:bookmarkStart w:id="217" w:name="_Toc329296365"/>
      <w:r w:rsidRPr="006441E4">
        <w:t>CERTIFICATES</w:t>
      </w:r>
      <w:bookmarkEnd w:id="216"/>
      <w:bookmarkEnd w:id="217"/>
    </w:p>
    <w:p w:rsidR="00F40DAE" w:rsidRDefault="008D14EC">
      <w:pPr>
        <w:pStyle w:val="HeadingH4Clausetext"/>
        <w:tabs>
          <w:tab w:val="clear" w:pos="4679"/>
          <w:tab w:val="num" w:pos="709"/>
        </w:tabs>
      </w:pPr>
      <w:bookmarkStart w:id="218" w:name="_Ref329184679"/>
      <w:r w:rsidRPr="006441E4">
        <w:t>Where a</w:t>
      </w:r>
      <w:r w:rsidR="00910FD9" w:rsidRPr="006441E4">
        <w:t xml:space="preserve"> </w:t>
      </w:r>
      <w:r w:rsidR="00910FD9" w:rsidRPr="006441E4">
        <w:rPr>
          <w:b/>
        </w:rPr>
        <w:t xml:space="preserve">GTB </w:t>
      </w:r>
      <w:r w:rsidRPr="006441E4">
        <w:t xml:space="preserve">is required to </w:t>
      </w:r>
      <w:r w:rsidRPr="006441E4">
        <w:rPr>
          <w:b/>
        </w:rPr>
        <w:t>publicly disclose</w:t>
      </w:r>
      <w:r w:rsidRPr="006441E4">
        <w:t xml:space="preserve"> any information </w:t>
      </w:r>
      <w:r w:rsidR="00A20821" w:rsidRPr="006441E4">
        <w:t xml:space="preserve">under any of </w:t>
      </w:r>
      <w:r w:rsidRPr="006441E4">
        <w:t>clause</w:t>
      </w:r>
      <w:r w:rsidR="00A20821" w:rsidRPr="006441E4">
        <w:t xml:space="preserve"> </w:t>
      </w:r>
      <w:r w:rsidR="0033518E">
        <w:fldChar w:fldCharType="begin"/>
      </w:r>
      <w:r w:rsidR="00C96368">
        <w:instrText xml:space="preserve"> REF _Ref329179134 \r \h </w:instrText>
      </w:r>
      <w:r w:rsidR="0033518E">
        <w:fldChar w:fldCharType="separate"/>
      </w:r>
      <w:r w:rsidR="00B06C04">
        <w:t>2.4.1</w:t>
      </w:r>
      <w:r w:rsidR="0033518E">
        <w:fldChar w:fldCharType="end"/>
      </w:r>
      <w:r w:rsidR="00A20821" w:rsidRPr="006441E4">
        <w:t xml:space="preserve">, clause </w:t>
      </w:r>
      <w:r w:rsidR="0033518E">
        <w:fldChar w:fldCharType="begin"/>
      </w:r>
      <w:r w:rsidR="00AC5FB3">
        <w:instrText xml:space="preserve"> REF _Ref311133930 \r \h </w:instrText>
      </w:r>
      <w:r w:rsidR="0033518E">
        <w:fldChar w:fldCharType="separate"/>
      </w:r>
      <w:r w:rsidR="00B06C04">
        <w:t>2.6.1</w:t>
      </w:r>
      <w:r w:rsidR="0033518E">
        <w:fldChar w:fldCharType="end"/>
      </w:r>
      <w:r w:rsidR="00041946">
        <w:t xml:space="preserve">, </w:t>
      </w:r>
      <w:proofErr w:type="spellStart"/>
      <w:r w:rsidR="00041946">
        <w:t>subclauses</w:t>
      </w:r>
      <w:proofErr w:type="spellEnd"/>
      <w:r w:rsidR="00AC5FB3">
        <w:t xml:space="preserve"> </w:t>
      </w:r>
      <w:r w:rsidR="0033518E">
        <w:fldChar w:fldCharType="begin"/>
      </w:r>
      <w:r w:rsidR="00AC5FB3">
        <w:instrText xml:space="preserve"> REF _Ref327190157 \w \h </w:instrText>
      </w:r>
      <w:r w:rsidR="0033518E">
        <w:fldChar w:fldCharType="separate"/>
      </w:r>
      <w:r w:rsidR="00B06C04">
        <w:t>2.6.3(2)</w:t>
      </w:r>
      <w:r w:rsidR="0033518E">
        <w:fldChar w:fldCharType="end"/>
      </w:r>
      <w:r w:rsidR="00041946">
        <w:t xml:space="preserve"> and </w:t>
      </w:r>
      <w:r w:rsidR="0033518E">
        <w:fldChar w:fldCharType="begin"/>
      </w:r>
      <w:r w:rsidR="00041946">
        <w:instrText xml:space="preserve"> REF _Ref329275192 \w \h </w:instrText>
      </w:r>
      <w:r w:rsidR="0033518E">
        <w:fldChar w:fldCharType="separate"/>
      </w:r>
      <w:r w:rsidR="00B06C04">
        <w:t>2.6.5(2)</w:t>
      </w:r>
      <w:r w:rsidR="0033518E">
        <w:fldChar w:fldCharType="end"/>
      </w:r>
      <w:r w:rsidR="00041946">
        <w:t xml:space="preserve">, and </w:t>
      </w:r>
      <w:r w:rsidR="0033518E">
        <w:fldChar w:fldCharType="begin"/>
      </w:r>
      <w:r w:rsidR="00AC5FB3">
        <w:instrText xml:space="preserve"> REF _Ref329274201 \w \h </w:instrText>
      </w:r>
      <w:r w:rsidR="0033518E">
        <w:fldChar w:fldCharType="separate"/>
      </w:r>
      <w:r w:rsidR="00B06C04">
        <w:t>2.12.6(1)(b)</w:t>
      </w:r>
      <w:r w:rsidR="0033518E">
        <w:fldChar w:fldCharType="end"/>
      </w:r>
      <w:r w:rsidRPr="006441E4">
        <w:t xml:space="preserve">, the </w:t>
      </w:r>
      <w:r w:rsidR="00910FD9" w:rsidRPr="006441E4">
        <w:rPr>
          <w:b/>
        </w:rPr>
        <w:t xml:space="preserve">GTB </w:t>
      </w:r>
      <w:r w:rsidRPr="006441E4">
        <w:t xml:space="preserve">must at that time </w:t>
      </w:r>
      <w:r w:rsidRPr="006441E4">
        <w:rPr>
          <w:b/>
        </w:rPr>
        <w:t>publicly disclose</w:t>
      </w:r>
      <w:r w:rsidRPr="006441E4">
        <w:t xml:space="preserve"> a certificate in the form set out in Schedule </w:t>
      </w:r>
      <w:r w:rsidR="007C2636">
        <w:t>17</w:t>
      </w:r>
      <w:r w:rsidR="00AA162B" w:rsidRPr="006441E4">
        <w:t xml:space="preserve"> </w:t>
      </w:r>
      <w:r w:rsidRPr="006441E4">
        <w:t xml:space="preserve">in respect of that information, duly signed by </w:t>
      </w:r>
      <w:r w:rsidR="00A20821" w:rsidRPr="006441E4">
        <w:t>2</w:t>
      </w:r>
      <w:r w:rsidRPr="006441E4">
        <w:t xml:space="preserve"> </w:t>
      </w:r>
      <w:r w:rsidRPr="006441E4">
        <w:rPr>
          <w:b/>
        </w:rPr>
        <w:t>directors</w:t>
      </w:r>
      <w:r w:rsidRPr="006441E4">
        <w:t xml:space="preserve"> of the </w:t>
      </w:r>
      <w:r w:rsidR="00910FD9" w:rsidRPr="006441E4">
        <w:rPr>
          <w:b/>
        </w:rPr>
        <w:t>GTB</w:t>
      </w:r>
      <w:r w:rsidRPr="006441E4">
        <w:t>.</w:t>
      </w:r>
      <w:bookmarkEnd w:id="218"/>
    </w:p>
    <w:p w:rsidR="00F40DAE" w:rsidRDefault="008D14EC">
      <w:pPr>
        <w:pStyle w:val="HeadingH4Clausetext"/>
        <w:tabs>
          <w:tab w:val="clear" w:pos="4679"/>
          <w:tab w:val="num" w:pos="709"/>
        </w:tabs>
      </w:pPr>
      <w:bookmarkStart w:id="219" w:name="_Ref329184336"/>
      <w:r w:rsidRPr="006441E4">
        <w:t>Where a</w:t>
      </w:r>
      <w:r w:rsidR="00910FD9" w:rsidRPr="006441E4">
        <w:t xml:space="preserve"> </w:t>
      </w:r>
      <w:r w:rsidR="00910FD9" w:rsidRPr="006441E4">
        <w:rPr>
          <w:b/>
        </w:rPr>
        <w:t xml:space="preserve">GTB </w:t>
      </w:r>
      <w:r w:rsidRPr="006441E4">
        <w:t xml:space="preserve">is required to </w:t>
      </w:r>
      <w:r w:rsidRPr="006441E4">
        <w:rPr>
          <w:b/>
        </w:rPr>
        <w:t>publicly disclose</w:t>
      </w:r>
      <w:r w:rsidRPr="006441E4">
        <w:t xml:space="preserve"> any information </w:t>
      </w:r>
      <w:r w:rsidR="00A20821" w:rsidRPr="006441E4">
        <w:t xml:space="preserve">under </w:t>
      </w:r>
      <w:r w:rsidRPr="006441E4">
        <w:t xml:space="preserve">any of </w:t>
      </w:r>
      <w:r w:rsidR="00B87986">
        <w:t xml:space="preserve">clauses </w:t>
      </w:r>
      <w:r w:rsidR="0033518E">
        <w:fldChar w:fldCharType="begin"/>
      </w:r>
      <w:r w:rsidR="00B87986">
        <w:instrText xml:space="preserve"> REF _Ref279613342 \w \h </w:instrText>
      </w:r>
      <w:r w:rsidR="0033518E">
        <w:fldChar w:fldCharType="separate"/>
      </w:r>
      <w:r w:rsidR="00B06C04">
        <w:t>2.3.1</w:t>
      </w:r>
      <w:r w:rsidR="0033518E">
        <w:fldChar w:fldCharType="end"/>
      </w:r>
      <w:r w:rsidR="00B87986">
        <w:t xml:space="preserve">, </w:t>
      </w:r>
      <w:r w:rsidR="0033518E">
        <w:fldChar w:fldCharType="begin"/>
      </w:r>
      <w:r w:rsidR="00B87986">
        <w:instrText xml:space="preserve"> REF _Ref328953470 \w \h </w:instrText>
      </w:r>
      <w:r w:rsidR="0033518E">
        <w:fldChar w:fldCharType="separate"/>
      </w:r>
      <w:r w:rsidR="00B06C04">
        <w:t>2.3.2</w:t>
      </w:r>
      <w:r w:rsidR="0033518E">
        <w:fldChar w:fldCharType="end"/>
      </w:r>
      <w:r w:rsidR="00B87986">
        <w:t xml:space="preserve">, </w:t>
      </w:r>
      <w:r w:rsidR="0033518E">
        <w:fldChar w:fldCharType="begin"/>
      </w:r>
      <w:r w:rsidR="00B87986">
        <w:instrText xml:space="preserve"> REF _Ref329173172 \w \h </w:instrText>
      </w:r>
      <w:r w:rsidR="0033518E">
        <w:fldChar w:fldCharType="separate"/>
      </w:r>
      <w:r w:rsidR="00B06C04">
        <w:t>2.4.18</w:t>
      </w:r>
      <w:r w:rsidR="0033518E">
        <w:fldChar w:fldCharType="end"/>
      </w:r>
      <w:r w:rsidR="00B87986">
        <w:t xml:space="preserve">, </w:t>
      </w:r>
      <w:r w:rsidR="0033518E">
        <w:fldChar w:fldCharType="begin"/>
      </w:r>
      <w:r w:rsidR="00B87986">
        <w:instrText xml:space="preserve"> REF _Ref329178711 \w \h </w:instrText>
      </w:r>
      <w:r w:rsidR="0033518E">
        <w:fldChar w:fldCharType="separate"/>
      </w:r>
      <w:r w:rsidR="00B06C04">
        <w:t>2.5.1</w:t>
      </w:r>
      <w:r w:rsidR="0033518E">
        <w:fldChar w:fldCharType="end"/>
      </w:r>
      <w:r w:rsidR="00B87986">
        <w:t xml:space="preserve">, </w:t>
      </w:r>
      <w:r w:rsidR="0033518E">
        <w:fldChar w:fldCharType="begin"/>
      </w:r>
      <w:r w:rsidR="00B87986">
        <w:instrText xml:space="preserve"> REF _Ref328811155 \w \h </w:instrText>
      </w:r>
      <w:r w:rsidR="0033518E">
        <w:fldChar w:fldCharType="separate"/>
      </w:r>
      <w:r w:rsidR="00B06C04">
        <w:t>2.7.1</w:t>
      </w:r>
      <w:r w:rsidR="0033518E">
        <w:fldChar w:fldCharType="end"/>
      </w:r>
      <w:r w:rsidR="00B87986">
        <w:t xml:space="preserve">, and </w:t>
      </w:r>
      <w:r w:rsidR="0033518E">
        <w:fldChar w:fldCharType="begin"/>
      </w:r>
      <w:r w:rsidR="00B87986">
        <w:instrText xml:space="preserve"> REF _Ref329181671 \w \h </w:instrText>
      </w:r>
      <w:r w:rsidR="0033518E">
        <w:fldChar w:fldCharType="separate"/>
      </w:r>
      <w:r w:rsidR="00B06C04">
        <w:t>2.7.2</w:t>
      </w:r>
      <w:r w:rsidR="0033518E">
        <w:fldChar w:fldCharType="end"/>
      </w:r>
      <w:r w:rsidR="00B87986">
        <w:t xml:space="preserve"> </w:t>
      </w:r>
      <w:r w:rsidRPr="006441E4">
        <w:t xml:space="preserve">the </w:t>
      </w:r>
      <w:r w:rsidR="00BD252C" w:rsidRPr="006441E4">
        <w:rPr>
          <w:b/>
        </w:rPr>
        <w:t>GTB</w:t>
      </w:r>
      <w:r w:rsidR="008A7470" w:rsidRPr="006441E4">
        <w:t xml:space="preserve"> </w:t>
      </w:r>
      <w:r w:rsidRPr="006441E4">
        <w:t xml:space="preserve">must at that time publicly disclose a certificate in the form set out in Schedule </w:t>
      </w:r>
      <w:r w:rsidR="00164F64">
        <w:t>18</w:t>
      </w:r>
      <w:r w:rsidRPr="006441E4">
        <w:t xml:space="preserve"> in respect of that information, duly signed by </w:t>
      </w:r>
      <w:r w:rsidR="00A20821" w:rsidRPr="006441E4">
        <w:t>2</w:t>
      </w:r>
      <w:r w:rsidRPr="006441E4">
        <w:t xml:space="preserve"> </w:t>
      </w:r>
      <w:r w:rsidRPr="006441E4">
        <w:rPr>
          <w:b/>
        </w:rPr>
        <w:t xml:space="preserve">directors </w:t>
      </w:r>
      <w:r w:rsidRPr="006441E4">
        <w:t xml:space="preserve">of the </w:t>
      </w:r>
      <w:r w:rsidR="008A7470" w:rsidRPr="006441E4">
        <w:rPr>
          <w:b/>
        </w:rPr>
        <w:t>G</w:t>
      </w:r>
      <w:r w:rsidR="00910FD9" w:rsidRPr="006441E4">
        <w:rPr>
          <w:b/>
        </w:rPr>
        <w:t>T</w:t>
      </w:r>
      <w:r w:rsidR="008A7470" w:rsidRPr="006441E4">
        <w:rPr>
          <w:b/>
        </w:rPr>
        <w:t>B</w:t>
      </w:r>
      <w:r w:rsidRPr="006441E4">
        <w:t>.</w:t>
      </w:r>
      <w:bookmarkEnd w:id="219"/>
    </w:p>
    <w:p w:rsidR="00F40DAE" w:rsidRDefault="008D14EC">
      <w:pPr>
        <w:pStyle w:val="HeadingH4Clausetext"/>
        <w:tabs>
          <w:tab w:val="clear" w:pos="4679"/>
          <w:tab w:val="num" w:pos="709"/>
        </w:tabs>
      </w:pPr>
      <w:bookmarkStart w:id="220" w:name="_Ref329184596"/>
      <w:r w:rsidRPr="006441E4">
        <w:t>Where a</w:t>
      </w:r>
      <w:r w:rsidR="00910FD9" w:rsidRPr="006441E4">
        <w:t xml:space="preserve"> </w:t>
      </w:r>
      <w:r w:rsidR="00910FD9" w:rsidRPr="006441E4">
        <w:rPr>
          <w:b/>
        </w:rPr>
        <w:t xml:space="preserve">GTB </w:t>
      </w:r>
      <w:r w:rsidRPr="006441E4">
        <w:t xml:space="preserve">is required to </w:t>
      </w:r>
      <w:r w:rsidRPr="006441E4">
        <w:rPr>
          <w:b/>
        </w:rPr>
        <w:t>publicly disclose</w:t>
      </w:r>
      <w:r w:rsidRPr="006441E4">
        <w:t xml:space="preserve"> any information </w:t>
      </w:r>
      <w:r w:rsidR="00A20821" w:rsidRPr="006441E4">
        <w:t xml:space="preserve">under </w:t>
      </w:r>
      <w:r w:rsidR="00FE4411" w:rsidRPr="006441E4">
        <w:t>clause</w:t>
      </w:r>
      <w:r w:rsidRPr="006441E4">
        <w:t xml:space="preserve"> </w:t>
      </w:r>
      <w:r w:rsidR="0033518E">
        <w:fldChar w:fldCharType="begin"/>
      </w:r>
      <w:r w:rsidR="008F3AE5">
        <w:instrText xml:space="preserve"> REF _Ref279613542 \r \h </w:instrText>
      </w:r>
      <w:r w:rsidR="0033518E">
        <w:fldChar w:fldCharType="separate"/>
      </w:r>
      <w:r w:rsidR="00B06C04">
        <w:t>2.12.1</w:t>
      </w:r>
      <w:r w:rsidR="0033518E">
        <w:fldChar w:fldCharType="end"/>
      </w:r>
      <w:r w:rsidR="008F3AE5">
        <w:t xml:space="preserve"> and </w:t>
      </w:r>
      <w:r w:rsidR="0033518E">
        <w:fldChar w:fldCharType="begin"/>
      </w:r>
      <w:r w:rsidR="008F3AE5">
        <w:instrText xml:space="preserve"> REF _Ref329179617 \r \h </w:instrText>
      </w:r>
      <w:r w:rsidR="0033518E">
        <w:fldChar w:fldCharType="separate"/>
      </w:r>
      <w:r w:rsidR="00B06C04">
        <w:t>2.12.2</w:t>
      </w:r>
      <w:r w:rsidR="0033518E">
        <w:fldChar w:fldCharType="end"/>
      </w:r>
      <w:r w:rsidRPr="006441E4">
        <w:t xml:space="preserve">, the </w:t>
      </w:r>
      <w:r w:rsidR="00910FD9" w:rsidRPr="006441E4">
        <w:rPr>
          <w:b/>
        </w:rPr>
        <w:t xml:space="preserve">GTB </w:t>
      </w:r>
      <w:r w:rsidRPr="006441E4">
        <w:t xml:space="preserve">must at that time </w:t>
      </w:r>
      <w:r w:rsidRPr="006441E4">
        <w:rPr>
          <w:b/>
        </w:rPr>
        <w:t xml:space="preserve">publicly disclose </w:t>
      </w:r>
      <w:r w:rsidRPr="006441E4">
        <w:t xml:space="preserve">a certificate in the form set out in Schedule </w:t>
      </w:r>
      <w:r w:rsidR="00164F64">
        <w:t>19</w:t>
      </w:r>
      <w:r w:rsidRPr="006441E4">
        <w:t xml:space="preserve"> in respect of that information, duly signed by </w:t>
      </w:r>
      <w:r w:rsidR="00FE4411" w:rsidRPr="006441E4">
        <w:t>2</w:t>
      </w:r>
      <w:r w:rsidRPr="006441E4">
        <w:t xml:space="preserve"> </w:t>
      </w:r>
      <w:r w:rsidRPr="006441E4">
        <w:rPr>
          <w:b/>
        </w:rPr>
        <w:t>directors</w:t>
      </w:r>
      <w:r w:rsidRPr="006441E4">
        <w:t xml:space="preserve"> of the </w:t>
      </w:r>
      <w:r w:rsidR="00910FD9" w:rsidRPr="006441E4">
        <w:rPr>
          <w:b/>
        </w:rPr>
        <w:t>GTB</w:t>
      </w:r>
      <w:r w:rsidRPr="006441E4">
        <w:t>.</w:t>
      </w:r>
      <w:bookmarkEnd w:id="220"/>
    </w:p>
    <w:p w:rsidR="00EC4EDD" w:rsidRPr="006441E4" w:rsidRDefault="00EC4EDD" w:rsidP="002B1F59">
      <w:pPr>
        <w:pStyle w:val="Para1"/>
        <w:numPr>
          <w:ilvl w:val="0"/>
          <w:numId w:val="0"/>
        </w:numPr>
        <w:spacing w:line="264" w:lineRule="auto"/>
        <w:ind w:left="709"/>
        <w:sectPr w:rsidR="00EC4EDD" w:rsidRPr="006441E4" w:rsidSect="000A7887">
          <w:type w:val="continuous"/>
          <w:pgSz w:w="11907" w:h="16840" w:code="9"/>
          <w:pgMar w:top="1440" w:right="1440" w:bottom="1440" w:left="1440" w:header="1134" w:footer="431" w:gutter="0"/>
          <w:cols w:space="720"/>
          <w:titlePg/>
        </w:sectPr>
      </w:pPr>
    </w:p>
    <w:p w:rsidR="00F40DAE" w:rsidRDefault="00870D08">
      <w:pPr>
        <w:pStyle w:val="HeadingH3SectionHeading"/>
      </w:pPr>
      <w:bookmarkStart w:id="221" w:name="_Ref329061492"/>
      <w:bookmarkStart w:id="222" w:name="_Toc329296366"/>
      <w:r w:rsidRPr="006441E4">
        <w:t>RETENTION AND CONTINUING DISCLOSURES</w:t>
      </w:r>
      <w:bookmarkEnd w:id="221"/>
      <w:bookmarkEnd w:id="222"/>
    </w:p>
    <w:p w:rsidR="00F40DAE" w:rsidRDefault="008D14EC">
      <w:pPr>
        <w:pStyle w:val="HeadingH4Clausetext"/>
        <w:tabs>
          <w:tab w:val="clear" w:pos="4679"/>
          <w:tab w:val="num" w:pos="709"/>
        </w:tabs>
      </w:pPr>
      <w:bookmarkStart w:id="223" w:name="_Ref329173692"/>
      <w:r w:rsidRPr="006441E4">
        <w:t>A</w:t>
      </w:r>
      <w:r w:rsidR="00910FD9" w:rsidRPr="006441E4">
        <w:t xml:space="preserve"> </w:t>
      </w:r>
      <w:r w:rsidR="00910FD9" w:rsidRPr="006441E4">
        <w:rPr>
          <w:b/>
        </w:rPr>
        <w:t>GTB</w:t>
      </w:r>
      <w:r w:rsidR="00555C83" w:rsidRPr="006441E4">
        <w:t xml:space="preserve"> </w:t>
      </w:r>
      <w:r w:rsidRPr="006441E4">
        <w:t xml:space="preserve">that is required by this determination to </w:t>
      </w:r>
      <w:r w:rsidRPr="006441E4">
        <w:rPr>
          <w:b/>
        </w:rPr>
        <w:t>publicly disclose</w:t>
      </w:r>
      <w:r w:rsidRPr="006441E4">
        <w:t xml:space="preserve"> any information must retain, and continuously </w:t>
      </w:r>
      <w:r w:rsidRPr="006441E4">
        <w:rPr>
          <w:b/>
        </w:rPr>
        <w:t>publicly disclose</w:t>
      </w:r>
      <w:r w:rsidRPr="006441E4">
        <w:t xml:space="preserve">, that information for at least seven years from the date that information is first required to be </w:t>
      </w:r>
      <w:r w:rsidRPr="006441E4">
        <w:rPr>
          <w:b/>
        </w:rPr>
        <w:t>publicly disclosed</w:t>
      </w:r>
      <w:r w:rsidRPr="006441E4">
        <w:t>.</w:t>
      </w:r>
      <w:bookmarkEnd w:id="223"/>
    </w:p>
    <w:p w:rsidR="00A21C12" w:rsidRDefault="00A21C12">
      <w:pPr>
        <w:rPr>
          <w:b/>
          <w:caps/>
        </w:rPr>
      </w:pPr>
      <w:r>
        <w:rPr>
          <w:caps/>
        </w:rPr>
        <w:br w:type="page"/>
      </w:r>
    </w:p>
    <w:p w:rsidR="00EC4EDD" w:rsidRPr="006441E4" w:rsidRDefault="00EC4EDD" w:rsidP="002B1F59">
      <w:pPr>
        <w:pStyle w:val="Heading1"/>
        <w:keepNext w:val="0"/>
        <w:tabs>
          <w:tab w:val="left" w:pos="709"/>
        </w:tabs>
        <w:spacing w:before="240" w:after="240" w:line="264" w:lineRule="auto"/>
        <w:ind w:left="851" w:hanging="851"/>
        <w:rPr>
          <w:caps/>
          <w:sz w:val="24"/>
        </w:rPr>
        <w:sectPr w:rsidR="00EC4EDD" w:rsidRPr="006441E4" w:rsidSect="000A7887">
          <w:type w:val="continuous"/>
          <w:pgSz w:w="11907" w:h="16840" w:code="9"/>
          <w:pgMar w:top="1440" w:right="1440" w:bottom="1440" w:left="1440" w:header="1134" w:footer="431" w:gutter="0"/>
          <w:cols w:space="720"/>
          <w:titlePg/>
        </w:sectPr>
      </w:pPr>
    </w:p>
    <w:p w:rsidR="00F40DAE" w:rsidRDefault="00870D08">
      <w:pPr>
        <w:pStyle w:val="HeadingH3SectionHeading"/>
      </w:pPr>
      <w:bookmarkStart w:id="224" w:name="_Ref329061298"/>
      <w:bookmarkStart w:id="225" w:name="_Ref329094411"/>
      <w:bookmarkStart w:id="226" w:name="_Toc329296367"/>
      <w:r w:rsidRPr="006441E4">
        <w:t>EXEMPTIONS</w:t>
      </w:r>
      <w:bookmarkEnd w:id="224"/>
      <w:bookmarkEnd w:id="225"/>
      <w:bookmarkEnd w:id="226"/>
    </w:p>
    <w:p w:rsidR="00F40DAE" w:rsidRDefault="006E6F5C">
      <w:pPr>
        <w:pStyle w:val="HeadingH4Clausetext"/>
        <w:tabs>
          <w:tab w:val="clear" w:pos="4679"/>
          <w:tab w:val="num" w:pos="709"/>
        </w:tabs>
      </w:pPr>
      <w:r w:rsidRPr="006441E4">
        <w:t xml:space="preserve">The </w:t>
      </w:r>
      <w:r w:rsidRPr="006441E4">
        <w:rPr>
          <w:b/>
        </w:rPr>
        <w:t xml:space="preserve">Commission </w:t>
      </w:r>
      <w:r w:rsidRPr="006441E4">
        <w:t xml:space="preserve">may at any time, by written notice to a </w:t>
      </w:r>
      <w:r w:rsidR="00910FD9" w:rsidRPr="006441E4">
        <w:rPr>
          <w:b/>
        </w:rPr>
        <w:t>GTB</w:t>
      </w:r>
      <w:r w:rsidRPr="006441E4">
        <w:t>,-</w:t>
      </w:r>
    </w:p>
    <w:p w:rsidR="00F40DAE" w:rsidRDefault="00DD4AA6">
      <w:pPr>
        <w:pStyle w:val="HeadingH5ClausesubtextL1"/>
      </w:pPr>
      <w:r w:rsidRPr="006441E4">
        <w:t>E</w:t>
      </w:r>
      <w:r w:rsidR="006E6F5C" w:rsidRPr="006441E4">
        <w:t xml:space="preserve">xempt the </w:t>
      </w:r>
      <w:r w:rsidR="00910FD9" w:rsidRPr="006441E4">
        <w:rPr>
          <w:b/>
        </w:rPr>
        <w:t>GTB</w:t>
      </w:r>
      <w:r w:rsidR="00910FD9" w:rsidRPr="006441E4">
        <w:t xml:space="preserve"> </w:t>
      </w:r>
      <w:r w:rsidR="006E6F5C" w:rsidRPr="006441E4">
        <w:t xml:space="preserve">from any or all of the requirements of this determination, for a period and on such terms and conditions as the </w:t>
      </w:r>
      <w:r w:rsidR="006E6F5C" w:rsidRPr="006441E4">
        <w:rPr>
          <w:b/>
        </w:rPr>
        <w:t xml:space="preserve">Commission </w:t>
      </w:r>
      <w:r w:rsidR="006E6F5C" w:rsidRPr="006441E4">
        <w:t>specifies in the notice; and</w:t>
      </w:r>
    </w:p>
    <w:p w:rsidR="00F40DAE" w:rsidRDefault="00DD4AA6">
      <w:pPr>
        <w:pStyle w:val="HeadingH5ClausesubtextL1"/>
      </w:pPr>
      <w:r w:rsidRPr="006441E4">
        <w:t>A</w:t>
      </w:r>
      <w:r w:rsidR="006E6F5C" w:rsidRPr="006441E4">
        <w:t>mend or revoke any such exemption</w:t>
      </w:r>
      <w:r w:rsidR="00817B2E">
        <w:t>.</w:t>
      </w:r>
    </w:p>
    <w:p w:rsidR="00C80BBC" w:rsidRPr="006441E4" w:rsidRDefault="00C80BBC" w:rsidP="002B1F59">
      <w:pPr>
        <w:pStyle w:val="BodyText"/>
        <w:spacing w:line="264" w:lineRule="auto"/>
      </w:pPr>
    </w:p>
    <w:p w:rsidR="00C80BBC" w:rsidRPr="006441E4" w:rsidRDefault="00C80BBC" w:rsidP="002B1F59">
      <w:pPr>
        <w:pStyle w:val="BodyText"/>
        <w:spacing w:line="264" w:lineRule="auto"/>
        <w:sectPr w:rsidR="00C80BBC" w:rsidRPr="006441E4" w:rsidSect="000A7887">
          <w:type w:val="continuous"/>
          <w:pgSz w:w="11907" w:h="16840" w:code="9"/>
          <w:pgMar w:top="1440" w:right="1440" w:bottom="1440" w:left="1440" w:header="1134" w:footer="431" w:gutter="0"/>
          <w:cols w:space="720"/>
          <w:titlePg/>
        </w:sectPr>
      </w:pPr>
    </w:p>
    <w:p w:rsidR="00F40DAE" w:rsidRDefault="00870D08">
      <w:pPr>
        <w:pStyle w:val="HeadingH3SectionHeading"/>
      </w:pPr>
      <w:bookmarkStart w:id="227" w:name="_Ref329061310"/>
      <w:bookmarkStart w:id="228" w:name="_Ref329061512"/>
      <w:bookmarkStart w:id="229" w:name="_Ref329080209"/>
      <w:bookmarkStart w:id="230" w:name="_Ref329176011"/>
      <w:bookmarkStart w:id="231" w:name="_Toc329296368"/>
      <w:r w:rsidRPr="006441E4">
        <w:t>TRANSITIONAL PROVISIONS</w:t>
      </w:r>
      <w:bookmarkEnd w:id="227"/>
      <w:bookmarkEnd w:id="228"/>
      <w:bookmarkEnd w:id="229"/>
      <w:bookmarkEnd w:id="230"/>
      <w:bookmarkEnd w:id="231"/>
    </w:p>
    <w:p w:rsidR="00F40DAE" w:rsidRDefault="00E410D4">
      <w:pPr>
        <w:pStyle w:val="HeadingH4Clausetext"/>
        <w:tabs>
          <w:tab w:val="clear" w:pos="4679"/>
          <w:tab w:val="num" w:pos="709"/>
        </w:tabs>
      </w:pPr>
      <w:bookmarkStart w:id="232" w:name="_Ref279613542"/>
      <w:r w:rsidRPr="006441E4">
        <w:t xml:space="preserve">Subject to clause </w:t>
      </w:r>
      <w:r w:rsidR="0033518E">
        <w:fldChar w:fldCharType="begin"/>
      </w:r>
      <w:r w:rsidR="00C96368">
        <w:instrText xml:space="preserve"> REF _Ref329179617 \r \h </w:instrText>
      </w:r>
      <w:r w:rsidR="0033518E">
        <w:fldChar w:fldCharType="separate"/>
      </w:r>
      <w:r w:rsidR="00B06C04">
        <w:t>2.12.2</w:t>
      </w:r>
      <w:r w:rsidR="0033518E">
        <w:fldChar w:fldCharType="end"/>
      </w:r>
      <w:r w:rsidRPr="006441E4">
        <w:t xml:space="preserve">, within </w:t>
      </w:r>
      <w:r w:rsidR="00FE7F50">
        <w:t>10</w:t>
      </w:r>
      <w:r w:rsidR="001B1C74" w:rsidRPr="006441E4">
        <w:t xml:space="preserve"> </w:t>
      </w:r>
      <w:r w:rsidRPr="006441E4">
        <w:t xml:space="preserve">months after the end of the </w:t>
      </w:r>
      <w:r w:rsidRPr="006441E4">
        <w:rPr>
          <w:b/>
        </w:rPr>
        <w:t>disclosure year</w:t>
      </w:r>
      <w:r w:rsidRPr="006441E4">
        <w:t xml:space="preserve"> 2012</w:t>
      </w:r>
      <w:r w:rsidR="00FE7F50">
        <w:t xml:space="preserve"> in the case Vector Limited, and 6 months </w:t>
      </w:r>
      <w:r w:rsidR="00FE7F50" w:rsidRPr="006441E4">
        <w:t xml:space="preserve">after the end of the </w:t>
      </w:r>
      <w:r w:rsidR="00FE7F50" w:rsidRPr="006441E4">
        <w:rPr>
          <w:b/>
        </w:rPr>
        <w:t>disclosure year</w:t>
      </w:r>
      <w:r w:rsidR="00FE7F50" w:rsidRPr="006441E4">
        <w:t xml:space="preserve"> 2012</w:t>
      </w:r>
      <w:r w:rsidR="00FE7F50">
        <w:t xml:space="preserve"> in the case of </w:t>
      </w:r>
      <w:r w:rsidR="006B3950">
        <w:t>Maui Development Limited</w:t>
      </w:r>
      <w:r w:rsidRPr="006441E4">
        <w:t xml:space="preserve">, </w:t>
      </w:r>
      <w:r w:rsidR="001B1C74" w:rsidRPr="006441E4">
        <w:t xml:space="preserve">each </w:t>
      </w:r>
      <w:r w:rsidR="00BD252C" w:rsidRPr="006441E4">
        <w:rPr>
          <w:b/>
        </w:rPr>
        <w:t>GTB</w:t>
      </w:r>
      <w:r w:rsidRPr="006441E4">
        <w:t xml:space="preserve"> must:</w:t>
      </w:r>
      <w:bookmarkEnd w:id="232"/>
    </w:p>
    <w:p w:rsidR="00F40DAE" w:rsidRDefault="00DD4AA6">
      <w:pPr>
        <w:pStyle w:val="HeadingH5ClausesubtextL1"/>
      </w:pPr>
      <w:bookmarkStart w:id="233" w:name="_Ref313451010"/>
      <w:r w:rsidRPr="006441E4">
        <w:t>C</w:t>
      </w:r>
      <w:r w:rsidR="00E410D4" w:rsidRPr="006441E4">
        <w:t>omplet</w:t>
      </w:r>
      <w:r w:rsidR="001B1C74" w:rsidRPr="006441E4">
        <w:t>e</w:t>
      </w:r>
      <w:r w:rsidR="00E410D4" w:rsidRPr="006441E4">
        <w:t xml:space="preserve"> the Report on Transitional Financial Information set out in Schedule </w:t>
      </w:r>
      <w:r w:rsidR="00FE7F50">
        <w:t>4c</w:t>
      </w:r>
      <w:r w:rsidR="00E410D4" w:rsidRPr="006441E4">
        <w:t>;</w:t>
      </w:r>
      <w:bookmarkEnd w:id="233"/>
    </w:p>
    <w:p w:rsidR="00B2401E" w:rsidRDefault="00DD4AA6">
      <w:pPr>
        <w:pStyle w:val="HeadingH5ClausesubtextL1"/>
      </w:pPr>
      <w:r w:rsidRPr="006441E4">
        <w:t>C</w:t>
      </w:r>
      <w:r w:rsidR="00E410D4" w:rsidRPr="006441E4">
        <w:t>omplet</w:t>
      </w:r>
      <w:r w:rsidR="001B1C74" w:rsidRPr="006441E4">
        <w:t>e</w:t>
      </w:r>
      <w:r w:rsidR="00E410D4" w:rsidRPr="006441E4">
        <w:t xml:space="preserve"> the Report on Asset Allocations set out in Schedule </w:t>
      </w:r>
      <w:r w:rsidR="00FE7F50">
        <w:t>4a</w:t>
      </w:r>
      <w:r w:rsidR="00E410D4" w:rsidRPr="006441E4">
        <w:t xml:space="preserve"> by inserting all information relating to the</w:t>
      </w:r>
      <w:r w:rsidR="00FE0571" w:rsidRPr="006441E4">
        <w:t xml:space="preserve"> asset allocation for the </w:t>
      </w:r>
      <w:r w:rsidR="00FE0571" w:rsidRPr="006441E4">
        <w:rPr>
          <w:b/>
        </w:rPr>
        <w:t xml:space="preserve">total opening RAB value </w:t>
      </w:r>
      <w:r w:rsidR="00FE0571" w:rsidRPr="006441E4">
        <w:t xml:space="preserve">disclosed in Schedule </w:t>
      </w:r>
      <w:r w:rsidR="00FE7F50">
        <w:t>4</w:t>
      </w:r>
      <w:r w:rsidR="00E410D4" w:rsidRPr="006441E4">
        <w:t xml:space="preserve">; </w:t>
      </w:r>
    </w:p>
    <w:p w:rsidR="00F40DAE" w:rsidRDefault="00B2401E">
      <w:pPr>
        <w:pStyle w:val="HeadingH5ClausesubtextL1"/>
      </w:pPr>
      <w:r>
        <w:t xml:space="preserve">Provide explanatory comment in Schedule 14b in relation to transitional financial information disclosed in Schedule 4c; </w:t>
      </w:r>
      <w:r w:rsidR="00E410D4" w:rsidRPr="006441E4">
        <w:t>and</w:t>
      </w:r>
    </w:p>
    <w:p w:rsidR="00F40DAE" w:rsidRDefault="00F86836">
      <w:pPr>
        <w:pStyle w:val="HeadingH5ClausesubtextL1"/>
      </w:pPr>
      <w:r w:rsidRPr="00F86836">
        <w:rPr>
          <w:b/>
        </w:rPr>
        <w:t>Publicly disclose</w:t>
      </w:r>
      <w:r w:rsidR="001B1C74" w:rsidRPr="006441E4">
        <w:t xml:space="preserve"> </w:t>
      </w:r>
      <w:r w:rsidR="00E410D4" w:rsidRPr="006441E4">
        <w:t>those reports.</w:t>
      </w:r>
      <w:bookmarkStart w:id="234" w:name="_Ref313451098"/>
    </w:p>
    <w:p w:rsidR="00F40DAE" w:rsidRDefault="00A927CC">
      <w:pPr>
        <w:pStyle w:val="HeadingH4Clausetext"/>
        <w:tabs>
          <w:tab w:val="clear" w:pos="4679"/>
          <w:tab w:val="num" w:pos="709"/>
        </w:tabs>
      </w:pPr>
      <w:bookmarkStart w:id="235" w:name="_Ref329179617"/>
      <w:r w:rsidRPr="006441E4">
        <w:t>Subject to clause</w:t>
      </w:r>
      <w:r w:rsidR="00C96368">
        <w:t xml:space="preserve"> </w:t>
      </w:r>
      <w:r w:rsidR="0033518E">
        <w:fldChar w:fldCharType="begin"/>
      </w:r>
      <w:r w:rsidR="00C96368">
        <w:instrText xml:space="preserve"> REF  _Ref329179630 \h \w </w:instrText>
      </w:r>
      <w:r w:rsidR="0033518E">
        <w:fldChar w:fldCharType="separate"/>
      </w:r>
      <w:r w:rsidR="00B06C04">
        <w:t>2.12.3</w:t>
      </w:r>
      <w:r w:rsidR="0033518E">
        <w:fldChar w:fldCharType="end"/>
      </w:r>
      <w:r w:rsidRPr="006441E4">
        <w:t xml:space="preserve">, where a </w:t>
      </w:r>
      <w:r w:rsidRPr="006441E4">
        <w:rPr>
          <w:b/>
        </w:rPr>
        <w:t>GTB</w:t>
      </w:r>
      <w:r w:rsidRPr="006441E4">
        <w:t xml:space="preserve"> has previously elected to undertake an adjustment in accordance with clause 2.2.1 of the </w:t>
      </w:r>
      <w:r w:rsidRPr="006441E4">
        <w:rPr>
          <w:b/>
        </w:rPr>
        <w:t>IM Determination</w:t>
      </w:r>
      <w:r w:rsidR="00FE4411" w:rsidRPr="006441E4">
        <w:t xml:space="preserve">, </w:t>
      </w:r>
      <w:r w:rsidR="008E23D5" w:rsidRPr="006441E4">
        <w:t xml:space="preserve">within </w:t>
      </w:r>
      <w:r w:rsidR="008E23D5">
        <w:t>10</w:t>
      </w:r>
      <w:r w:rsidR="008E23D5" w:rsidRPr="006441E4">
        <w:t xml:space="preserve"> months after the end of the </w:t>
      </w:r>
      <w:r w:rsidR="008E23D5" w:rsidRPr="006441E4">
        <w:rPr>
          <w:b/>
        </w:rPr>
        <w:t>disclosure year</w:t>
      </w:r>
      <w:r w:rsidR="008E23D5" w:rsidRPr="006441E4">
        <w:t xml:space="preserve"> 2012</w:t>
      </w:r>
      <w:r w:rsidR="008E23D5">
        <w:t xml:space="preserve"> in the case Vector Limited, and 6 months </w:t>
      </w:r>
      <w:r w:rsidR="008E23D5" w:rsidRPr="006441E4">
        <w:t xml:space="preserve">after the end of the </w:t>
      </w:r>
      <w:r w:rsidR="008E23D5" w:rsidRPr="006441E4">
        <w:rPr>
          <w:b/>
        </w:rPr>
        <w:t>disclosure year</w:t>
      </w:r>
      <w:r w:rsidR="008E23D5" w:rsidRPr="006441E4">
        <w:t xml:space="preserve"> 2012</w:t>
      </w:r>
      <w:r w:rsidR="008E23D5">
        <w:t xml:space="preserve"> in the case of Maui Development Limited</w:t>
      </w:r>
      <w:r w:rsidR="008E23D5" w:rsidRPr="006441E4" w:rsidDel="008E23D5">
        <w:t xml:space="preserve"> </w:t>
      </w:r>
      <w:r w:rsidRPr="006441E4">
        <w:t xml:space="preserve">the </w:t>
      </w:r>
      <w:r w:rsidRPr="006441E4">
        <w:rPr>
          <w:b/>
        </w:rPr>
        <w:t>GTB</w:t>
      </w:r>
      <w:r w:rsidRPr="006441E4">
        <w:t xml:space="preserve"> must</w:t>
      </w:r>
      <w:r w:rsidRPr="006441E4">
        <w:rPr>
          <w:b/>
        </w:rPr>
        <w:t xml:space="preserve"> publicly disclose</w:t>
      </w:r>
      <w:r w:rsidRPr="006441E4">
        <w:t xml:space="preserve"> the asset adjustment schedule and engineer’s report</w:t>
      </w:r>
      <w:r w:rsidRPr="006441E4">
        <w:rPr>
          <w:b/>
        </w:rPr>
        <w:t xml:space="preserve"> </w:t>
      </w:r>
      <w:r w:rsidRPr="006441E4">
        <w:t xml:space="preserve">that had previously been disclosed to the </w:t>
      </w:r>
      <w:r w:rsidRPr="006441E4">
        <w:rPr>
          <w:b/>
        </w:rPr>
        <w:t>Commission</w:t>
      </w:r>
      <w:r w:rsidRPr="006441E4">
        <w:t xml:space="preserve"> under the relevant Notice to Supply Information to the Commission issued under section 53ZD of the Act.</w:t>
      </w:r>
      <w:bookmarkEnd w:id="234"/>
      <w:bookmarkEnd w:id="235"/>
    </w:p>
    <w:p w:rsidR="00F40DAE" w:rsidRDefault="00E410D4">
      <w:pPr>
        <w:pStyle w:val="HeadingH4Clausetext"/>
        <w:tabs>
          <w:tab w:val="clear" w:pos="4679"/>
          <w:tab w:val="num" w:pos="709"/>
        </w:tabs>
      </w:pPr>
      <w:bookmarkStart w:id="236" w:name="_Ref329179630"/>
      <w:r w:rsidRPr="006441E4">
        <w:t xml:space="preserve">Where a </w:t>
      </w:r>
      <w:r w:rsidR="00BD252C" w:rsidRPr="006441E4">
        <w:rPr>
          <w:b/>
        </w:rPr>
        <w:t>GTB</w:t>
      </w:r>
      <w:r w:rsidRPr="006441E4">
        <w:t xml:space="preserve"> has disclosed information to the </w:t>
      </w:r>
      <w:r w:rsidRPr="006441E4">
        <w:rPr>
          <w:b/>
        </w:rPr>
        <w:t>Commission</w:t>
      </w:r>
      <w:r w:rsidRPr="006441E4">
        <w:t xml:space="preserve"> on the </w:t>
      </w:r>
      <w:r w:rsidRPr="006441E4">
        <w:rPr>
          <w:b/>
        </w:rPr>
        <w:t>initial RAB</w:t>
      </w:r>
      <w:r w:rsidRPr="006441E4">
        <w:t xml:space="preserve"> and asset adjustment process as provided for under clauses 2.2.1 to 2.2.3 of the </w:t>
      </w:r>
      <w:r w:rsidRPr="006441E4">
        <w:rPr>
          <w:b/>
        </w:rPr>
        <w:t>IM Determination</w:t>
      </w:r>
      <w:r w:rsidRPr="006441E4">
        <w:t xml:space="preserve">, the information disclosed in accordance with </w:t>
      </w:r>
      <w:r w:rsidR="00B2401E">
        <w:t xml:space="preserve">clause </w:t>
      </w:r>
      <w:r w:rsidR="0033518E">
        <w:fldChar w:fldCharType="begin"/>
      </w:r>
      <w:r w:rsidR="00B2401E">
        <w:instrText xml:space="preserve"> REF _Ref279613542 \r \h </w:instrText>
      </w:r>
      <w:r w:rsidR="0033518E">
        <w:fldChar w:fldCharType="separate"/>
      </w:r>
      <w:r w:rsidR="00B06C04">
        <w:t>2.12.1</w:t>
      </w:r>
      <w:r w:rsidR="0033518E">
        <w:fldChar w:fldCharType="end"/>
      </w:r>
      <w:r w:rsidR="00B2401E">
        <w:t xml:space="preserve"> </w:t>
      </w:r>
      <w:r w:rsidRPr="006441E4">
        <w:t>must be consistent with that disclosure.</w:t>
      </w:r>
      <w:bookmarkEnd w:id="236"/>
    </w:p>
    <w:p w:rsidR="00F40DAE" w:rsidRDefault="00E410D4">
      <w:pPr>
        <w:pStyle w:val="HeadingH4Clausetext"/>
        <w:tabs>
          <w:tab w:val="clear" w:pos="4679"/>
          <w:tab w:val="num" w:pos="709"/>
        </w:tabs>
      </w:pPr>
      <w:bookmarkStart w:id="237" w:name="_Ref313451165"/>
      <w:r w:rsidRPr="006441E4">
        <w:t xml:space="preserve">Notwithstanding any requirements set out in </w:t>
      </w:r>
      <w:r w:rsidR="006F6456" w:rsidRPr="006441E4">
        <w:t xml:space="preserve">section </w:t>
      </w:r>
      <w:r w:rsidR="0033518E">
        <w:fldChar w:fldCharType="begin"/>
      </w:r>
      <w:r w:rsidR="00982695">
        <w:instrText xml:space="preserve"> REF _Ref329179791 \r \h </w:instrText>
      </w:r>
      <w:r w:rsidR="0033518E">
        <w:fldChar w:fldCharType="separate"/>
      </w:r>
      <w:r w:rsidR="00B06C04">
        <w:t>2.3</w:t>
      </w:r>
      <w:r w:rsidR="0033518E">
        <w:fldChar w:fldCharType="end"/>
      </w:r>
      <w:r w:rsidRPr="006441E4">
        <w:t xml:space="preserve"> of this determination, the following </w:t>
      </w:r>
      <w:r w:rsidR="00FE4411" w:rsidRPr="006441E4">
        <w:t xml:space="preserve">transitional provisions apply </w:t>
      </w:r>
      <w:r w:rsidRPr="006441E4">
        <w:t>in respect of the</w:t>
      </w:r>
      <w:r w:rsidR="00886832" w:rsidRPr="00886832">
        <w:t xml:space="preserve"> </w:t>
      </w:r>
      <w:r w:rsidR="00886832" w:rsidRPr="006441E4">
        <w:t>2012</w:t>
      </w:r>
      <w:r w:rsidRPr="006441E4">
        <w:t xml:space="preserve"> </w:t>
      </w:r>
      <w:r w:rsidRPr="006441E4">
        <w:rPr>
          <w:b/>
        </w:rPr>
        <w:t>disclosure year</w:t>
      </w:r>
      <w:r w:rsidRPr="006441E4">
        <w:t>:</w:t>
      </w:r>
      <w:bookmarkEnd w:id="237"/>
    </w:p>
    <w:p w:rsidR="00F40DAE" w:rsidRDefault="00FE4411">
      <w:pPr>
        <w:pStyle w:val="HeadingH5ClausesubtextL1"/>
      </w:pPr>
      <w:r w:rsidRPr="006441E4">
        <w:t xml:space="preserve">Information in </w:t>
      </w:r>
      <w:r w:rsidR="00B01B7B">
        <w:t>3(</w:t>
      </w:r>
      <w:proofErr w:type="spellStart"/>
      <w:r w:rsidR="00B01B7B">
        <w:t>i</w:t>
      </w:r>
      <w:proofErr w:type="spellEnd"/>
      <w:r w:rsidR="00B01B7B">
        <w:t>)</w:t>
      </w:r>
      <w:r w:rsidRPr="006441E4">
        <w:t xml:space="preserve"> of the Report on Return on Investment set out in Schedule </w:t>
      </w:r>
      <w:r w:rsidR="00B01B7B">
        <w:t>3</w:t>
      </w:r>
      <w:r w:rsidRPr="006441E4">
        <w:t xml:space="preserve"> related to </w:t>
      </w:r>
      <w:r w:rsidRPr="006441E4">
        <w:rPr>
          <w:b/>
        </w:rPr>
        <w:t>CY</w:t>
      </w:r>
      <w:r w:rsidRPr="006441E4">
        <w:t xml:space="preserve">-2 and </w:t>
      </w:r>
      <w:r w:rsidRPr="006441E4">
        <w:rPr>
          <w:b/>
        </w:rPr>
        <w:t>CY</w:t>
      </w:r>
      <w:r w:rsidRPr="006441E4">
        <w:t>-1 is not required to be disclosed</w:t>
      </w:r>
    </w:p>
    <w:p w:rsidR="00F40DAE" w:rsidRDefault="00FE4411">
      <w:pPr>
        <w:pStyle w:val="HeadingH5ClausesubtextL1"/>
      </w:pPr>
      <w:r w:rsidRPr="006441E4">
        <w:t xml:space="preserve">Information in </w:t>
      </w:r>
      <w:r w:rsidR="00B01B7B">
        <w:t>4(</w:t>
      </w:r>
      <w:proofErr w:type="spellStart"/>
      <w:r w:rsidR="00B01B7B">
        <w:t>i</w:t>
      </w:r>
      <w:proofErr w:type="spellEnd"/>
      <w:r w:rsidR="00B01B7B">
        <w:t>)</w:t>
      </w:r>
      <w:r w:rsidR="00B01B7B" w:rsidRPr="006441E4">
        <w:t xml:space="preserve"> </w:t>
      </w:r>
      <w:r w:rsidRPr="006441E4">
        <w:t xml:space="preserve">of the Report on </w:t>
      </w:r>
      <w:r w:rsidR="00B01B7B">
        <w:t xml:space="preserve">the Value of the </w:t>
      </w:r>
      <w:r w:rsidRPr="006441E4">
        <w:t xml:space="preserve">Regulatory Asset Base </w:t>
      </w:r>
      <w:r w:rsidR="00B01B7B">
        <w:t>(</w:t>
      </w:r>
      <w:r w:rsidRPr="006441E4">
        <w:t>Roll</w:t>
      </w:r>
      <w:r w:rsidR="00B01B7B">
        <w:t>ed</w:t>
      </w:r>
      <w:r w:rsidRPr="006441E4">
        <w:t xml:space="preserve"> Forward</w:t>
      </w:r>
      <w:r w:rsidR="00B01B7B">
        <w:t>)</w:t>
      </w:r>
      <w:r w:rsidRPr="006441E4">
        <w:t xml:space="preserve"> set out in Schedule </w:t>
      </w:r>
      <w:r w:rsidR="00B01B7B">
        <w:t>4</w:t>
      </w:r>
      <w:r w:rsidRPr="006441E4">
        <w:t xml:space="preserve"> relating to </w:t>
      </w:r>
      <w:r w:rsidRPr="006441E4">
        <w:rPr>
          <w:b/>
        </w:rPr>
        <w:t>CY</w:t>
      </w:r>
      <w:r w:rsidRPr="006441E4">
        <w:t xml:space="preserve">-3 and </w:t>
      </w:r>
      <w:r w:rsidRPr="006441E4">
        <w:rPr>
          <w:b/>
        </w:rPr>
        <w:t>CY</w:t>
      </w:r>
      <w:r w:rsidRPr="006441E4">
        <w:t>-4 is not required to be disclosed</w:t>
      </w:r>
    </w:p>
    <w:p w:rsidR="00F40DAE" w:rsidRDefault="00FE4411">
      <w:pPr>
        <w:pStyle w:val="HeadingH5ClausesubtextL1"/>
      </w:pPr>
      <w:r w:rsidRPr="006441E4">
        <w:t xml:space="preserve">Information in the Report on </w:t>
      </w:r>
      <w:r w:rsidR="00B01B7B">
        <w:t xml:space="preserve">Capital </w:t>
      </w:r>
      <w:r w:rsidRPr="006441E4">
        <w:t xml:space="preserve">Expenditure </w:t>
      </w:r>
      <w:r w:rsidR="00B01B7B">
        <w:t xml:space="preserve">for the Disclosure Year </w:t>
      </w:r>
      <w:r w:rsidRPr="006441E4">
        <w:t xml:space="preserve">set out in Schedule 6 </w:t>
      </w:r>
      <w:r w:rsidR="00B01B7B">
        <w:t xml:space="preserve">and the Report on Operational Expenditure for the Disclosure Year set out in Schedule 7 </w:t>
      </w:r>
      <w:r w:rsidRPr="006441E4">
        <w:t>is not required to be disclosed</w:t>
      </w:r>
    </w:p>
    <w:p w:rsidR="00F40DAE" w:rsidRDefault="00FE4411">
      <w:pPr>
        <w:pStyle w:val="HeadingH5ClausesubtextL1"/>
      </w:pPr>
      <w:r w:rsidRPr="006441E4">
        <w:t xml:space="preserve">Information in the </w:t>
      </w:r>
      <w:r w:rsidR="00B01B7B">
        <w:t xml:space="preserve">Comparison of </w:t>
      </w:r>
      <w:r w:rsidRPr="006441E4">
        <w:t xml:space="preserve">Forecasts </w:t>
      </w:r>
      <w:r w:rsidR="00B01B7B">
        <w:t xml:space="preserve">to Actual Expenditure </w:t>
      </w:r>
      <w:r w:rsidRPr="006441E4">
        <w:t xml:space="preserve">set out in Schedule </w:t>
      </w:r>
      <w:r w:rsidR="00B01B7B">
        <w:t>2</w:t>
      </w:r>
      <w:r w:rsidRPr="006441E4">
        <w:t xml:space="preserve"> is not required to be disclosed</w:t>
      </w:r>
    </w:p>
    <w:p w:rsidR="00F40DAE" w:rsidRDefault="00FE4411">
      <w:pPr>
        <w:pStyle w:val="HeadingH5ClausesubtextL1"/>
      </w:pPr>
      <w:r w:rsidRPr="006441E4">
        <w:t xml:space="preserve">In completing the Report on Asset Allocations set out in Schedule </w:t>
      </w:r>
      <w:r w:rsidR="00B01B7B">
        <w:t>4a</w:t>
      </w:r>
      <w:r w:rsidRPr="006441E4">
        <w:t xml:space="preserve"> and the Report Supporting Asset Allocations set out in Schedule </w:t>
      </w:r>
      <w:r w:rsidR="00B01B7B">
        <w:t>4b</w:t>
      </w:r>
      <w:r w:rsidRPr="006441E4">
        <w:t xml:space="preserve">, all allocations may be disclosed under </w:t>
      </w:r>
      <w:r w:rsidRPr="006441E4">
        <w:rPr>
          <w:b/>
        </w:rPr>
        <w:t>other assets</w:t>
      </w:r>
    </w:p>
    <w:p w:rsidR="00F40DAE" w:rsidRDefault="00FE4411">
      <w:pPr>
        <w:pStyle w:val="HeadingH5ClausesubtextL1"/>
      </w:pPr>
      <w:r w:rsidRPr="006441E4">
        <w:t xml:space="preserve">In completing the Report on Cost Allocations set out in Schedule </w:t>
      </w:r>
      <w:r w:rsidR="00B01B7B">
        <w:t>5c</w:t>
      </w:r>
      <w:r w:rsidRPr="006441E4">
        <w:t xml:space="preserve"> and the Report Supporting Cost Allocations set out in Schedule </w:t>
      </w:r>
      <w:r w:rsidR="00B01B7B">
        <w:t>5d</w:t>
      </w:r>
      <w:r w:rsidRPr="006441E4">
        <w:t xml:space="preserve">, all allocations may be disclosed under </w:t>
      </w:r>
      <w:r w:rsidRPr="006441E4">
        <w:rPr>
          <w:b/>
        </w:rPr>
        <w:t>direct billing</w:t>
      </w:r>
    </w:p>
    <w:p w:rsidR="00F40DAE" w:rsidRDefault="00FE4411">
      <w:pPr>
        <w:pStyle w:val="HeadingH4Clausetext"/>
        <w:tabs>
          <w:tab w:val="clear" w:pos="4679"/>
          <w:tab w:val="num" w:pos="709"/>
        </w:tabs>
      </w:pPr>
      <w:r w:rsidRPr="006441E4">
        <w:t xml:space="preserve">Notwithstanding any requirements set out in section </w:t>
      </w:r>
      <w:r w:rsidR="0033518E">
        <w:fldChar w:fldCharType="begin"/>
      </w:r>
      <w:r w:rsidR="00982695">
        <w:instrText xml:space="preserve"> REF _Ref329179791 \r \h </w:instrText>
      </w:r>
      <w:r w:rsidR="0033518E">
        <w:fldChar w:fldCharType="separate"/>
      </w:r>
      <w:r w:rsidR="00B06C04">
        <w:t>2.3</w:t>
      </w:r>
      <w:r w:rsidR="0033518E">
        <w:fldChar w:fldCharType="end"/>
      </w:r>
      <w:r w:rsidR="00982695">
        <w:t xml:space="preserve"> </w:t>
      </w:r>
      <w:r w:rsidRPr="006441E4">
        <w:t>of this determination, the following transitional provisions apply in respect of the</w:t>
      </w:r>
      <w:r w:rsidR="00886832" w:rsidRPr="00886832">
        <w:t xml:space="preserve"> </w:t>
      </w:r>
      <w:r w:rsidRPr="006441E4">
        <w:rPr>
          <w:b/>
        </w:rPr>
        <w:t>disclosure year</w:t>
      </w:r>
      <w:r w:rsidR="00B01B7B">
        <w:rPr>
          <w:b/>
        </w:rPr>
        <w:t xml:space="preserve"> </w:t>
      </w:r>
      <w:r w:rsidR="00B01B7B" w:rsidRPr="006441E4">
        <w:t xml:space="preserve">2013 </w:t>
      </w:r>
      <w:r w:rsidRPr="006441E4">
        <w:t>:</w:t>
      </w:r>
    </w:p>
    <w:p w:rsidR="00F40DAE" w:rsidRDefault="00FE4411">
      <w:pPr>
        <w:pStyle w:val="HeadingH5ClausesubtextL1"/>
      </w:pPr>
      <w:r w:rsidRPr="006441E4">
        <w:t xml:space="preserve">Information in </w:t>
      </w:r>
      <w:r w:rsidR="00B01B7B">
        <w:t>3(</w:t>
      </w:r>
      <w:proofErr w:type="spellStart"/>
      <w:r w:rsidR="00B01B7B">
        <w:t>i</w:t>
      </w:r>
      <w:proofErr w:type="spellEnd"/>
      <w:r w:rsidR="00B01B7B">
        <w:t>)</w:t>
      </w:r>
      <w:r w:rsidRPr="006441E4">
        <w:t xml:space="preserve"> of the Report on Return on Investment set out in Schedule </w:t>
      </w:r>
      <w:r w:rsidR="00B01B7B">
        <w:t>3</w:t>
      </w:r>
      <w:r w:rsidRPr="006441E4">
        <w:t xml:space="preserve"> relating to </w:t>
      </w:r>
      <w:r w:rsidRPr="006441E4">
        <w:rPr>
          <w:b/>
        </w:rPr>
        <w:t>CY</w:t>
      </w:r>
      <w:r w:rsidRPr="006441E4">
        <w:t>-2 is not required to be disclosed</w:t>
      </w:r>
    </w:p>
    <w:p w:rsidR="00F40DAE" w:rsidRDefault="00FE4411">
      <w:pPr>
        <w:pStyle w:val="HeadingH5ClausesubtextL1"/>
      </w:pPr>
      <w:r w:rsidRPr="006441E4">
        <w:t xml:space="preserve">Information in </w:t>
      </w:r>
      <w:r w:rsidR="00B01B7B">
        <w:t>4(</w:t>
      </w:r>
      <w:proofErr w:type="spellStart"/>
      <w:r w:rsidR="00B01B7B">
        <w:t>i</w:t>
      </w:r>
      <w:proofErr w:type="spellEnd"/>
      <w:r w:rsidR="00B01B7B">
        <w:t>)</w:t>
      </w:r>
      <w:r w:rsidR="00B01B7B" w:rsidRPr="006441E4">
        <w:t xml:space="preserve"> </w:t>
      </w:r>
      <w:r w:rsidRPr="006441E4">
        <w:t xml:space="preserve">of the Report on </w:t>
      </w:r>
      <w:r w:rsidR="00B01B7B">
        <w:t xml:space="preserve">the Value of the </w:t>
      </w:r>
      <w:r w:rsidRPr="006441E4">
        <w:t xml:space="preserve">Regulatory Asset Base </w:t>
      </w:r>
      <w:r w:rsidR="00B01B7B">
        <w:t>(</w:t>
      </w:r>
      <w:r w:rsidRPr="006441E4">
        <w:t>Roll</w:t>
      </w:r>
      <w:r w:rsidR="00B01B7B">
        <w:t>ed</w:t>
      </w:r>
      <w:r w:rsidRPr="006441E4">
        <w:t xml:space="preserve"> Forward</w:t>
      </w:r>
      <w:r w:rsidR="00B01B7B">
        <w:t>)</w:t>
      </w:r>
      <w:r w:rsidRPr="006441E4">
        <w:t xml:space="preserve"> set out in Schedule </w:t>
      </w:r>
      <w:r w:rsidR="00B01B7B">
        <w:t>4</w:t>
      </w:r>
      <w:r w:rsidRPr="006441E4">
        <w:t xml:space="preserve"> relating to </w:t>
      </w:r>
      <w:r w:rsidRPr="006441E4">
        <w:rPr>
          <w:b/>
        </w:rPr>
        <w:t>CY</w:t>
      </w:r>
      <w:r w:rsidRPr="006441E4">
        <w:t>-4 is not required to be disclosed</w:t>
      </w:r>
    </w:p>
    <w:p w:rsidR="00F40DAE" w:rsidRDefault="00CE662F">
      <w:pPr>
        <w:pStyle w:val="HeadingH4Clausetext"/>
        <w:tabs>
          <w:tab w:val="clear" w:pos="4679"/>
          <w:tab w:val="num" w:pos="709"/>
        </w:tabs>
      </w:pPr>
      <w:bookmarkStart w:id="238" w:name="_Ref328385373"/>
      <w:bookmarkStart w:id="239" w:name="_Ref309041410"/>
      <w:r>
        <w:t xml:space="preserve">Notwithstanding any requirements set out in clauses </w:t>
      </w:r>
      <w:r w:rsidR="0033518E">
        <w:fldChar w:fldCharType="begin"/>
      </w:r>
      <w:r w:rsidR="00982695">
        <w:instrText xml:space="preserve"> REF _Ref311133930 \r \h </w:instrText>
      </w:r>
      <w:r w:rsidR="0033518E">
        <w:fldChar w:fldCharType="separate"/>
      </w:r>
      <w:r w:rsidR="00B06C04">
        <w:t>2.6.1</w:t>
      </w:r>
      <w:r w:rsidR="0033518E">
        <w:fldChar w:fldCharType="end"/>
      </w:r>
      <w:r w:rsidR="00982695">
        <w:t xml:space="preserve">, </w:t>
      </w:r>
      <w:r w:rsidR="0033518E">
        <w:fldChar w:fldCharType="begin"/>
      </w:r>
      <w:r w:rsidR="00982695">
        <w:instrText xml:space="preserve"> REF _Ref329177693 \r \h </w:instrText>
      </w:r>
      <w:r w:rsidR="0033518E">
        <w:fldChar w:fldCharType="separate"/>
      </w:r>
      <w:r w:rsidR="00B06C04">
        <w:t>2.6.2</w:t>
      </w:r>
      <w:r w:rsidR="0033518E">
        <w:fldChar w:fldCharType="end"/>
      </w:r>
      <w:r w:rsidR="00982695">
        <w:t xml:space="preserve">, </w:t>
      </w:r>
      <w:r w:rsidR="0033518E">
        <w:fldChar w:fldCharType="begin"/>
      </w:r>
      <w:r w:rsidR="00982695">
        <w:instrText xml:space="preserve"> REF _Ref329179873 \r \h </w:instrText>
      </w:r>
      <w:r w:rsidR="0033518E">
        <w:fldChar w:fldCharType="separate"/>
      </w:r>
      <w:r w:rsidR="00B06C04">
        <w:t>2.6.3</w:t>
      </w:r>
      <w:r w:rsidR="0033518E">
        <w:fldChar w:fldCharType="end"/>
      </w:r>
      <w:r w:rsidR="00982695">
        <w:t xml:space="preserve">, and </w:t>
      </w:r>
      <w:r w:rsidR="0033518E">
        <w:fldChar w:fldCharType="begin"/>
      </w:r>
      <w:r w:rsidR="00982695">
        <w:instrText xml:space="preserve"> REF _Ref311134677 \r \h </w:instrText>
      </w:r>
      <w:r w:rsidR="0033518E">
        <w:fldChar w:fldCharType="separate"/>
      </w:r>
      <w:r w:rsidR="00B06C04">
        <w:t>2.6.4</w:t>
      </w:r>
      <w:r w:rsidR="0033518E">
        <w:fldChar w:fldCharType="end"/>
      </w:r>
      <w:r>
        <w:t xml:space="preserve">, the following transitional provision applies </w:t>
      </w:r>
      <w:r w:rsidR="00294237">
        <w:t xml:space="preserve">to Maui Development Limited </w:t>
      </w:r>
      <w:r>
        <w:t xml:space="preserve">in respect of each </w:t>
      </w:r>
      <w:r w:rsidRPr="00886832">
        <w:rPr>
          <w:b/>
        </w:rPr>
        <w:t>disclosure year</w:t>
      </w:r>
      <w:r>
        <w:t xml:space="preserve"> before and during the first</w:t>
      </w:r>
      <w:r w:rsidRPr="0029341D">
        <w:rPr>
          <w:b/>
        </w:rPr>
        <w:t xml:space="preserve"> DPP </w:t>
      </w:r>
      <w:r w:rsidRPr="00B07014">
        <w:rPr>
          <w:b/>
        </w:rPr>
        <w:t>regulatory period</w:t>
      </w:r>
      <w:r>
        <w:t>:</w:t>
      </w:r>
      <w:bookmarkEnd w:id="238"/>
    </w:p>
    <w:p w:rsidR="00F40DAE" w:rsidRDefault="00CE662F">
      <w:pPr>
        <w:pStyle w:val="HeadingH5ClausesubtextL1"/>
      </w:pPr>
      <w:r w:rsidRPr="00E97E89">
        <w:t xml:space="preserve">If </w:t>
      </w:r>
      <w:r w:rsidR="00294237">
        <w:t>Maui Development Limited</w:t>
      </w:r>
      <w:r w:rsidR="00294237" w:rsidRPr="00D94BEB" w:rsidDel="00294237">
        <w:rPr>
          <w:b/>
        </w:rPr>
        <w:t xml:space="preserve"> </w:t>
      </w:r>
      <w:r w:rsidRPr="00E97E89">
        <w:t>has not publicly disclosed an AMP under clause</w:t>
      </w:r>
      <w:r>
        <w:t>s</w:t>
      </w:r>
      <w:r w:rsidRPr="00E97E89">
        <w:t xml:space="preserve"> 1</w:t>
      </w:r>
      <w:r w:rsidR="000261F0">
        <w:t xml:space="preserve"> </w:t>
      </w:r>
      <w:r>
        <w:t xml:space="preserve">and 2 </w:t>
      </w:r>
      <w:r w:rsidRPr="00E97E89">
        <w:t xml:space="preserve">of section 2.6 then </w:t>
      </w:r>
      <w:r w:rsidR="00294237">
        <w:t>Maui Development Limited</w:t>
      </w:r>
      <w:r w:rsidR="00294237" w:rsidDel="00294237">
        <w:rPr>
          <w:b/>
        </w:rPr>
        <w:t xml:space="preserve"> </w:t>
      </w:r>
      <w:r w:rsidRPr="00E97E89">
        <w:t xml:space="preserve">may </w:t>
      </w:r>
      <w:r>
        <w:t>elect to</w:t>
      </w:r>
    </w:p>
    <w:p w:rsidR="00F40DAE" w:rsidRDefault="00CE662F">
      <w:pPr>
        <w:pStyle w:val="HeadingH6ClausesubtextL2"/>
      </w:pPr>
      <w:r w:rsidRPr="000234BB">
        <w:t>not comply with clause</w:t>
      </w:r>
      <w:r>
        <w:t>s</w:t>
      </w:r>
      <w:r w:rsidRPr="000234BB">
        <w:t xml:space="preserve"> </w:t>
      </w:r>
      <w:r w:rsidR="0033518E">
        <w:fldChar w:fldCharType="begin"/>
      </w:r>
      <w:r w:rsidR="00982695">
        <w:instrText xml:space="preserve"> REF _Ref311133930 \r \h </w:instrText>
      </w:r>
      <w:r w:rsidR="0033518E">
        <w:fldChar w:fldCharType="separate"/>
      </w:r>
      <w:r w:rsidR="00B06C04">
        <w:t>2.6.1</w:t>
      </w:r>
      <w:r w:rsidR="0033518E">
        <w:fldChar w:fldCharType="end"/>
      </w:r>
      <w:r w:rsidR="00982695">
        <w:t xml:space="preserve">, and </w:t>
      </w:r>
      <w:r w:rsidR="0033518E">
        <w:fldChar w:fldCharType="begin"/>
      </w:r>
      <w:r w:rsidR="00982695">
        <w:instrText xml:space="preserve"> REF _Ref329177693 \r \h </w:instrText>
      </w:r>
      <w:r w:rsidR="0033518E">
        <w:fldChar w:fldCharType="separate"/>
      </w:r>
      <w:r w:rsidR="00B06C04">
        <w:t>2.6.2</w:t>
      </w:r>
      <w:r w:rsidR="0033518E">
        <w:fldChar w:fldCharType="end"/>
      </w:r>
      <w:r w:rsidR="00982695">
        <w:t xml:space="preserve"> </w:t>
      </w:r>
      <w:r w:rsidRPr="000234BB">
        <w:t xml:space="preserve">in the current </w:t>
      </w:r>
      <w:r w:rsidRPr="00886832">
        <w:rPr>
          <w:b/>
        </w:rPr>
        <w:t>disclosure year</w:t>
      </w:r>
      <w:r w:rsidRPr="000234BB">
        <w:t xml:space="preserve"> and</w:t>
      </w:r>
    </w:p>
    <w:p w:rsidR="00F40DAE" w:rsidRDefault="00CE662F">
      <w:pPr>
        <w:pStyle w:val="HeadingH6ClausesubtextL2"/>
      </w:pPr>
      <w:bookmarkStart w:id="240" w:name="_Ref329274201"/>
      <w:r w:rsidRPr="003726A7">
        <w:t xml:space="preserve">complete and publicly disclose before the start of the </w:t>
      </w:r>
      <w:r w:rsidRPr="00886832">
        <w:rPr>
          <w:b/>
        </w:rPr>
        <w:t>disclosure year</w:t>
      </w:r>
      <w:r w:rsidRPr="003726A7">
        <w:t xml:space="preserve"> a </w:t>
      </w:r>
      <w:r w:rsidR="00DB18E8">
        <w:rPr>
          <w:b/>
        </w:rPr>
        <w:t>t</w:t>
      </w:r>
      <w:r w:rsidRPr="00087DB9">
        <w:rPr>
          <w:b/>
        </w:rPr>
        <w:t>ransitional AMP</w:t>
      </w:r>
      <w:r w:rsidRPr="003726A7">
        <w:t xml:space="preserve"> that meets the requirements of </w:t>
      </w:r>
      <w:proofErr w:type="spellStart"/>
      <w:r w:rsidRPr="003726A7">
        <w:t>subclause</w:t>
      </w:r>
      <w:proofErr w:type="spellEnd"/>
      <w:r w:rsidRPr="003726A7">
        <w:t xml:space="preserve"> </w:t>
      </w:r>
      <w:r w:rsidR="0033518E">
        <w:fldChar w:fldCharType="begin"/>
      </w:r>
      <w:r w:rsidR="00982695">
        <w:instrText xml:space="preserve"> REF  _Ref329179965 \h \w </w:instrText>
      </w:r>
      <w:r w:rsidR="0033518E">
        <w:fldChar w:fldCharType="separate"/>
      </w:r>
      <w:r w:rsidR="00B06C04">
        <w:t>2.12.6(2)</w:t>
      </w:r>
      <w:r w:rsidR="0033518E">
        <w:fldChar w:fldCharType="end"/>
      </w:r>
      <w:r w:rsidR="00982695">
        <w:t xml:space="preserve"> </w:t>
      </w:r>
      <w:r w:rsidRPr="003726A7">
        <w:t>below</w:t>
      </w:r>
      <w:bookmarkEnd w:id="240"/>
    </w:p>
    <w:p w:rsidR="00F40DAE" w:rsidRDefault="00CE662F">
      <w:pPr>
        <w:pStyle w:val="HeadingH5ClausesubtextL1"/>
      </w:pPr>
      <w:bookmarkStart w:id="241" w:name="_Ref329179965"/>
      <w:r>
        <w:t xml:space="preserve">The </w:t>
      </w:r>
      <w:r w:rsidR="00F86836" w:rsidRPr="00F86836">
        <w:rPr>
          <w:b/>
        </w:rPr>
        <w:t>transitional AMP</w:t>
      </w:r>
      <w:r>
        <w:t xml:space="preserve"> must:</w:t>
      </w:r>
      <w:bookmarkEnd w:id="241"/>
    </w:p>
    <w:p w:rsidR="00F40DAE" w:rsidRDefault="009869E9">
      <w:pPr>
        <w:pStyle w:val="HeadingH6ClausesubtextL2"/>
      </w:pPr>
      <w:r>
        <w:t>r</w:t>
      </w:r>
      <w:r w:rsidR="00CE662F">
        <w:t xml:space="preserve">elate to the gas </w:t>
      </w:r>
      <w:r w:rsidR="000261F0">
        <w:t>transmission</w:t>
      </w:r>
      <w:r w:rsidR="00CE662F">
        <w:t xml:space="preserve"> services supplied by the </w:t>
      </w:r>
      <w:r w:rsidR="00CE662F" w:rsidRPr="00087DB9">
        <w:rPr>
          <w:b/>
        </w:rPr>
        <w:t>G</w:t>
      </w:r>
      <w:r w:rsidR="000261F0">
        <w:rPr>
          <w:b/>
        </w:rPr>
        <w:t>T</w:t>
      </w:r>
      <w:r w:rsidR="00CE662F" w:rsidRPr="00087DB9">
        <w:rPr>
          <w:b/>
        </w:rPr>
        <w:t>B</w:t>
      </w:r>
    </w:p>
    <w:p w:rsidR="00F40DAE" w:rsidRDefault="00CE662F">
      <w:pPr>
        <w:pStyle w:val="HeadingH6ClausesubtextL2"/>
      </w:pPr>
      <w:r>
        <w:t xml:space="preserve">be identifiable as a </w:t>
      </w:r>
      <w:r w:rsidR="00F86836" w:rsidRPr="00F86836">
        <w:rPr>
          <w:b/>
        </w:rPr>
        <w:t>t</w:t>
      </w:r>
      <w:r w:rsidRPr="006931F8">
        <w:rPr>
          <w:b/>
        </w:rPr>
        <w:t>ransitional AMP</w:t>
      </w:r>
      <w:r>
        <w:t xml:space="preserve"> prepared pursuant to clause </w:t>
      </w:r>
      <w:r w:rsidR="0033518E">
        <w:fldChar w:fldCharType="begin"/>
      </w:r>
      <w:r w:rsidR="00982695">
        <w:instrText xml:space="preserve"> REF  _Ref329179965 \h \w </w:instrText>
      </w:r>
      <w:r w:rsidR="0033518E">
        <w:fldChar w:fldCharType="separate"/>
      </w:r>
      <w:r w:rsidR="00B06C04">
        <w:t>2.12.6(2)</w:t>
      </w:r>
      <w:r w:rsidR="0033518E">
        <w:fldChar w:fldCharType="end"/>
      </w:r>
      <w:r w:rsidR="00982695">
        <w:t xml:space="preserve"> </w:t>
      </w:r>
      <w:r>
        <w:t>of this determination</w:t>
      </w:r>
    </w:p>
    <w:p w:rsidR="00F40DAE" w:rsidRDefault="00CE662F">
      <w:pPr>
        <w:pStyle w:val="HeadingH6ClausesubtextL2"/>
      </w:pPr>
      <w:r>
        <w:t xml:space="preserve">include the minimum requirements set out in </w:t>
      </w:r>
      <w:proofErr w:type="spellStart"/>
      <w:r>
        <w:t>subclause</w:t>
      </w:r>
      <w:proofErr w:type="spellEnd"/>
      <w:r>
        <w:t xml:space="preserve"> </w:t>
      </w:r>
      <w:r w:rsidR="0033518E">
        <w:fldChar w:fldCharType="begin"/>
      </w:r>
      <w:r w:rsidR="00982695">
        <w:instrText xml:space="preserve"> REF  _Ref329180338 \h \w </w:instrText>
      </w:r>
      <w:r w:rsidR="0033518E">
        <w:fldChar w:fldCharType="separate"/>
      </w:r>
      <w:r w:rsidR="00B06C04">
        <w:t>2.12.6(3)</w:t>
      </w:r>
      <w:r w:rsidR="0033518E">
        <w:fldChar w:fldCharType="end"/>
      </w:r>
    </w:p>
    <w:p w:rsidR="00F40DAE" w:rsidRDefault="00CE662F">
      <w:pPr>
        <w:pStyle w:val="HeadingH6ClausesubtextL2"/>
      </w:pPr>
      <w:r>
        <w:t xml:space="preserve">include the forecast information set out in clause </w:t>
      </w:r>
      <w:r w:rsidR="0033518E">
        <w:fldChar w:fldCharType="begin"/>
      </w:r>
      <w:r w:rsidR="00982695">
        <w:instrText xml:space="preserve"> REF  _Ref329180300 \h \w </w:instrText>
      </w:r>
      <w:r w:rsidR="0033518E">
        <w:fldChar w:fldCharType="separate"/>
      </w:r>
      <w:r w:rsidR="00B06C04">
        <w:t>2.6.5</w:t>
      </w:r>
      <w:r w:rsidR="0033518E">
        <w:fldChar w:fldCharType="end"/>
      </w:r>
    </w:p>
    <w:p w:rsidR="00F40DAE" w:rsidRDefault="00CE662F">
      <w:pPr>
        <w:pStyle w:val="HeadingH6ClausesubtextL2"/>
      </w:pPr>
      <w:r>
        <w:t>include the AMMAT Report set out in Schedule 17</w:t>
      </w:r>
    </w:p>
    <w:p w:rsidR="00F40DAE" w:rsidRDefault="00CE662F">
      <w:pPr>
        <w:pStyle w:val="HeadingH6ClausesubtextL2"/>
      </w:pPr>
      <w:r w:rsidRPr="00807D9B">
        <w:t xml:space="preserve">identify where the </w:t>
      </w:r>
      <w:r w:rsidRPr="00087DB9">
        <w:rPr>
          <w:b/>
        </w:rPr>
        <w:t>G</w:t>
      </w:r>
      <w:r w:rsidR="000261F0">
        <w:rPr>
          <w:b/>
        </w:rPr>
        <w:t>T</w:t>
      </w:r>
      <w:r w:rsidRPr="00087DB9">
        <w:rPr>
          <w:b/>
        </w:rPr>
        <w:t>B</w:t>
      </w:r>
      <w:r w:rsidRPr="00807D9B">
        <w:t xml:space="preserve"> considers the </w:t>
      </w:r>
      <w:r w:rsidR="000261F0" w:rsidRPr="00FA050E">
        <w:rPr>
          <w:b/>
        </w:rPr>
        <w:t>AMP</w:t>
      </w:r>
      <w:r w:rsidRPr="00807D9B">
        <w:t xml:space="preserve"> does not yet conform to the </w:t>
      </w:r>
      <w:r>
        <w:t xml:space="preserve">requirements in </w:t>
      </w:r>
      <w:r w:rsidRPr="000234BB">
        <w:t xml:space="preserve">clause </w:t>
      </w:r>
      <w:r w:rsidR="0033518E">
        <w:fldChar w:fldCharType="begin"/>
      </w:r>
      <w:r w:rsidR="00982695">
        <w:instrText xml:space="preserve"> REF  _Ref311133930 \h \w </w:instrText>
      </w:r>
      <w:r w:rsidR="0033518E">
        <w:fldChar w:fldCharType="separate"/>
      </w:r>
      <w:r w:rsidR="00B06C04">
        <w:t>2.6.1</w:t>
      </w:r>
      <w:r w:rsidR="0033518E">
        <w:fldChar w:fldCharType="end"/>
      </w:r>
      <w:r w:rsidRPr="00807D9B">
        <w:t xml:space="preserve">, and set out the actions the </w:t>
      </w:r>
      <w:r w:rsidR="00E31F9E" w:rsidRPr="00E31F9E">
        <w:rPr>
          <w:b/>
        </w:rPr>
        <w:t>GTB</w:t>
      </w:r>
      <w:r w:rsidRPr="00807D9B">
        <w:t xml:space="preserve"> is taking to ensure </w:t>
      </w:r>
      <w:r>
        <w:t xml:space="preserve">the </w:t>
      </w:r>
      <w:r w:rsidR="000261F0" w:rsidRPr="00FA050E">
        <w:rPr>
          <w:b/>
        </w:rPr>
        <w:t>AMP</w:t>
      </w:r>
      <w:r w:rsidRPr="00807D9B">
        <w:t xml:space="preserve"> will conform before the end of the </w:t>
      </w:r>
      <w:r>
        <w:t xml:space="preserve">first </w:t>
      </w:r>
      <w:r w:rsidR="009608F5" w:rsidRPr="009608F5">
        <w:rPr>
          <w:b/>
        </w:rPr>
        <w:t xml:space="preserve">DPP </w:t>
      </w:r>
      <w:r w:rsidRPr="009608F5">
        <w:rPr>
          <w:b/>
        </w:rPr>
        <w:t>regulatory period</w:t>
      </w:r>
    </w:p>
    <w:p w:rsidR="00F40DAE" w:rsidRDefault="00D7483E">
      <w:pPr>
        <w:pStyle w:val="HeadingH6ClausesubtextL2"/>
      </w:pPr>
      <w:r>
        <w:t xml:space="preserve">identify any actions the </w:t>
      </w:r>
      <w:r w:rsidR="00E31F9E" w:rsidRPr="00E31F9E">
        <w:rPr>
          <w:b/>
        </w:rPr>
        <w:t>GTB</w:t>
      </w:r>
      <w:r>
        <w:t xml:space="preserve"> has completed in order to </w:t>
      </w:r>
      <w:r w:rsidRPr="00807D9B">
        <w:t xml:space="preserve">conform to the </w:t>
      </w:r>
      <w:r>
        <w:t xml:space="preserve">requirements in </w:t>
      </w:r>
      <w:r w:rsidRPr="000234BB">
        <w:t xml:space="preserve">clause </w:t>
      </w:r>
      <w:r w:rsidR="0033518E">
        <w:fldChar w:fldCharType="begin"/>
      </w:r>
      <w:r w:rsidR="00982695">
        <w:instrText xml:space="preserve"> REF _Ref311133930 \r \h </w:instrText>
      </w:r>
      <w:r w:rsidR="0033518E">
        <w:fldChar w:fldCharType="separate"/>
      </w:r>
      <w:r w:rsidR="00B06C04">
        <w:t>2.6.1</w:t>
      </w:r>
      <w:r w:rsidR="0033518E">
        <w:fldChar w:fldCharType="end"/>
      </w:r>
    </w:p>
    <w:p w:rsidR="00F40DAE" w:rsidRDefault="00CE662F">
      <w:pPr>
        <w:pStyle w:val="HeadingH5ClausesubtextL1"/>
      </w:pPr>
      <w:bookmarkStart w:id="242" w:name="_Ref329180338"/>
      <w:r>
        <w:t xml:space="preserve">The </w:t>
      </w:r>
      <w:r w:rsidR="00DB18E8">
        <w:rPr>
          <w:b/>
        </w:rPr>
        <w:t>t</w:t>
      </w:r>
      <w:r w:rsidRPr="006B1F91">
        <w:rPr>
          <w:b/>
        </w:rPr>
        <w:t>ransitional AMP</w:t>
      </w:r>
      <w:r>
        <w:t xml:space="preserve"> must </w:t>
      </w:r>
      <w:r w:rsidR="00294237">
        <w:t>include</w:t>
      </w:r>
      <w:r>
        <w:t xml:space="preserve"> the following:</w:t>
      </w:r>
      <w:bookmarkEnd w:id="242"/>
    </w:p>
    <w:p w:rsidR="00F40DAE" w:rsidRDefault="00CE662F">
      <w:pPr>
        <w:pStyle w:val="HeadingH6ClausesubtextL2"/>
      </w:pPr>
      <w:r>
        <w:t>a</w:t>
      </w:r>
      <w:r w:rsidRPr="006931F8">
        <w:t xml:space="preserve"> summary that provides a brief overview of the contents and</w:t>
      </w:r>
      <w:r>
        <w:t xml:space="preserve"> </w:t>
      </w:r>
      <w:r w:rsidRPr="006931F8">
        <w:t xml:space="preserve">highlights information that the </w:t>
      </w:r>
      <w:r w:rsidR="00F86836" w:rsidRPr="00F86836">
        <w:rPr>
          <w:b/>
        </w:rPr>
        <w:t>GTB</w:t>
      </w:r>
      <w:r w:rsidRPr="006931F8">
        <w:t xml:space="preserve"> considers significant</w:t>
      </w:r>
    </w:p>
    <w:p w:rsidR="00F40DAE" w:rsidRDefault="00CE662F">
      <w:pPr>
        <w:pStyle w:val="HeadingH6ClausesubtextL2"/>
      </w:pPr>
      <w:r>
        <w:t>d</w:t>
      </w:r>
      <w:r w:rsidRPr="006931F8">
        <w:t xml:space="preserve">etails of the background and objectives of the </w:t>
      </w:r>
      <w:r w:rsidR="00F86836" w:rsidRPr="00F86836">
        <w:rPr>
          <w:b/>
        </w:rPr>
        <w:t>GTB</w:t>
      </w:r>
      <w:r w:rsidRPr="006931F8">
        <w:t>’s asset</w:t>
      </w:r>
      <w:r>
        <w:t xml:space="preserve"> </w:t>
      </w:r>
      <w:r w:rsidRPr="006931F8">
        <w:t>ma</w:t>
      </w:r>
      <w:r>
        <w:t>nagement and planning processes</w:t>
      </w:r>
    </w:p>
    <w:p w:rsidR="00F40DAE" w:rsidRDefault="00CE662F">
      <w:pPr>
        <w:pStyle w:val="HeadingH6ClausesubtextL2"/>
      </w:pPr>
      <w:r>
        <w:t>d</w:t>
      </w:r>
      <w:r w:rsidRPr="003E28B4">
        <w:t>etails of the AMP planning period</w:t>
      </w:r>
      <w:r>
        <w:t xml:space="preserve">, which must cover at least a projected period of 10 years commencing with the </w:t>
      </w:r>
      <w:r w:rsidRPr="00886832">
        <w:rPr>
          <w:b/>
        </w:rPr>
        <w:t>disclosure year</w:t>
      </w:r>
      <w:r>
        <w:t xml:space="preserve"> following the date on which the AMP is required to be disclosed</w:t>
      </w:r>
    </w:p>
    <w:p w:rsidR="00F40DAE" w:rsidRDefault="00CE662F">
      <w:pPr>
        <w:pStyle w:val="HeadingH6ClausesubtextL2"/>
      </w:pPr>
      <w:r>
        <w:t>t</w:t>
      </w:r>
      <w:r w:rsidRPr="003E28B4">
        <w:t>he date that it was approved by the directors</w:t>
      </w:r>
    </w:p>
    <w:p w:rsidR="00F40DAE" w:rsidRDefault="00CE662F">
      <w:pPr>
        <w:pStyle w:val="HeadingH6ClausesubtextL2"/>
      </w:pPr>
      <w:r>
        <w:t>a</w:t>
      </w:r>
      <w:r w:rsidRPr="003E28B4">
        <w:t xml:space="preserve"> description of stakeholder interests</w:t>
      </w:r>
      <w:r>
        <w:t xml:space="preserve">, as set out in </w:t>
      </w:r>
      <w:proofErr w:type="spellStart"/>
      <w:r>
        <w:t>subclause</w:t>
      </w:r>
      <w:proofErr w:type="spellEnd"/>
      <w:r>
        <w:t xml:space="preserve"> 3.6 of schedule A</w:t>
      </w:r>
    </w:p>
    <w:p w:rsidR="00F40DAE" w:rsidRDefault="00CE662F">
      <w:pPr>
        <w:pStyle w:val="HeadingH6ClausesubtextL2"/>
      </w:pPr>
      <w:r>
        <w:t>a</w:t>
      </w:r>
      <w:r w:rsidRPr="006931F8">
        <w:t xml:space="preserve"> description of the accountabilities and responsibilities for asset</w:t>
      </w:r>
      <w:r>
        <w:t xml:space="preserve"> </w:t>
      </w:r>
      <w:r w:rsidRPr="006931F8">
        <w:t>management</w:t>
      </w:r>
      <w:r>
        <w:t xml:space="preserve">, as set out in </w:t>
      </w:r>
      <w:proofErr w:type="spellStart"/>
      <w:r>
        <w:t>subclause</w:t>
      </w:r>
      <w:proofErr w:type="spellEnd"/>
      <w:r>
        <w:t xml:space="preserve"> </w:t>
      </w:r>
      <w:r w:rsidR="0033518E">
        <w:fldChar w:fldCharType="begin"/>
      </w:r>
      <w:r w:rsidR="00931F73">
        <w:instrText xml:space="preserve"> REF  _Ref329180670 \h \n </w:instrText>
      </w:r>
      <w:r w:rsidR="0033518E">
        <w:fldChar w:fldCharType="separate"/>
      </w:r>
      <w:r w:rsidR="00B06C04">
        <w:t>3.7</w:t>
      </w:r>
      <w:r w:rsidR="0033518E">
        <w:fldChar w:fldCharType="end"/>
      </w:r>
      <w:r>
        <w:t xml:space="preserve"> of </w:t>
      </w:r>
      <w:r w:rsidR="00931F73">
        <w:t xml:space="preserve">Appendix </w:t>
      </w:r>
      <w:r>
        <w:t>A</w:t>
      </w:r>
    </w:p>
    <w:p w:rsidR="00F40DAE" w:rsidRDefault="00CE662F">
      <w:pPr>
        <w:pStyle w:val="HeadingH6ClausesubtextL2"/>
      </w:pPr>
      <w:r>
        <w:t>a</w:t>
      </w:r>
      <w:r w:rsidRPr="003E28B4">
        <w:t>n overview of asset management strategy and delivery</w:t>
      </w:r>
    </w:p>
    <w:p w:rsidR="00F40DAE" w:rsidRDefault="00CE662F">
      <w:pPr>
        <w:pStyle w:val="HeadingH6ClausesubtextL2"/>
      </w:pPr>
      <w:r>
        <w:t>a</w:t>
      </w:r>
      <w:r w:rsidRPr="003E28B4">
        <w:t>n overview of systems and information management data</w:t>
      </w:r>
    </w:p>
    <w:p w:rsidR="00F40DAE" w:rsidRDefault="00CE662F">
      <w:pPr>
        <w:pStyle w:val="HeadingH6ClausesubtextL2"/>
      </w:pPr>
      <w:r>
        <w:t>a</w:t>
      </w:r>
      <w:r w:rsidRPr="006931F8">
        <w:t>n overview of asset management documentation, controls and</w:t>
      </w:r>
      <w:r>
        <w:t xml:space="preserve"> </w:t>
      </w:r>
      <w:r w:rsidRPr="006931F8">
        <w:t>review processes</w:t>
      </w:r>
    </w:p>
    <w:p w:rsidR="00F40DAE" w:rsidRDefault="00CE662F">
      <w:pPr>
        <w:pStyle w:val="HeadingH6ClausesubtextL2"/>
      </w:pPr>
      <w:r>
        <w:t>d</w:t>
      </w:r>
      <w:r w:rsidRPr="003E28B4">
        <w:t>etails of the assets covered</w:t>
      </w:r>
    </w:p>
    <w:p w:rsidR="00F40DAE" w:rsidRDefault="00CE662F">
      <w:pPr>
        <w:pStyle w:val="HeadingH6ClausesubtextL2"/>
      </w:pPr>
      <w:r>
        <w:t>a</w:t>
      </w:r>
      <w:r w:rsidRPr="006931F8">
        <w:t xml:space="preserve"> clear identification or definition of a set of asset management</w:t>
      </w:r>
      <w:r>
        <w:t xml:space="preserve"> </w:t>
      </w:r>
      <w:r w:rsidRPr="006931F8">
        <w:t>performance indicators</w:t>
      </w:r>
    </w:p>
    <w:p w:rsidR="00F40DAE" w:rsidRDefault="00CE662F">
      <w:pPr>
        <w:pStyle w:val="HeadingH6ClausesubtextL2"/>
      </w:pPr>
      <w:r>
        <w:t>a</w:t>
      </w:r>
      <w:r w:rsidRPr="006931F8">
        <w:t xml:space="preserve"> description of network development plans and lifecycle management processes, covering material projects and</w:t>
      </w:r>
      <w:r>
        <w:t xml:space="preserve"> </w:t>
      </w:r>
      <w:r w:rsidRPr="006931F8">
        <w:t>programmes across the planning period</w:t>
      </w:r>
    </w:p>
    <w:p w:rsidR="00F40DAE" w:rsidRDefault="00CE662F">
      <w:pPr>
        <w:pStyle w:val="HeadingH6ClausesubtextL2"/>
      </w:pPr>
      <w:proofErr w:type="gramStart"/>
      <w:r>
        <w:t>d</w:t>
      </w:r>
      <w:r w:rsidRPr="003E28B4">
        <w:t>etails</w:t>
      </w:r>
      <w:proofErr w:type="gramEnd"/>
      <w:r w:rsidRPr="003E28B4">
        <w:t xml:space="preserve"> of risk policies, assessment and mitigation.</w:t>
      </w:r>
    </w:p>
    <w:bookmarkEnd w:id="239"/>
    <w:p w:rsidR="00F40DAE" w:rsidRDefault="001B1C74">
      <w:pPr>
        <w:pStyle w:val="HeadingH4Clausetext"/>
        <w:tabs>
          <w:tab w:val="clear" w:pos="4679"/>
          <w:tab w:val="num" w:pos="709"/>
        </w:tabs>
      </w:pPr>
      <w:r w:rsidRPr="006441E4">
        <w:t xml:space="preserve">The information required under </w:t>
      </w:r>
      <w:r w:rsidR="00F96F6D">
        <w:t>clause</w:t>
      </w:r>
      <w:r w:rsidR="00C47728">
        <w:t xml:space="preserve"> </w:t>
      </w:r>
      <w:r w:rsidR="0033518E">
        <w:fldChar w:fldCharType="begin"/>
      </w:r>
      <w:r w:rsidR="00F96F6D">
        <w:instrText xml:space="preserve"> REF _Ref329115487 \r \h </w:instrText>
      </w:r>
      <w:r w:rsidR="0033518E">
        <w:fldChar w:fldCharType="separate"/>
      </w:r>
      <w:r w:rsidR="00B06C04">
        <w:t>2.4.6</w:t>
      </w:r>
      <w:r w:rsidR="0033518E">
        <w:fldChar w:fldCharType="end"/>
      </w:r>
      <w:r w:rsidRPr="006441E4">
        <w:t xml:space="preserve">, is not required to be </w:t>
      </w:r>
      <w:r w:rsidRPr="006441E4">
        <w:rPr>
          <w:b/>
        </w:rPr>
        <w:t>publicly disclosed</w:t>
      </w:r>
      <w:r w:rsidRPr="006441E4">
        <w:t xml:space="preserve"> for the first time until 5 months after this determination is determined.</w:t>
      </w:r>
    </w:p>
    <w:p w:rsidR="00F96F6D" w:rsidRDefault="00F96F6D">
      <w:pPr>
        <w:pStyle w:val="HeadingH4Clausetext"/>
        <w:tabs>
          <w:tab w:val="clear" w:pos="4679"/>
          <w:tab w:val="num" w:pos="709"/>
        </w:tabs>
      </w:pPr>
      <w:r>
        <w:t xml:space="preserve">The information required under </w:t>
      </w:r>
      <w:r w:rsidR="0033518E">
        <w:fldChar w:fldCharType="begin"/>
      </w:r>
      <w:r>
        <w:instrText xml:space="preserve"> REF _Ref329271558 \r \h </w:instrText>
      </w:r>
      <w:r w:rsidR="0033518E">
        <w:fldChar w:fldCharType="separate"/>
      </w:r>
      <w:r w:rsidR="00B06C04">
        <w:t>2.4.9</w:t>
      </w:r>
      <w:r w:rsidR="0033518E">
        <w:fldChar w:fldCharType="end"/>
      </w:r>
      <w:r>
        <w:t xml:space="preserve"> is not required to be </w:t>
      </w:r>
      <w:r>
        <w:rPr>
          <w:b/>
        </w:rPr>
        <w:t xml:space="preserve">publicly disclosed </w:t>
      </w:r>
      <w:r>
        <w:t>for the first time until 2 months after this determination is determined</w:t>
      </w:r>
    </w:p>
    <w:p w:rsidR="00817B2E" w:rsidRDefault="00817B2E">
      <w:r>
        <w:br w:type="page"/>
      </w:r>
    </w:p>
    <w:p w:rsidR="00594A3C" w:rsidRPr="006441E4" w:rsidRDefault="00594A3C" w:rsidP="00594A3C">
      <w:pPr>
        <w:pStyle w:val="BodyText"/>
      </w:pPr>
    </w:p>
    <w:p w:rsidR="00594A3C" w:rsidRPr="006441E4" w:rsidRDefault="00594A3C" w:rsidP="00594A3C">
      <w:pPr>
        <w:pStyle w:val="BodyText"/>
        <w:sectPr w:rsidR="00594A3C" w:rsidRPr="006441E4" w:rsidSect="000A7887">
          <w:type w:val="continuous"/>
          <w:pgSz w:w="11907" w:h="16840" w:code="9"/>
          <w:pgMar w:top="1440" w:right="1440" w:bottom="1440" w:left="1440" w:header="1134" w:footer="431"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594A3C" w:rsidRPr="006441E4" w:rsidTr="00594A3C">
        <w:tc>
          <w:tcPr>
            <w:tcW w:w="4621" w:type="dxa"/>
          </w:tcPr>
          <w:p w:rsidR="00594A3C" w:rsidRPr="006441E4" w:rsidRDefault="00594A3C" w:rsidP="00594A3C">
            <w:pPr>
              <w:pStyle w:val="BodyText"/>
            </w:pPr>
          </w:p>
          <w:p w:rsidR="00594A3C" w:rsidRPr="006441E4" w:rsidRDefault="00594A3C" w:rsidP="00594A3C">
            <w:pPr>
              <w:pStyle w:val="BodyText"/>
            </w:pPr>
          </w:p>
          <w:p w:rsidR="00594A3C" w:rsidRPr="006441E4" w:rsidRDefault="00594A3C" w:rsidP="00594A3C">
            <w:pPr>
              <w:pStyle w:val="BodyText"/>
            </w:pPr>
          </w:p>
          <w:p w:rsidR="00594A3C" w:rsidRPr="006441E4" w:rsidRDefault="00594A3C" w:rsidP="00594A3C">
            <w:pPr>
              <w:pStyle w:val="BodyText"/>
            </w:pPr>
            <w:r w:rsidRPr="006441E4">
              <w:t xml:space="preserve">Dr Mark Berry, </w:t>
            </w:r>
            <w:r w:rsidRPr="006441E4">
              <w:rPr>
                <w:i/>
              </w:rPr>
              <w:t>Chair</w:t>
            </w:r>
          </w:p>
        </w:tc>
        <w:tc>
          <w:tcPr>
            <w:tcW w:w="4622" w:type="dxa"/>
          </w:tcPr>
          <w:p w:rsidR="00594A3C" w:rsidRPr="006441E4" w:rsidRDefault="00594A3C" w:rsidP="00594A3C">
            <w:pPr>
              <w:pStyle w:val="BodyText"/>
            </w:pPr>
          </w:p>
          <w:p w:rsidR="00594A3C" w:rsidRPr="006441E4" w:rsidRDefault="00594A3C" w:rsidP="00594A3C">
            <w:pPr>
              <w:pStyle w:val="BodyText"/>
            </w:pPr>
          </w:p>
          <w:p w:rsidR="00594A3C" w:rsidRPr="006441E4" w:rsidRDefault="00594A3C" w:rsidP="00594A3C">
            <w:pPr>
              <w:pStyle w:val="BodyText"/>
            </w:pPr>
          </w:p>
          <w:p w:rsidR="00594A3C" w:rsidRPr="006441E4" w:rsidRDefault="00594A3C" w:rsidP="00594A3C">
            <w:pPr>
              <w:pStyle w:val="BodyText"/>
            </w:pPr>
            <w:r w:rsidRPr="006441E4">
              <w:t xml:space="preserve">Sue Begg, </w:t>
            </w:r>
            <w:r w:rsidRPr="006441E4">
              <w:rPr>
                <w:i/>
              </w:rPr>
              <w:t>Deputy Chair</w:t>
            </w:r>
          </w:p>
        </w:tc>
      </w:tr>
      <w:tr w:rsidR="00594A3C" w:rsidRPr="006441E4" w:rsidTr="00594A3C">
        <w:tc>
          <w:tcPr>
            <w:tcW w:w="4621" w:type="dxa"/>
          </w:tcPr>
          <w:p w:rsidR="00594A3C" w:rsidRPr="006441E4" w:rsidRDefault="00594A3C" w:rsidP="00594A3C">
            <w:pPr>
              <w:pStyle w:val="BodyText"/>
            </w:pPr>
          </w:p>
          <w:p w:rsidR="00594A3C" w:rsidRPr="006441E4" w:rsidRDefault="00594A3C" w:rsidP="00594A3C">
            <w:pPr>
              <w:pStyle w:val="BodyText"/>
            </w:pPr>
          </w:p>
          <w:p w:rsidR="00594A3C" w:rsidRPr="006441E4" w:rsidRDefault="00594A3C" w:rsidP="00594A3C">
            <w:pPr>
              <w:pStyle w:val="BodyText"/>
            </w:pPr>
          </w:p>
          <w:p w:rsidR="00594A3C" w:rsidRPr="006441E4" w:rsidRDefault="00594A3C" w:rsidP="00594A3C">
            <w:pPr>
              <w:pStyle w:val="BodyText"/>
              <w:rPr>
                <w:i/>
              </w:rPr>
            </w:pPr>
            <w:r w:rsidRPr="006441E4">
              <w:t>Pat Duignan</w:t>
            </w:r>
          </w:p>
        </w:tc>
        <w:tc>
          <w:tcPr>
            <w:tcW w:w="4622" w:type="dxa"/>
          </w:tcPr>
          <w:p w:rsidR="00594A3C" w:rsidRPr="006441E4" w:rsidRDefault="00594A3C" w:rsidP="00594A3C">
            <w:pPr>
              <w:pStyle w:val="BodyText"/>
            </w:pPr>
          </w:p>
          <w:p w:rsidR="00594A3C" w:rsidRPr="006441E4" w:rsidRDefault="00594A3C" w:rsidP="00594A3C">
            <w:pPr>
              <w:pStyle w:val="BodyText"/>
            </w:pPr>
          </w:p>
          <w:p w:rsidR="00594A3C" w:rsidRPr="006441E4" w:rsidRDefault="00594A3C" w:rsidP="00594A3C">
            <w:pPr>
              <w:pStyle w:val="BodyText"/>
            </w:pPr>
          </w:p>
          <w:p w:rsidR="00594A3C" w:rsidRPr="006441E4" w:rsidRDefault="00594A3C" w:rsidP="00594A3C">
            <w:pPr>
              <w:pStyle w:val="BodyText"/>
              <w:rPr>
                <w:i/>
              </w:rPr>
            </w:pPr>
            <w:r w:rsidRPr="006441E4">
              <w:t>Stephen Gale</w:t>
            </w:r>
          </w:p>
        </w:tc>
      </w:tr>
    </w:tbl>
    <w:p w:rsidR="00594A3C" w:rsidRPr="006441E4" w:rsidRDefault="00594A3C" w:rsidP="00594A3C">
      <w:pPr>
        <w:pStyle w:val="BodyText"/>
      </w:pPr>
    </w:p>
    <w:p w:rsidR="00594A3C" w:rsidRPr="006441E4" w:rsidRDefault="00594A3C" w:rsidP="00594A3C">
      <w:pPr>
        <w:pStyle w:val="BodyText"/>
      </w:pPr>
      <w:proofErr w:type="gramStart"/>
      <w:r w:rsidRPr="006441E4">
        <w:t>Dated at Wellington this</w:t>
      </w:r>
      <w:r w:rsidRPr="006441E4">
        <w:tab/>
        <w:t>day of</w:t>
      </w:r>
      <w:r w:rsidRPr="006441E4">
        <w:tab/>
      </w:r>
      <w:r w:rsidRPr="006441E4">
        <w:tab/>
        <w:t>201</w:t>
      </w:r>
      <w:r w:rsidR="00874FBC" w:rsidRPr="006441E4">
        <w:t>2</w:t>
      </w:r>
      <w:r w:rsidRPr="006441E4">
        <w:t>.</w:t>
      </w:r>
      <w:proofErr w:type="gramEnd"/>
    </w:p>
    <w:p w:rsidR="00594A3C" w:rsidRPr="006441E4" w:rsidRDefault="00594A3C" w:rsidP="00594A3C">
      <w:pPr>
        <w:pStyle w:val="BodyText"/>
      </w:pPr>
      <w:r w:rsidRPr="006441E4">
        <w:t>COMMERCE COMMISSION</w:t>
      </w:r>
    </w:p>
    <w:p w:rsidR="00594A3C" w:rsidRPr="006441E4" w:rsidRDefault="00594A3C" w:rsidP="00594A3C">
      <w:pPr>
        <w:pStyle w:val="BodyText"/>
      </w:pPr>
    </w:p>
    <w:p w:rsidR="00594A3C" w:rsidRPr="006441E4" w:rsidRDefault="00594A3C" w:rsidP="00594A3C">
      <w:pPr>
        <w:pStyle w:val="BodyText"/>
        <w:sectPr w:rsidR="00594A3C" w:rsidRPr="006441E4" w:rsidSect="000A7887">
          <w:type w:val="continuous"/>
          <w:pgSz w:w="11907" w:h="16840" w:code="9"/>
          <w:pgMar w:top="1440" w:right="1440" w:bottom="1440" w:left="1440" w:header="1134" w:footer="431" w:gutter="0"/>
          <w:cols w:space="720"/>
          <w:titlePg/>
        </w:sectPr>
      </w:pPr>
    </w:p>
    <w:p w:rsidR="003A7552" w:rsidRPr="006441E4" w:rsidRDefault="003A7552" w:rsidP="003A7552">
      <w:pPr>
        <w:pStyle w:val="Heading1"/>
        <w:spacing w:line="264" w:lineRule="auto"/>
        <w:ind w:left="2160" w:hanging="2160"/>
      </w:pPr>
      <w:bookmarkStart w:id="243" w:name="_Toc329296369"/>
      <w:r w:rsidRPr="006441E4">
        <w:t>APPENDIX A</w:t>
      </w:r>
      <w:r w:rsidRPr="006441E4">
        <w:tab/>
        <w:t>ASSET MANAGEMENT PLANS</w:t>
      </w:r>
      <w:bookmarkEnd w:id="243"/>
    </w:p>
    <w:p w:rsidR="003A7552" w:rsidRPr="006441E4" w:rsidRDefault="003A7552" w:rsidP="003A7552">
      <w:pPr>
        <w:pStyle w:val="UnnumberedL1"/>
        <w:ind w:left="0"/>
        <w:rPr>
          <w:rStyle w:val="Emphasis-Italics"/>
          <w:rFonts w:asciiTheme="minorHAnsi" w:hAnsiTheme="minorHAnsi"/>
        </w:rPr>
      </w:pPr>
      <w:bookmarkStart w:id="244" w:name="_Ref308427840"/>
      <w:r w:rsidRPr="006441E4">
        <w:rPr>
          <w:rStyle w:val="Emphasis-Italics"/>
          <w:rFonts w:asciiTheme="minorHAnsi" w:hAnsiTheme="minorHAnsi"/>
        </w:rPr>
        <w:t xml:space="preserve">This Appendix sets out the mandatory disclosure requirements with respect to </w:t>
      </w:r>
      <w:r w:rsidRPr="006441E4">
        <w:rPr>
          <w:rStyle w:val="Emphasis-Italics"/>
          <w:rFonts w:asciiTheme="minorHAnsi" w:hAnsiTheme="minorHAnsi"/>
          <w:b/>
        </w:rPr>
        <w:t>AMP</w:t>
      </w:r>
      <w:r w:rsidRPr="006441E4">
        <w:rPr>
          <w:rStyle w:val="Emphasis-Italics"/>
          <w:rFonts w:asciiTheme="minorHAnsi" w:hAnsiTheme="minorHAnsi"/>
        </w:rPr>
        <w:t>s</w:t>
      </w:r>
      <w:r w:rsidR="003517CB">
        <w:rPr>
          <w:rStyle w:val="Emphasis-Italics"/>
          <w:rFonts w:asciiTheme="minorHAnsi" w:hAnsiTheme="minorHAnsi"/>
        </w:rPr>
        <w:t xml:space="preserve">. </w:t>
      </w:r>
      <w:r w:rsidRPr="006441E4">
        <w:rPr>
          <w:rStyle w:val="Emphasis-Italics"/>
          <w:rFonts w:asciiTheme="minorHAnsi" w:hAnsiTheme="minorHAnsi"/>
        </w:rPr>
        <w:t>The text in italics provides a commentary on those requirements. The purpose of the commentary is to provide guidance on the expected content of disclosed</w:t>
      </w:r>
      <w:r w:rsidRPr="006441E4">
        <w:rPr>
          <w:rStyle w:val="Emphasis-Italics"/>
          <w:rFonts w:asciiTheme="minorHAnsi" w:hAnsiTheme="minorHAnsi"/>
          <w:b/>
        </w:rPr>
        <w:t xml:space="preserve"> AMP</w:t>
      </w:r>
      <w:r w:rsidRPr="006441E4">
        <w:rPr>
          <w:rStyle w:val="Emphasis-Italics"/>
          <w:rFonts w:asciiTheme="minorHAnsi" w:hAnsiTheme="minorHAnsi"/>
        </w:rPr>
        <w:t>s</w:t>
      </w:r>
      <w:r w:rsidR="003517CB">
        <w:rPr>
          <w:rStyle w:val="Emphasis-Italics"/>
          <w:rFonts w:asciiTheme="minorHAnsi" w:hAnsiTheme="minorHAnsi"/>
        </w:rPr>
        <w:t xml:space="preserve">. </w:t>
      </w:r>
      <w:r w:rsidRPr="006441E4">
        <w:rPr>
          <w:rStyle w:val="Emphasis-Italics"/>
          <w:rFonts w:asciiTheme="minorHAnsi" w:hAnsiTheme="minorHAnsi"/>
        </w:rPr>
        <w:t xml:space="preserve">The commentary has been prepared on the basis that </w:t>
      </w:r>
      <w:r w:rsidR="00681004" w:rsidRPr="006441E4">
        <w:rPr>
          <w:rStyle w:val="Emphasis-Italics"/>
          <w:rFonts w:asciiTheme="minorHAnsi" w:hAnsiTheme="minorHAnsi"/>
          <w:b/>
        </w:rPr>
        <w:t>GTB</w:t>
      </w:r>
      <w:r w:rsidR="00681004" w:rsidRPr="006441E4">
        <w:rPr>
          <w:rStyle w:val="Emphasis-Italics"/>
          <w:rFonts w:asciiTheme="minorHAnsi" w:hAnsiTheme="minorHAnsi"/>
        </w:rPr>
        <w:t>s</w:t>
      </w:r>
      <w:r w:rsidRPr="006441E4">
        <w:rPr>
          <w:rStyle w:val="Emphasis-Italics"/>
          <w:rFonts w:asciiTheme="minorHAnsi" w:hAnsiTheme="minorHAnsi"/>
        </w:rPr>
        <w:t xml:space="preserve"> will implement best practice asset management processes.</w:t>
      </w:r>
    </w:p>
    <w:p w:rsidR="003A7552" w:rsidRPr="00E27F5E" w:rsidRDefault="00F86836" w:rsidP="00E27F5E">
      <w:pPr>
        <w:pStyle w:val="Heading3"/>
        <w:rPr>
          <w:i w:val="0"/>
          <w:u w:val="single"/>
        </w:rPr>
      </w:pPr>
      <w:bookmarkStart w:id="245" w:name="_Toc311198534"/>
      <w:r w:rsidRPr="00F86836">
        <w:rPr>
          <w:i w:val="0"/>
          <w:u w:val="single"/>
        </w:rPr>
        <w:t>AMP design</w:t>
      </w:r>
      <w:bookmarkEnd w:id="244"/>
      <w:bookmarkEnd w:id="245"/>
    </w:p>
    <w:p w:rsidR="00EE03CF" w:rsidRPr="006441E4" w:rsidRDefault="003A7552" w:rsidP="00440341">
      <w:pPr>
        <w:pStyle w:val="Para1"/>
        <w:numPr>
          <w:ilvl w:val="0"/>
          <w:numId w:val="35"/>
        </w:numPr>
        <w:rPr>
          <w:rStyle w:val="Emphasis-Italics"/>
          <w:i w:val="0"/>
        </w:rPr>
      </w:pPr>
      <w:bookmarkStart w:id="246" w:name="_Ref311190635"/>
      <w:r w:rsidRPr="006441E4">
        <w:rPr>
          <w:rStyle w:val="Emphasis-Italics"/>
          <w:i w:val="0"/>
        </w:rPr>
        <w:t>The core elements of asset management</w:t>
      </w:r>
      <w:bookmarkEnd w:id="246"/>
      <w:r w:rsidR="001652CA" w:rsidRPr="006441E4">
        <w:rPr>
          <w:rStyle w:val="Emphasis-Italics"/>
          <w:i w:val="0"/>
        </w:rPr>
        <w:t>:</w:t>
      </w:r>
    </w:p>
    <w:p w:rsidR="00187EE6" w:rsidRDefault="009C5BF3" w:rsidP="00440341">
      <w:pPr>
        <w:pStyle w:val="Para1"/>
        <w:numPr>
          <w:ilvl w:val="1"/>
          <w:numId w:val="42"/>
        </w:numPr>
        <w:rPr>
          <w:rStyle w:val="Emphasis-Italics"/>
          <w:i w:val="0"/>
        </w:rPr>
      </w:pPr>
      <w:r w:rsidRPr="006441E4">
        <w:rPr>
          <w:rStyle w:val="Emphasis-Italics"/>
          <w:i w:val="0"/>
        </w:rPr>
        <w:t>A</w:t>
      </w:r>
      <w:r w:rsidR="003A7552" w:rsidRPr="006441E4">
        <w:rPr>
          <w:rStyle w:val="Emphasis-Italics"/>
          <w:i w:val="0"/>
        </w:rPr>
        <w:t xml:space="preserve"> focus on </w:t>
      </w:r>
      <w:r w:rsidR="00187EE6">
        <w:rPr>
          <w:rStyle w:val="Emphasis-Italics"/>
          <w:i w:val="0"/>
        </w:rPr>
        <w:t xml:space="preserve">measuring network </w:t>
      </w:r>
      <w:r w:rsidR="003A7552" w:rsidRPr="006441E4">
        <w:rPr>
          <w:rStyle w:val="Emphasis-Italics"/>
          <w:i w:val="0"/>
        </w:rPr>
        <w:t xml:space="preserve">performance, </w:t>
      </w:r>
      <w:r w:rsidR="00187EE6">
        <w:rPr>
          <w:rStyle w:val="Emphasis-Italics"/>
          <w:i w:val="0"/>
        </w:rPr>
        <w:t>and managing the assets to achieve service targets;</w:t>
      </w:r>
    </w:p>
    <w:p w:rsidR="00E6381F" w:rsidRPr="006441E4" w:rsidRDefault="00187EE6" w:rsidP="00440341">
      <w:pPr>
        <w:pStyle w:val="Para1"/>
        <w:numPr>
          <w:ilvl w:val="1"/>
          <w:numId w:val="42"/>
        </w:numPr>
        <w:rPr>
          <w:rStyle w:val="Emphasis-Italics"/>
          <w:i w:val="0"/>
        </w:rPr>
      </w:pPr>
      <w:r>
        <w:rPr>
          <w:rStyle w:val="Emphasis-Italics"/>
          <w:i w:val="0"/>
        </w:rPr>
        <w:t>M</w:t>
      </w:r>
      <w:r w:rsidR="003A7552" w:rsidRPr="006441E4">
        <w:rPr>
          <w:rStyle w:val="Emphasis-Italics"/>
          <w:i w:val="0"/>
        </w:rPr>
        <w:t>onitoring and continuous</w:t>
      </w:r>
      <w:r>
        <w:rPr>
          <w:rStyle w:val="Emphasis-Italics"/>
          <w:i w:val="0"/>
        </w:rPr>
        <w:t>ly</w:t>
      </w:r>
      <w:r w:rsidR="003A7552" w:rsidRPr="006441E4">
        <w:rPr>
          <w:rStyle w:val="Emphasis-Italics"/>
          <w:i w:val="0"/>
        </w:rPr>
        <w:t xml:space="preserve"> improv</w:t>
      </w:r>
      <w:r>
        <w:rPr>
          <w:rStyle w:val="Emphasis-Italics"/>
          <w:i w:val="0"/>
        </w:rPr>
        <w:t>ing</w:t>
      </w:r>
      <w:r w:rsidR="001652CA" w:rsidRPr="006441E4">
        <w:rPr>
          <w:rStyle w:val="Emphasis-Italics"/>
          <w:i w:val="0"/>
        </w:rPr>
        <w:t xml:space="preserve"> asset management practices</w:t>
      </w:r>
      <w:r>
        <w:rPr>
          <w:rStyle w:val="Emphasis-Italics"/>
          <w:i w:val="0"/>
        </w:rPr>
        <w:t>;</w:t>
      </w:r>
    </w:p>
    <w:p w:rsidR="00E6381F" w:rsidRPr="006441E4" w:rsidRDefault="009C5BF3" w:rsidP="00440341">
      <w:pPr>
        <w:pStyle w:val="Para1"/>
        <w:numPr>
          <w:ilvl w:val="1"/>
          <w:numId w:val="42"/>
        </w:numPr>
        <w:rPr>
          <w:rStyle w:val="Emphasis-Italics"/>
          <w:i w:val="0"/>
        </w:rPr>
      </w:pPr>
      <w:r w:rsidRPr="006441E4">
        <w:rPr>
          <w:rStyle w:val="Emphasis-Italics"/>
          <w:i w:val="0"/>
        </w:rPr>
        <w:t>C</w:t>
      </w:r>
      <w:r w:rsidR="003A7552" w:rsidRPr="006441E4">
        <w:rPr>
          <w:rStyle w:val="Emphasis-Italics"/>
          <w:i w:val="0"/>
        </w:rPr>
        <w:t>lose alignment wit</w:t>
      </w:r>
      <w:r w:rsidR="001652CA" w:rsidRPr="006441E4">
        <w:rPr>
          <w:rStyle w:val="Emphasis-Italics"/>
          <w:i w:val="0"/>
        </w:rPr>
        <w:t>h corporate vision and strategy</w:t>
      </w:r>
      <w:r w:rsidR="00187EE6">
        <w:rPr>
          <w:rStyle w:val="Emphasis-Italics"/>
          <w:i w:val="0"/>
        </w:rPr>
        <w:t>;</w:t>
      </w:r>
    </w:p>
    <w:p w:rsidR="00E6381F" w:rsidRPr="006441E4" w:rsidRDefault="009C5BF3" w:rsidP="00440341">
      <w:pPr>
        <w:pStyle w:val="Para1"/>
        <w:numPr>
          <w:ilvl w:val="1"/>
          <w:numId w:val="42"/>
        </w:numPr>
        <w:rPr>
          <w:rStyle w:val="Emphasis-Italics"/>
          <w:i w:val="0"/>
        </w:rPr>
      </w:pPr>
      <w:r w:rsidRPr="006441E4">
        <w:rPr>
          <w:rStyle w:val="Emphasis-Italics"/>
          <w:i w:val="0"/>
        </w:rPr>
        <w:t>T</w:t>
      </w:r>
      <w:r w:rsidR="003A7552" w:rsidRPr="006441E4">
        <w:rPr>
          <w:rStyle w:val="Emphasis-Italics"/>
          <w:i w:val="0"/>
        </w:rPr>
        <w:t>hat asset management is driven by clearly defined strategies, business objec</w:t>
      </w:r>
      <w:r w:rsidR="001652CA" w:rsidRPr="006441E4">
        <w:rPr>
          <w:rStyle w:val="Emphasis-Italics"/>
          <w:i w:val="0"/>
        </w:rPr>
        <w:t>tives and service level targets</w:t>
      </w:r>
      <w:r w:rsidR="00187EE6">
        <w:rPr>
          <w:rStyle w:val="Emphasis-Italics"/>
          <w:i w:val="0"/>
        </w:rPr>
        <w:t>;</w:t>
      </w:r>
    </w:p>
    <w:p w:rsidR="00E6381F" w:rsidRPr="006441E4" w:rsidRDefault="009C5BF3" w:rsidP="00440341">
      <w:pPr>
        <w:pStyle w:val="Para1"/>
        <w:numPr>
          <w:ilvl w:val="1"/>
          <w:numId w:val="42"/>
        </w:numPr>
        <w:rPr>
          <w:rStyle w:val="Emphasis-Italics"/>
          <w:i w:val="0"/>
        </w:rPr>
      </w:pPr>
      <w:r w:rsidRPr="006441E4">
        <w:rPr>
          <w:rStyle w:val="Emphasis-Italics"/>
          <w:i w:val="0"/>
        </w:rPr>
        <w:t>T</w:t>
      </w:r>
      <w:r w:rsidR="003A7552" w:rsidRPr="006441E4">
        <w:rPr>
          <w:rStyle w:val="Emphasis-Italics"/>
          <w:i w:val="0"/>
        </w:rPr>
        <w:t xml:space="preserve">hat responsibilities and accountabilities for asset </w:t>
      </w:r>
      <w:r w:rsidR="001652CA" w:rsidRPr="006441E4">
        <w:rPr>
          <w:rStyle w:val="Emphasis-Italics"/>
          <w:i w:val="0"/>
        </w:rPr>
        <w:t>management are clearly assigned</w:t>
      </w:r>
      <w:r w:rsidR="00187EE6">
        <w:rPr>
          <w:rStyle w:val="Emphasis-Italics"/>
          <w:i w:val="0"/>
        </w:rPr>
        <w:t>;</w:t>
      </w:r>
    </w:p>
    <w:p w:rsidR="00E6381F" w:rsidRPr="006441E4" w:rsidRDefault="009C5BF3" w:rsidP="00440341">
      <w:pPr>
        <w:pStyle w:val="Para1"/>
        <w:numPr>
          <w:ilvl w:val="1"/>
          <w:numId w:val="42"/>
        </w:numPr>
        <w:rPr>
          <w:rStyle w:val="Emphasis-Italics"/>
          <w:i w:val="0"/>
        </w:rPr>
      </w:pPr>
      <w:r w:rsidRPr="006441E4">
        <w:rPr>
          <w:rStyle w:val="Emphasis-Italics"/>
          <w:i w:val="0"/>
        </w:rPr>
        <w:t>A</w:t>
      </w:r>
      <w:r w:rsidR="003A7552" w:rsidRPr="006441E4">
        <w:rPr>
          <w:rStyle w:val="Emphasis-Italics"/>
          <w:i w:val="0"/>
        </w:rPr>
        <w:t>n emphasis on knowledge of what assets are owned and why, the location of the assets and the condition of the ass</w:t>
      </w:r>
      <w:r w:rsidR="001652CA" w:rsidRPr="006441E4">
        <w:rPr>
          <w:rStyle w:val="Emphasis-Italics"/>
          <w:i w:val="0"/>
        </w:rPr>
        <w:t>ets</w:t>
      </w:r>
      <w:r w:rsidR="00187EE6">
        <w:rPr>
          <w:rStyle w:val="Emphasis-Italics"/>
          <w:i w:val="0"/>
        </w:rPr>
        <w:t>;</w:t>
      </w:r>
    </w:p>
    <w:p w:rsidR="00E6381F" w:rsidRPr="006441E4" w:rsidRDefault="009C5BF3" w:rsidP="00440341">
      <w:pPr>
        <w:pStyle w:val="Para1"/>
        <w:numPr>
          <w:ilvl w:val="1"/>
          <w:numId w:val="42"/>
        </w:numPr>
        <w:rPr>
          <w:rStyle w:val="Emphasis-Italics"/>
          <w:i w:val="0"/>
        </w:rPr>
      </w:pPr>
      <w:r w:rsidRPr="006441E4">
        <w:rPr>
          <w:rStyle w:val="Emphasis-Italics"/>
          <w:i w:val="0"/>
        </w:rPr>
        <w:t>A</w:t>
      </w:r>
      <w:r w:rsidR="003A7552" w:rsidRPr="006441E4">
        <w:rPr>
          <w:rStyle w:val="Emphasis-Italics"/>
          <w:i w:val="0"/>
        </w:rPr>
        <w:t>n emphasis on optimising as</w:t>
      </w:r>
      <w:r w:rsidR="001652CA" w:rsidRPr="006441E4">
        <w:rPr>
          <w:rStyle w:val="Emphasis-Italics"/>
          <w:i w:val="0"/>
        </w:rPr>
        <w:t>set utilisation and performance</w:t>
      </w:r>
      <w:r w:rsidR="00187EE6">
        <w:rPr>
          <w:rStyle w:val="Emphasis-Italics"/>
          <w:i w:val="0"/>
        </w:rPr>
        <w:t>;</w:t>
      </w:r>
    </w:p>
    <w:p w:rsidR="00E6381F" w:rsidRPr="006441E4" w:rsidRDefault="009C5BF3" w:rsidP="00440341">
      <w:pPr>
        <w:pStyle w:val="Para1"/>
        <w:numPr>
          <w:ilvl w:val="1"/>
          <w:numId w:val="42"/>
        </w:numPr>
        <w:rPr>
          <w:rStyle w:val="Emphasis-Italics"/>
          <w:i w:val="0"/>
        </w:rPr>
      </w:pPr>
      <w:r w:rsidRPr="006441E4">
        <w:rPr>
          <w:rStyle w:val="Emphasis-Italics"/>
          <w:i w:val="0"/>
        </w:rPr>
        <w:t>T</w:t>
      </w:r>
      <w:r w:rsidR="003A7552" w:rsidRPr="006441E4">
        <w:rPr>
          <w:rStyle w:val="Emphasis-Italics"/>
          <w:i w:val="0"/>
        </w:rPr>
        <w:t>hat a total life cycle approach shou</w:t>
      </w:r>
      <w:r w:rsidR="001652CA" w:rsidRPr="006441E4">
        <w:rPr>
          <w:rStyle w:val="Emphasis-Italics"/>
          <w:i w:val="0"/>
        </w:rPr>
        <w:t>ld be taken to asset management</w:t>
      </w:r>
      <w:r w:rsidR="00187EE6">
        <w:rPr>
          <w:rStyle w:val="Emphasis-Italics"/>
          <w:i w:val="0"/>
        </w:rPr>
        <w:t>;</w:t>
      </w:r>
    </w:p>
    <w:p w:rsidR="00E6381F" w:rsidRPr="006441E4" w:rsidRDefault="009C5BF3" w:rsidP="00440341">
      <w:pPr>
        <w:pStyle w:val="Para1"/>
        <w:numPr>
          <w:ilvl w:val="1"/>
          <w:numId w:val="42"/>
        </w:numPr>
        <w:rPr>
          <w:rStyle w:val="Emphasis-Italics"/>
          <w:i w:val="0"/>
        </w:rPr>
      </w:pPr>
      <w:r w:rsidRPr="006441E4">
        <w:rPr>
          <w:rStyle w:val="Emphasis-Italics"/>
          <w:i w:val="0"/>
        </w:rPr>
        <w:t>T</w:t>
      </w:r>
      <w:r w:rsidR="003A7552" w:rsidRPr="006441E4">
        <w:rPr>
          <w:rStyle w:val="Emphasis-Italics"/>
          <w:i w:val="0"/>
        </w:rPr>
        <w:t>hat the use of ‘non-network’ solutions and demand management techniques as alternatives to asset acquisition is considered.</w:t>
      </w:r>
      <w:bookmarkStart w:id="247" w:name="_Ref312251790"/>
    </w:p>
    <w:p w:rsidR="00E6381F" w:rsidRPr="006441E4" w:rsidRDefault="003A7552" w:rsidP="00440341">
      <w:pPr>
        <w:pStyle w:val="Para1"/>
        <w:numPr>
          <w:ilvl w:val="0"/>
          <w:numId w:val="42"/>
        </w:numPr>
        <w:rPr>
          <w:rStyle w:val="Emphasis-Italics"/>
          <w:i w:val="0"/>
        </w:rPr>
      </w:pPr>
      <w:bookmarkStart w:id="248" w:name="_Ref327205691"/>
      <w:r w:rsidRPr="006441E4">
        <w:rPr>
          <w:rStyle w:val="Emphasis-Italics"/>
          <w:i w:val="0"/>
        </w:rPr>
        <w:t xml:space="preserve">The disclosure requirements are designed to produce </w:t>
      </w:r>
      <w:r w:rsidRPr="006441E4">
        <w:rPr>
          <w:rStyle w:val="Emphasis-Italics"/>
          <w:b/>
          <w:i w:val="0"/>
        </w:rPr>
        <w:t>AMP</w:t>
      </w:r>
      <w:r w:rsidRPr="006441E4">
        <w:rPr>
          <w:rStyle w:val="Emphasis-Italics"/>
          <w:i w:val="0"/>
        </w:rPr>
        <w:t>s that</w:t>
      </w:r>
      <w:bookmarkEnd w:id="247"/>
      <w:r w:rsidR="00187EE6">
        <w:rPr>
          <w:rStyle w:val="Emphasis-Italics"/>
          <w:i w:val="0"/>
        </w:rPr>
        <w:t>—</w:t>
      </w:r>
      <w:bookmarkEnd w:id="248"/>
    </w:p>
    <w:p w:rsidR="00E6381F" w:rsidRPr="006441E4" w:rsidRDefault="009C5BF3" w:rsidP="00440341">
      <w:pPr>
        <w:pStyle w:val="Para1"/>
        <w:numPr>
          <w:ilvl w:val="1"/>
          <w:numId w:val="43"/>
        </w:numPr>
        <w:rPr>
          <w:rStyle w:val="Emphasis-Italics"/>
          <w:i w:val="0"/>
        </w:rPr>
      </w:pPr>
      <w:r w:rsidRPr="006441E4">
        <w:rPr>
          <w:rStyle w:val="Emphasis-Italics"/>
          <w:i w:val="0"/>
        </w:rPr>
        <w:t>A</w:t>
      </w:r>
      <w:r w:rsidR="003A7552" w:rsidRPr="006441E4">
        <w:rPr>
          <w:rStyle w:val="Emphasis-Italics"/>
          <w:i w:val="0"/>
        </w:rPr>
        <w:t xml:space="preserve">re based on, but are not limited to, the core elements of asset management identified in clause </w:t>
      </w:r>
      <w:fldSimple w:instr=" REF  _Ref311190635 \h \w  \* MERGEFORMAT ">
        <w:r w:rsidR="00B06C04">
          <w:t>1</w:t>
        </w:r>
      </w:fldSimple>
      <w:r w:rsidRPr="006441E4">
        <w:t xml:space="preserve"> </w:t>
      </w:r>
      <w:r w:rsidR="00187EE6">
        <w:t>above;</w:t>
      </w:r>
    </w:p>
    <w:p w:rsidR="00E6381F" w:rsidRPr="006441E4" w:rsidRDefault="009C5BF3" w:rsidP="00440341">
      <w:pPr>
        <w:pStyle w:val="Para1"/>
        <w:numPr>
          <w:ilvl w:val="1"/>
          <w:numId w:val="43"/>
        </w:numPr>
        <w:rPr>
          <w:rStyle w:val="Emphasis-Italics"/>
          <w:i w:val="0"/>
        </w:rPr>
      </w:pPr>
      <w:r w:rsidRPr="006441E4">
        <w:rPr>
          <w:rStyle w:val="Emphasis-Italics"/>
          <w:i w:val="0"/>
        </w:rPr>
        <w:t>A</w:t>
      </w:r>
      <w:r w:rsidR="003A7552" w:rsidRPr="006441E4">
        <w:rPr>
          <w:rStyle w:val="Emphasis-Italics"/>
          <w:i w:val="0"/>
        </w:rPr>
        <w:t xml:space="preserve">re clearly documented and </w:t>
      </w:r>
      <w:r w:rsidR="00E27F5E">
        <w:rPr>
          <w:rStyle w:val="Emphasis-Italics"/>
          <w:i w:val="0"/>
        </w:rPr>
        <w:t>made available</w:t>
      </w:r>
      <w:r w:rsidR="00E27F5E" w:rsidRPr="006441E4">
        <w:rPr>
          <w:rStyle w:val="Emphasis-Italics"/>
          <w:i w:val="0"/>
        </w:rPr>
        <w:t xml:space="preserve"> </w:t>
      </w:r>
      <w:r w:rsidR="003A7552" w:rsidRPr="006441E4">
        <w:rPr>
          <w:rStyle w:val="Emphasis-Italics"/>
          <w:i w:val="0"/>
        </w:rPr>
        <w:t>to</w:t>
      </w:r>
      <w:r w:rsidR="001652CA" w:rsidRPr="006441E4">
        <w:rPr>
          <w:rStyle w:val="Emphasis-Italics"/>
          <w:i w:val="0"/>
        </w:rPr>
        <w:t xml:space="preserve"> all stakeholders</w:t>
      </w:r>
      <w:r w:rsidR="00187EE6">
        <w:rPr>
          <w:rStyle w:val="Emphasis-Italics"/>
          <w:i w:val="0"/>
        </w:rPr>
        <w:t>;</w:t>
      </w:r>
    </w:p>
    <w:p w:rsidR="00E6381F" w:rsidRPr="006441E4" w:rsidRDefault="009C5BF3" w:rsidP="00440341">
      <w:pPr>
        <w:pStyle w:val="Para1"/>
        <w:numPr>
          <w:ilvl w:val="1"/>
          <w:numId w:val="43"/>
        </w:numPr>
        <w:rPr>
          <w:rStyle w:val="Emphasis-Italics"/>
          <w:i w:val="0"/>
        </w:rPr>
      </w:pPr>
      <w:r w:rsidRPr="006441E4">
        <w:rPr>
          <w:rStyle w:val="Emphasis-Italics"/>
          <w:i w:val="0"/>
        </w:rPr>
        <w:t>C</w:t>
      </w:r>
      <w:r w:rsidR="003A7552" w:rsidRPr="006441E4">
        <w:rPr>
          <w:rStyle w:val="Emphasis-Italics"/>
          <w:i w:val="0"/>
        </w:rPr>
        <w:t xml:space="preserve">ontain sufficient information to allow interested persons to make an informed judgement about the extent to which the </w:t>
      </w:r>
      <w:r w:rsidR="00143168" w:rsidRPr="006441E4">
        <w:rPr>
          <w:rStyle w:val="Emphasis-Italics"/>
          <w:b/>
          <w:i w:val="0"/>
        </w:rPr>
        <w:t>GTB</w:t>
      </w:r>
      <w:r w:rsidR="003A7552" w:rsidRPr="006441E4">
        <w:rPr>
          <w:rStyle w:val="Emphasis-Italics"/>
          <w:i w:val="0"/>
        </w:rPr>
        <w:t>’s asset management proces</w:t>
      </w:r>
      <w:r w:rsidR="001652CA" w:rsidRPr="006441E4">
        <w:rPr>
          <w:rStyle w:val="Emphasis-Italics"/>
          <w:i w:val="0"/>
        </w:rPr>
        <w:t>ses meet best practice criteria</w:t>
      </w:r>
      <w:r w:rsidR="00E27F5E">
        <w:rPr>
          <w:rStyle w:val="Emphasis-Italics"/>
          <w:i w:val="0"/>
        </w:rPr>
        <w:t xml:space="preserve"> and outcomes are consistent with outcomes produced in competitive markets</w:t>
      </w:r>
      <w:r w:rsidR="00187EE6">
        <w:rPr>
          <w:rStyle w:val="Emphasis-Italics"/>
          <w:i w:val="0"/>
        </w:rPr>
        <w:t>;</w:t>
      </w:r>
    </w:p>
    <w:p w:rsidR="00E6381F" w:rsidRPr="006441E4" w:rsidRDefault="009C5BF3" w:rsidP="00440341">
      <w:pPr>
        <w:pStyle w:val="Para1"/>
        <w:numPr>
          <w:ilvl w:val="1"/>
          <w:numId w:val="43"/>
        </w:numPr>
        <w:rPr>
          <w:rStyle w:val="Emphasis-Italics"/>
          <w:i w:val="0"/>
        </w:rPr>
      </w:pPr>
      <w:r w:rsidRPr="006441E4">
        <w:rPr>
          <w:rStyle w:val="Emphasis-Italics"/>
          <w:i w:val="0"/>
        </w:rPr>
        <w:t>S</w:t>
      </w:r>
      <w:r w:rsidR="003A7552" w:rsidRPr="006441E4">
        <w:rPr>
          <w:rStyle w:val="Emphasis-Italics"/>
          <w:i w:val="0"/>
        </w:rPr>
        <w:t>pecifically support the achievement of disclosed servic</w:t>
      </w:r>
      <w:r w:rsidR="001652CA" w:rsidRPr="006441E4">
        <w:rPr>
          <w:rStyle w:val="Emphasis-Italics"/>
          <w:i w:val="0"/>
        </w:rPr>
        <w:t>e level targets</w:t>
      </w:r>
      <w:r w:rsidR="00187EE6">
        <w:rPr>
          <w:rStyle w:val="Emphasis-Italics"/>
          <w:i w:val="0"/>
        </w:rPr>
        <w:t>;</w:t>
      </w:r>
    </w:p>
    <w:p w:rsidR="00E6381F" w:rsidRPr="006441E4" w:rsidRDefault="009C5BF3" w:rsidP="00440341">
      <w:pPr>
        <w:pStyle w:val="Para1"/>
        <w:numPr>
          <w:ilvl w:val="1"/>
          <w:numId w:val="43"/>
        </w:numPr>
        <w:rPr>
          <w:rStyle w:val="Emphasis-Italics"/>
          <w:i w:val="0"/>
        </w:rPr>
      </w:pPr>
      <w:r w:rsidRPr="006441E4">
        <w:rPr>
          <w:rStyle w:val="Emphasis-Italics"/>
          <w:i w:val="0"/>
        </w:rPr>
        <w:t>E</w:t>
      </w:r>
      <w:r w:rsidR="003A7552" w:rsidRPr="006441E4">
        <w:rPr>
          <w:rStyle w:val="Emphasis-Italics"/>
          <w:i w:val="0"/>
        </w:rPr>
        <w:t>mphasise knowledge of the performance and risks of assets and identify opportunities to improve performance and provide a sound ba</w:t>
      </w:r>
      <w:r w:rsidR="001652CA" w:rsidRPr="006441E4">
        <w:rPr>
          <w:rStyle w:val="Emphasis-Italics"/>
          <w:i w:val="0"/>
        </w:rPr>
        <w:t>sis for ongoing risk assessment</w:t>
      </w:r>
      <w:r w:rsidR="00187EE6">
        <w:rPr>
          <w:rStyle w:val="Emphasis-Italics"/>
          <w:i w:val="0"/>
        </w:rPr>
        <w:t>;</w:t>
      </w:r>
    </w:p>
    <w:p w:rsidR="00E6381F" w:rsidRPr="006441E4" w:rsidRDefault="009C5BF3" w:rsidP="00440341">
      <w:pPr>
        <w:pStyle w:val="Para1"/>
        <w:numPr>
          <w:ilvl w:val="1"/>
          <w:numId w:val="43"/>
        </w:numPr>
        <w:rPr>
          <w:rStyle w:val="Emphasis-Italics"/>
          <w:i w:val="0"/>
        </w:rPr>
      </w:pPr>
      <w:r w:rsidRPr="006441E4">
        <w:rPr>
          <w:rStyle w:val="Emphasis-Italics"/>
          <w:i w:val="0"/>
        </w:rPr>
        <w:t>C</w:t>
      </w:r>
      <w:r w:rsidR="003A7552" w:rsidRPr="006441E4">
        <w:rPr>
          <w:rStyle w:val="Emphasis-Italics"/>
          <w:i w:val="0"/>
        </w:rPr>
        <w:t>onsider the mechanics o</w:t>
      </w:r>
      <w:r w:rsidR="001652CA" w:rsidRPr="006441E4">
        <w:rPr>
          <w:rStyle w:val="Emphasis-Italics"/>
          <w:i w:val="0"/>
        </w:rPr>
        <w:t>f delivery including resourcing</w:t>
      </w:r>
      <w:r w:rsidR="00187EE6">
        <w:rPr>
          <w:rStyle w:val="Emphasis-Italics"/>
          <w:i w:val="0"/>
        </w:rPr>
        <w:t>;</w:t>
      </w:r>
    </w:p>
    <w:p w:rsidR="00E6381F" w:rsidRPr="006441E4" w:rsidRDefault="009C5BF3" w:rsidP="00440341">
      <w:pPr>
        <w:pStyle w:val="Para1"/>
        <w:numPr>
          <w:ilvl w:val="1"/>
          <w:numId w:val="43"/>
        </w:numPr>
        <w:rPr>
          <w:rStyle w:val="Emphasis-Italics"/>
          <w:i w:val="0"/>
        </w:rPr>
      </w:pPr>
      <w:r w:rsidRPr="006441E4">
        <w:rPr>
          <w:rStyle w:val="Emphasis-Italics"/>
          <w:i w:val="0"/>
        </w:rPr>
        <w:t>C</w:t>
      </w:r>
      <w:r w:rsidR="003A7552" w:rsidRPr="006441E4">
        <w:rPr>
          <w:rStyle w:val="Emphasis-Italics"/>
          <w:i w:val="0"/>
        </w:rPr>
        <w:t xml:space="preserve">onsider the organisational structure and capability necessary to deliver the </w:t>
      </w:r>
      <w:r w:rsidRPr="006441E4">
        <w:rPr>
          <w:rStyle w:val="Emphasis-Italics"/>
          <w:b/>
          <w:i w:val="0"/>
        </w:rPr>
        <w:t>AMP</w:t>
      </w:r>
      <w:r w:rsidR="00F86836" w:rsidRPr="00F86836">
        <w:rPr>
          <w:rStyle w:val="Emphasis-Italics"/>
          <w:i w:val="0"/>
        </w:rPr>
        <w:t>;</w:t>
      </w:r>
    </w:p>
    <w:p w:rsidR="00E6381F" w:rsidRPr="006441E4" w:rsidRDefault="009C5BF3" w:rsidP="00440341">
      <w:pPr>
        <w:pStyle w:val="Para1"/>
        <w:numPr>
          <w:ilvl w:val="1"/>
          <w:numId w:val="43"/>
        </w:numPr>
        <w:rPr>
          <w:rStyle w:val="Emphasis-Italics"/>
          <w:i w:val="0"/>
        </w:rPr>
      </w:pPr>
      <w:r w:rsidRPr="006441E4">
        <w:rPr>
          <w:rStyle w:val="Emphasis-Italics"/>
          <w:i w:val="0"/>
        </w:rPr>
        <w:t>C</w:t>
      </w:r>
      <w:r w:rsidR="003A7552" w:rsidRPr="006441E4">
        <w:rPr>
          <w:rStyle w:val="Emphasis-Italics"/>
          <w:i w:val="0"/>
        </w:rPr>
        <w:t>onsider the organisational and contractor competencie</w:t>
      </w:r>
      <w:r w:rsidR="001652CA" w:rsidRPr="006441E4">
        <w:rPr>
          <w:rStyle w:val="Emphasis-Italics"/>
          <w:i w:val="0"/>
        </w:rPr>
        <w:t>s and any training requirements</w:t>
      </w:r>
      <w:r w:rsidR="00187EE6">
        <w:rPr>
          <w:rStyle w:val="Emphasis-Italics"/>
          <w:i w:val="0"/>
        </w:rPr>
        <w:t>;</w:t>
      </w:r>
    </w:p>
    <w:p w:rsidR="00E6381F" w:rsidRPr="00856FB3" w:rsidRDefault="009C5BF3" w:rsidP="00440341">
      <w:pPr>
        <w:pStyle w:val="Para1"/>
        <w:numPr>
          <w:ilvl w:val="1"/>
          <w:numId w:val="43"/>
        </w:numPr>
        <w:rPr>
          <w:rStyle w:val="Emphasis-Italics"/>
          <w:i w:val="0"/>
        </w:rPr>
      </w:pPr>
      <w:r w:rsidRPr="006441E4">
        <w:rPr>
          <w:rStyle w:val="Emphasis-Italics"/>
          <w:i w:val="0"/>
        </w:rPr>
        <w:t>C</w:t>
      </w:r>
      <w:r w:rsidR="003A7552" w:rsidRPr="006441E4">
        <w:rPr>
          <w:rStyle w:val="Emphasis-Italics"/>
          <w:i w:val="0"/>
        </w:rPr>
        <w:t xml:space="preserve">onsider the systems, integration and information management necessary to deliver the </w:t>
      </w:r>
      <w:r w:rsidR="00856FB3" w:rsidRPr="00856FB3">
        <w:rPr>
          <w:rStyle w:val="Emphasis-Italics"/>
          <w:i w:val="0"/>
        </w:rPr>
        <w:t>plans</w:t>
      </w:r>
      <w:r w:rsidR="00187EE6">
        <w:rPr>
          <w:rStyle w:val="Emphasis-Italics"/>
          <w:i w:val="0"/>
        </w:rPr>
        <w:t>;</w:t>
      </w:r>
    </w:p>
    <w:p w:rsidR="00E6381F" w:rsidRPr="006441E4" w:rsidRDefault="009C5BF3" w:rsidP="00440341">
      <w:pPr>
        <w:pStyle w:val="Para1"/>
        <w:numPr>
          <w:ilvl w:val="1"/>
          <w:numId w:val="43"/>
        </w:numPr>
        <w:rPr>
          <w:rStyle w:val="Emphasis-Italics"/>
          <w:i w:val="0"/>
        </w:rPr>
      </w:pPr>
      <w:r w:rsidRPr="006441E4">
        <w:rPr>
          <w:rStyle w:val="Emphasis-Italics"/>
          <w:i w:val="0"/>
        </w:rPr>
        <w:t>U</w:t>
      </w:r>
      <w:r w:rsidR="003A7552" w:rsidRPr="006441E4">
        <w:rPr>
          <w:rStyle w:val="Emphasis-Italics"/>
          <w:i w:val="0"/>
        </w:rPr>
        <w:t xml:space="preserve">se unambiguous and consistent definitions of asset management processes </w:t>
      </w:r>
      <w:r w:rsidR="00E27F5E">
        <w:rPr>
          <w:rStyle w:val="Emphasis-Italics"/>
          <w:i w:val="0"/>
        </w:rPr>
        <w:t xml:space="preserve">and terminology consistent with the terms used in this appendix </w:t>
      </w:r>
      <w:r w:rsidR="003A7552" w:rsidRPr="006441E4">
        <w:rPr>
          <w:rStyle w:val="Emphasis-Italics"/>
          <w:i w:val="0"/>
        </w:rPr>
        <w:t xml:space="preserve">to enhance comparability of asset management practices over time and between </w:t>
      </w:r>
      <w:r w:rsidR="00E46BC1" w:rsidRPr="006441E4">
        <w:rPr>
          <w:rStyle w:val="Emphasis-Italics"/>
          <w:b/>
          <w:i w:val="0"/>
        </w:rPr>
        <w:t>GTB</w:t>
      </w:r>
      <w:r w:rsidR="001652CA" w:rsidRPr="006441E4">
        <w:rPr>
          <w:rStyle w:val="Emphasis-Italics"/>
          <w:i w:val="0"/>
        </w:rPr>
        <w:t>s</w:t>
      </w:r>
      <w:r w:rsidR="00187EE6">
        <w:rPr>
          <w:rStyle w:val="Emphasis-Italics"/>
          <w:i w:val="0"/>
        </w:rPr>
        <w:t>;</w:t>
      </w:r>
    </w:p>
    <w:p w:rsidR="003A7552" w:rsidRPr="006441E4" w:rsidRDefault="009C5BF3" w:rsidP="00440341">
      <w:pPr>
        <w:pStyle w:val="Para1"/>
        <w:numPr>
          <w:ilvl w:val="1"/>
          <w:numId w:val="43"/>
        </w:numPr>
        <w:rPr>
          <w:rStyle w:val="Emphasis-Italics"/>
          <w:i w:val="0"/>
        </w:rPr>
      </w:pPr>
      <w:r w:rsidRPr="006441E4">
        <w:rPr>
          <w:rStyle w:val="Emphasis-Italics"/>
          <w:i w:val="0"/>
        </w:rPr>
        <w:t>P</w:t>
      </w:r>
      <w:r w:rsidR="003A7552" w:rsidRPr="006441E4">
        <w:rPr>
          <w:rStyle w:val="Emphasis-Italics"/>
          <w:i w:val="0"/>
        </w:rPr>
        <w:t>romote continual improvements to asset management practices.</w:t>
      </w:r>
    </w:p>
    <w:p w:rsidR="003A7552" w:rsidRPr="006441E4" w:rsidRDefault="003A7552" w:rsidP="003A7552">
      <w:pPr>
        <w:pStyle w:val="UnnumberedL2"/>
        <w:ind w:left="709"/>
        <w:rPr>
          <w:rStyle w:val="Emphasis-Italics"/>
          <w:rFonts w:asciiTheme="minorHAnsi" w:hAnsiTheme="minorHAnsi"/>
          <w:i w:val="0"/>
        </w:rPr>
      </w:pPr>
      <w:r w:rsidRPr="006441E4">
        <w:rPr>
          <w:rStyle w:val="Emphasis-Italics"/>
          <w:rFonts w:asciiTheme="minorHAnsi" w:hAnsiTheme="minorHAnsi"/>
        </w:rPr>
        <w:t xml:space="preserve">Disclosing an </w:t>
      </w:r>
      <w:r w:rsidRPr="006441E4">
        <w:rPr>
          <w:rStyle w:val="Emphasis-Italics"/>
          <w:rFonts w:asciiTheme="minorHAnsi" w:hAnsiTheme="minorHAnsi"/>
          <w:b/>
        </w:rPr>
        <w:t>AMP</w:t>
      </w:r>
      <w:r w:rsidRPr="006441E4">
        <w:rPr>
          <w:rStyle w:val="Emphasis-Italics"/>
          <w:rFonts w:asciiTheme="minorHAnsi" w:hAnsiTheme="minorHAnsi"/>
        </w:rPr>
        <w:t xml:space="preserve"> does not constrain a</w:t>
      </w:r>
      <w:r w:rsidR="00143168" w:rsidRPr="006441E4">
        <w:rPr>
          <w:rStyle w:val="Emphasis-Italics"/>
          <w:rFonts w:asciiTheme="minorHAnsi" w:hAnsiTheme="minorHAnsi"/>
        </w:rPr>
        <w:t xml:space="preserve"> </w:t>
      </w:r>
      <w:r w:rsidR="00143168" w:rsidRPr="006441E4">
        <w:rPr>
          <w:rStyle w:val="Emphasis-Italics"/>
          <w:rFonts w:asciiTheme="minorHAnsi" w:hAnsiTheme="minorHAnsi"/>
          <w:b/>
        </w:rPr>
        <w:t>GTB</w:t>
      </w:r>
      <w:r w:rsidRPr="006441E4">
        <w:rPr>
          <w:rStyle w:val="Emphasis-Italics"/>
          <w:rFonts w:asciiTheme="minorHAnsi" w:hAnsiTheme="minorHAnsi"/>
        </w:rPr>
        <w:t xml:space="preserve"> from managing </w:t>
      </w:r>
      <w:r w:rsidR="00E6381F" w:rsidRPr="006441E4">
        <w:rPr>
          <w:rStyle w:val="Emphasis-Italics"/>
          <w:rFonts w:asciiTheme="minorHAnsi" w:hAnsiTheme="minorHAnsi"/>
        </w:rPr>
        <w:t>its</w:t>
      </w:r>
      <w:r w:rsidRPr="006441E4">
        <w:rPr>
          <w:rStyle w:val="Emphasis-Italics"/>
          <w:rFonts w:asciiTheme="minorHAnsi" w:hAnsiTheme="minorHAnsi"/>
        </w:rPr>
        <w:t xml:space="preserve"> assets in a way that differs from the </w:t>
      </w:r>
      <w:r w:rsidRPr="006441E4">
        <w:rPr>
          <w:rStyle w:val="Emphasis-Italics"/>
          <w:rFonts w:asciiTheme="minorHAnsi" w:hAnsiTheme="minorHAnsi"/>
          <w:b/>
        </w:rPr>
        <w:t>AMP</w:t>
      </w:r>
      <w:r w:rsidRPr="006441E4">
        <w:rPr>
          <w:rStyle w:val="Emphasis-Italics"/>
          <w:rFonts w:asciiTheme="minorHAnsi" w:hAnsiTheme="minorHAnsi"/>
        </w:rPr>
        <w:t xml:space="preserve"> if circumstances change after preparing the </w:t>
      </w:r>
      <w:r w:rsidR="009C5BF3" w:rsidRPr="006441E4">
        <w:rPr>
          <w:rStyle w:val="Emphasis-Italics"/>
          <w:rFonts w:asciiTheme="minorHAnsi" w:hAnsiTheme="minorHAnsi"/>
          <w:b/>
        </w:rPr>
        <w:t>AMP</w:t>
      </w:r>
      <w:r w:rsidRPr="006441E4">
        <w:rPr>
          <w:rStyle w:val="Emphasis-Italics"/>
          <w:rFonts w:asciiTheme="minorHAnsi" w:hAnsiTheme="minorHAnsi"/>
        </w:rPr>
        <w:t xml:space="preserve"> or if the </w:t>
      </w:r>
      <w:r w:rsidR="00C14D9D" w:rsidRPr="006441E4">
        <w:rPr>
          <w:rStyle w:val="Emphasis-Italics"/>
          <w:rFonts w:asciiTheme="minorHAnsi" w:hAnsiTheme="minorHAnsi"/>
          <w:b/>
        </w:rPr>
        <w:t>GTB</w:t>
      </w:r>
      <w:r w:rsidRPr="006441E4">
        <w:rPr>
          <w:rStyle w:val="Emphasis-Italics"/>
          <w:rFonts w:asciiTheme="minorHAnsi" w:hAnsiTheme="minorHAnsi"/>
        </w:rPr>
        <w:t xml:space="preserve"> adopts improved asset management practices.</w:t>
      </w:r>
    </w:p>
    <w:p w:rsidR="003A7552" w:rsidRPr="00E27F5E" w:rsidRDefault="00F86836" w:rsidP="003A7552">
      <w:pPr>
        <w:pStyle w:val="Heading3"/>
        <w:rPr>
          <w:i w:val="0"/>
          <w:u w:val="single"/>
        </w:rPr>
      </w:pPr>
      <w:bookmarkStart w:id="249" w:name="_Toc311198535"/>
      <w:r w:rsidRPr="00F86836">
        <w:rPr>
          <w:i w:val="0"/>
          <w:u w:val="single"/>
        </w:rPr>
        <w:t>Contents of the AMP</w:t>
      </w:r>
      <w:bookmarkEnd w:id="249"/>
    </w:p>
    <w:p w:rsidR="00E6381F" w:rsidRPr="006441E4" w:rsidRDefault="003A7552" w:rsidP="00440341">
      <w:pPr>
        <w:pStyle w:val="Para1"/>
        <w:numPr>
          <w:ilvl w:val="0"/>
          <w:numId w:val="42"/>
        </w:numPr>
        <w:rPr>
          <w:rStyle w:val="Emphasis-Italics"/>
          <w:i w:val="0"/>
        </w:rPr>
      </w:pPr>
      <w:bookmarkStart w:id="250" w:name="_Toc307315457"/>
      <w:r w:rsidRPr="006441E4">
        <w:rPr>
          <w:rStyle w:val="Emphasis-Italics"/>
          <w:i w:val="0"/>
        </w:rPr>
        <w:t xml:space="preserve">The </w:t>
      </w:r>
      <w:r w:rsidRPr="006441E4">
        <w:rPr>
          <w:rStyle w:val="Emphasis-Italics"/>
          <w:b/>
          <w:i w:val="0"/>
        </w:rPr>
        <w:t>AMP</w:t>
      </w:r>
      <w:r w:rsidRPr="006441E4">
        <w:rPr>
          <w:rStyle w:val="Emphasis-Italics"/>
          <w:i w:val="0"/>
        </w:rPr>
        <w:t xml:space="preserve"> must include the following:</w:t>
      </w:r>
    </w:p>
    <w:p w:rsidR="00E6381F" w:rsidRPr="006441E4" w:rsidRDefault="009C5BF3" w:rsidP="00440341">
      <w:pPr>
        <w:pStyle w:val="Para1"/>
        <w:numPr>
          <w:ilvl w:val="1"/>
          <w:numId w:val="44"/>
        </w:numPr>
      </w:pPr>
      <w:r w:rsidRPr="006441E4">
        <w:t xml:space="preserve">A </w:t>
      </w:r>
      <w:r w:rsidR="003A7552" w:rsidRPr="006441E4">
        <w:t xml:space="preserve">summary that provides a brief overview of the contents and highlights information that the </w:t>
      </w:r>
      <w:r w:rsidR="00143168" w:rsidRPr="006441E4">
        <w:rPr>
          <w:b/>
        </w:rPr>
        <w:t>GTB</w:t>
      </w:r>
      <w:r w:rsidR="00143168" w:rsidRPr="006441E4">
        <w:t xml:space="preserve"> </w:t>
      </w:r>
      <w:r w:rsidR="003A7552" w:rsidRPr="006441E4">
        <w:t>considers significant</w:t>
      </w:r>
      <w:bookmarkStart w:id="251" w:name="_Toc307315458"/>
      <w:bookmarkEnd w:id="250"/>
    </w:p>
    <w:p w:rsidR="00E6381F" w:rsidRPr="006441E4" w:rsidRDefault="009C5BF3" w:rsidP="00440341">
      <w:pPr>
        <w:pStyle w:val="Para1"/>
        <w:numPr>
          <w:ilvl w:val="1"/>
          <w:numId w:val="44"/>
        </w:numPr>
      </w:pPr>
      <w:r w:rsidRPr="006441E4">
        <w:t>D</w:t>
      </w:r>
      <w:r w:rsidR="003A7552" w:rsidRPr="006441E4">
        <w:t xml:space="preserve">etails of the background and objectives of the </w:t>
      </w:r>
      <w:r w:rsidR="00143168" w:rsidRPr="006441E4">
        <w:rPr>
          <w:b/>
        </w:rPr>
        <w:t>GTB</w:t>
      </w:r>
      <w:r w:rsidR="003A7552" w:rsidRPr="006441E4">
        <w:t>’s asset management and planning processes</w:t>
      </w:r>
      <w:bookmarkEnd w:id="251"/>
    </w:p>
    <w:p w:rsidR="003517CB" w:rsidRDefault="00856FB3" w:rsidP="00440341">
      <w:pPr>
        <w:pStyle w:val="Para1"/>
        <w:numPr>
          <w:ilvl w:val="1"/>
          <w:numId w:val="44"/>
        </w:numPr>
      </w:pPr>
      <w:bookmarkStart w:id="252" w:name="_Ref329180785"/>
      <w:r>
        <w:t>A</w:t>
      </w:r>
      <w:r w:rsidRPr="006441E4">
        <w:t xml:space="preserve"> </w:t>
      </w:r>
      <w:r w:rsidR="003A7552" w:rsidRPr="006441E4">
        <w:t xml:space="preserve">purpose statement </w:t>
      </w:r>
      <w:r>
        <w:t>which</w:t>
      </w:r>
      <w:r w:rsidR="003A7552" w:rsidRPr="006441E4">
        <w:t>:</w:t>
      </w:r>
      <w:bookmarkEnd w:id="252"/>
    </w:p>
    <w:p w:rsidR="00E6381F" w:rsidRPr="006441E4" w:rsidRDefault="003A7552" w:rsidP="00440341">
      <w:pPr>
        <w:pStyle w:val="Para1"/>
        <w:numPr>
          <w:ilvl w:val="2"/>
          <w:numId w:val="45"/>
        </w:numPr>
      </w:pPr>
      <w:proofErr w:type="gramStart"/>
      <w:r w:rsidRPr="006441E4">
        <w:t>make</w:t>
      </w:r>
      <w:r w:rsidR="00856FB3">
        <w:t>s</w:t>
      </w:r>
      <w:proofErr w:type="gramEnd"/>
      <w:r w:rsidRPr="006441E4">
        <w:t xml:space="preserve"> clear the purpose and status of the </w:t>
      </w:r>
      <w:r w:rsidRPr="006441E4">
        <w:rPr>
          <w:b/>
        </w:rPr>
        <w:t>AMP</w:t>
      </w:r>
      <w:r w:rsidRPr="006441E4">
        <w:t xml:space="preserve"> in the </w:t>
      </w:r>
      <w:r w:rsidR="00C14D9D" w:rsidRPr="006441E4">
        <w:rPr>
          <w:b/>
        </w:rPr>
        <w:t>GTB</w:t>
      </w:r>
      <w:r w:rsidRPr="006441E4">
        <w:t>’s asset management practices. The purpose statement must also include a statement of the objectives of the asset ma</w:t>
      </w:r>
      <w:r w:rsidR="002D118E" w:rsidRPr="006441E4">
        <w:t>nagement and planning processes</w:t>
      </w:r>
    </w:p>
    <w:p w:rsidR="00E6381F" w:rsidRPr="006441E4" w:rsidRDefault="00C54225" w:rsidP="00440341">
      <w:pPr>
        <w:pStyle w:val="Para1"/>
        <w:numPr>
          <w:ilvl w:val="2"/>
          <w:numId w:val="45"/>
        </w:numPr>
      </w:pPr>
      <w:r w:rsidRPr="006441E4">
        <w:t>state</w:t>
      </w:r>
      <w:r w:rsidR="00856FB3">
        <w:t>s</w:t>
      </w:r>
      <w:r w:rsidRPr="006441E4">
        <w:t xml:space="preserve"> </w:t>
      </w:r>
      <w:r w:rsidR="003A7552" w:rsidRPr="006441E4">
        <w:t>the corporate mission or vision as</w:t>
      </w:r>
      <w:r w:rsidR="002D118E" w:rsidRPr="006441E4">
        <w:t xml:space="preserve"> it relates to asset management</w:t>
      </w:r>
    </w:p>
    <w:p w:rsidR="00E6381F" w:rsidRPr="006441E4" w:rsidRDefault="00856FB3" w:rsidP="00440341">
      <w:pPr>
        <w:pStyle w:val="Para1"/>
        <w:numPr>
          <w:ilvl w:val="2"/>
          <w:numId w:val="45"/>
        </w:numPr>
      </w:pPr>
      <w:r w:rsidRPr="006441E4">
        <w:t>identif</w:t>
      </w:r>
      <w:r>
        <w:t>ies</w:t>
      </w:r>
      <w:r w:rsidRPr="006441E4">
        <w:t xml:space="preserve"> </w:t>
      </w:r>
      <w:r w:rsidR="003A7552" w:rsidRPr="006441E4">
        <w:t xml:space="preserve">the documented plans produced as outputs of the annual business planning process adopted by the </w:t>
      </w:r>
      <w:r w:rsidR="00C14D9D" w:rsidRPr="006441E4">
        <w:rPr>
          <w:b/>
        </w:rPr>
        <w:t>GTB</w:t>
      </w:r>
    </w:p>
    <w:p w:rsidR="00E6381F" w:rsidRPr="006441E4" w:rsidRDefault="003A7552" w:rsidP="00440341">
      <w:pPr>
        <w:pStyle w:val="Para1"/>
        <w:numPr>
          <w:ilvl w:val="2"/>
          <w:numId w:val="45"/>
        </w:numPr>
      </w:pPr>
      <w:r w:rsidRPr="006441E4">
        <w:t>state</w:t>
      </w:r>
      <w:r w:rsidR="00856FB3">
        <w:t>s</w:t>
      </w:r>
      <w:r w:rsidRPr="006441E4">
        <w:t xml:space="preserve"> how the different documented plans relate to one another, with particular reference to any plans specificall</w:t>
      </w:r>
      <w:r w:rsidR="002D118E" w:rsidRPr="006441E4">
        <w:t>y dealing with asset management</w:t>
      </w:r>
    </w:p>
    <w:p w:rsidR="00E6381F" w:rsidRPr="006441E4" w:rsidRDefault="00C54225" w:rsidP="00440341">
      <w:pPr>
        <w:pStyle w:val="Para1"/>
        <w:numPr>
          <w:ilvl w:val="2"/>
          <w:numId w:val="45"/>
        </w:numPr>
        <w:tabs>
          <w:tab w:val="num" w:pos="1134"/>
        </w:tabs>
      </w:pPr>
      <w:r w:rsidRPr="006441E4">
        <w:t>include</w:t>
      </w:r>
      <w:r w:rsidR="00856FB3">
        <w:t>s</w:t>
      </w:r>
      <w:r w:rsidR="003A7552" w:rsidRPr="006441E4">
        <w:t xml:space="preserve"> a description of the interaction between the objectives of the </w:t>
      </w:r>
      <w:r w:rsidR="003A7552" w:rsidRPr="006441E4">
        <w:rPr>
          <w:b/>
        </w:rPr>
        <w:t xml:space="preserve">AMP </w:t>
      </w:r>
      <w:r w:rsidR="003A7552" w:rsidRPr="006441E4">
        <w:t>and other corporate goals, busines</w:t>
      </w:r>
      <w:r w:rsidR="002D118E" w:rsidRPr="006441E4">
        <w:t>s planning processes, and plans</w:t>
      </w:r>
    </w:p>
    <w:p w:rsidR="003A7552" w:rsidRPr="006441E4" w:rsidRDefault="003A7552" w:rsidP="00E6381F">
      <w:pPr>
        <w:pStyle w:val="Para1"/>
        <w:numPr>
          <w:ilvl w:val="0"/>
          <w:numId w:val="0"/>
        </w:numPr>
        <w:ind w:left="2127"/>
        <w:rPr>
          <w:rStyle w:val="Emphasis-Italics"/>
        </w:rPr>
      </w:pPr>
      <w:r w:rsidRPr="006441E4">
        <w:rPr>
          <w:rStyle w:val="Emphasis-Italics"/>
        </w:rPr>
        <w:t xml:space="preserve">The purpose statement should be consistent with the </w:t>
      </w:r>
      <w:r w:rsidR="00C14D9D" w:rsidRPr="006441E4">
        <w:rPr>
          <w:rStyle w:val="Emphasis-Italics"/>
          <w:b/>
        </w:rPr>
        <w:t>GTB</w:t>
      </w:r>
      <w:r w:rsidRPr="006441E4">
        <w:rPr>
          <w:rStyle w:val="Emphasis-Italics"/>
        </w:rPr>
        <w:t>’s vision and mission statements and show a clear recognition of stakeholder interest.</w:t>
      </w:r>
    </w:p>
    <w:p w:rsidR="003A7552" w:rsidRPr="006441E4" w:rsidRDefault="009C5BF3" w:rsidP="00440341">
      <w:pPr>
        <w:pStyle w:val="Para1"/>
        <w:numPr>
          <w:ilvl w:val="1"/>
          <w:numId w:val="44"/>
        </w:numPr>
      </w:pPr>
      <w:bookmarkStart w:id="253" w:name="_Ref310523393"/>
      <w:bookmarkStart w:id="254" w:name="_Ref329164058"/>
      <w:r w:rsidRPr="006441E4">
        <w:t>D</w:t>
      </w:r>
      <w:r w:rsidR="003A7552" w:rsidRPr="006441E4">
        <w:t xml:space="preserve">etails of the </w:t>
      </w:r>
      <w:r w:rsidR="003A7552" w:rsidRPr="006441E4">
        <w:rPr>
          <w:b/>
        </w:rPr>
        <w:t>AMP planning period</w:t>
      </w:r>
      <w:r w:rsidR="003A7552" w:rsidRPr="006441E4">
        <w:t xml:space="preserve">, which </w:t>
      </w:r>
      <w:bookmarkStart w:id="255" w:name="_Ref310845231"/>
      <w:bookmarkEnd w:id="253"/>
      <w:r w:rsidR="003A7552" w:rsidRPr="006441E4">
        <w:t xml:space="preserve">must cover at least a projected </w:t>
      </w:r>
      <w:r w:rsidR="00A10483" w:rsidRPr="006441E4">
        <w:t xml:space="preserve">10 </w:t>
      </w:r>
      <w:r w:rsidR="003A7552" w:rsidRPr="006441E4">
        <w:t xml:space="preserve">year asset management planning period commencing with the </w:t>
      </w:r>
      <w:r w:rsidR="003A7552" w:rsidRPr="006441E4">
        <w:rPr>
          <w:b/>
        </w:rPr>
        <w:t>disclosure year</w:t>
      </w:r>
      <w:r w:rsidR="003A7552" w:rsidRPr="006441E4">
        <w:t xml:space="preserve"> following the date on which the </w:t>
      </w:r>
      <w:r w:rsidR="003A7552" w:rsidRPr="006441E4">
        <w:rPr>
          <w:b/>
        </w:rPr>
        <w:t>AMP</w:t>
      </w:r>
      <w:r w:rsidR="003A7552" w:rsidRPr="006441E4">
        <w:t xml:space="preserve"> is disclosed</w:t>
      </w:r>
      <w:bookmarkEnd w:id="255"/>
      <w:bookmarkEnd w:id="254"/>
    </w:p>
    <w:p w:rsidR="003A7552" w:rsidRPr="006441E4" w:rsidRDefault="003A7552" w:rsidP="003A7552">
      <w:pPr>
        <w:pStyle w:val="UnnumberedL3"/>
        <w:ind w:left="1418"/>
        <w:rPr>
          <w:rStyle w:val="Emphasis-Italics"/>
        </w:rPr>
      </w:pPr>
      <w:r w:rsidRPr="006441E4">
        <w:rPr>
          <w:rStyle w:val="Emphasis-Italics"/>
        </w:rPr>
        <w:t xml:space="preserve">Good asset management practice recognises the greater accuracy of short-to-medium term planning, and will allow for this in the </w:t>
      </w:r>
      <w:r w:rsidRPr="006441E4">
        <w:rPr>
          <w:rStyle w:val="Emphasis-Italics"/>
          <w:b/>
        </w:rPr>
        <w:t>AMP</w:t>
      </w:r>
      <w:r w:rsidR="003517CB">
        <w:rPr>
          <w:rStyle w:val="Emphasis-Italics"/>
        </w:rPr>
        <w:t xml:space="preserve">. </w:t>
      </w:r>
      <w:r w:rsidRPr="006441E4">
        <w:rPr>
          <w:rStyle w:val="Emphasis-Italics"/>
        </w:rPr>
        <w:t xml:space="preserve">The </w:t>
      </w:r>
      <w:r w:rsidRPr="006441E4">
        <w:rPr>
          <w:rStyle w:val="Emphasis-Italics"/>
          <w:b/>
        </w:rPr>
        <w:t>AMP</w:t>
      </w:r>
      <w:r w:rsidRPr="006441E4">
        <w:rPr>
          <w:rStyle w:val="Emphasis-Italics"/>
        </w:rPr>
        <w:t xml:space="preserve">s for the second </w:t>
      </w:r>
      <w:r w:rsidR="00A10483" w:rsidRPr="006441E4">
        <w:rPr>
          <w:rStyle w:val="Emphasis-Italics"/>
        </w:rPr>
        <w:t xml:space="preserve">5 </w:t>
      </w:r>
      <w:r w:rsidRPr="006441E4">
        <w:rPr>
          <w:rStyle w:val="Emphasis-Italics"/>
        </w:rPr>
        <w:t xml:space="preserve">years of the </w:t>
      </w:r>
      <w:r w:rsidR="00A10483" w:rsidRPr="006441E4">
        <w:rPr>
          <w:rStyle w:val="Emphasis-Italics"/>
          <w:b/>
        </w:rPr>
        <w:t>AMP</w:t>
      </w:r>
      <w:r w:rsidRPr="006441E4">
        <w:rPr>
          <w:rStyle w:val="Emphasis-Italics"/>
          <w:b/>
        </w:rPr>
        <w:t xml:space="preserve"> planning period</w:t>
      </w:r>
      <w:r w:rsidRPr="006441E4">
        <w:rPr>
          <w:rStyle w:val="Emphasis-Italics"/>
        </w:rPr>
        <w:t xml:space="preserve"> need not be presented in the same detail as the first </w:t>
      </w:r>
      <w:r w:rsidR="00A10483" w:rsidRPr="006441E4">
        <w:rPr>
          <w:rStyle w:val="Emphasis-Italics"/>
        </w:rPr>
        <w:t xml:space="preserve">5 </w:t>
      </w:r>
      <w:r w:rsidRPr="006441E4">
        <w:rPr>
          <w:rStyle w:val="Emphasis-Italics"/>
        </w:rPr>
        <w:t>years.</w:t>
      </w:r>
    </w:p>
    <w:p w:rsidR="003A7552" w:rsidRPr="006441E4" w:rsidRDefault="009C5BF3" w:rsidP="00440341">
      <w:pPr>
        <w:pStyle w:val="Para1"/>
        <w:numPr>
          <w:ilvl w:val="1"/>
          <w:numId w:val="44"/>
        </w:numPr>
      </w:pPr>
      <w:r w:rsidRPr="006441E4">
        <w:t>T</w:t>
      </w:r>
      <w:r w:rsidR="003A7552" w:rsidRPr="006441E4">
        <w:t xml:space="preserve">he date that it was approved by the </w:t>
      </w:r>
      <w:r w:rsidR="003A7552" w:rsidRPr="006441E4">
        <w:rPr>
          <w:b/>
        </w:rPr>
        <w:t>directors</w:t>
      </w:r>
    </w:p>
    <w:p w:rsidR="00E40E13" w:rsidRPr="006441E4" w:rsidRDefault="009C5BF3" w:rsidP="00440341">
      <w:pPr>
        <w:pStyle w:val="Para1"/>
        <w:numPr>
          <w:ilvl w:val="1"/>
          <w:numId w:val="44"/>
        </w:numPr>
      </w:pPr>
      <w:r w:rsidRPr="006441E4">
        <w:t>A</w:t>
      </w:r>
      <w:r w:rsidR="003A7552" w:rsidRPr="006441E4">
        <w:t xml:space="preserve"> description of stakeholder interests (owners, </w:t>
      </w:r>
      <w:r w:rsidR="003A7552" w:rsidRPr="00A04F75">
        <w:rPr>
          <w:b/>
        </w:rPr>
        <w:t>consumers</w:t>
      </w:r>
      <w:r w:rsidR="00C14D9D" w:rsidRPr="00BF0845">
        <w:t>,</w:t>
      </w:r>
      <w:r w:rsidR="00143168" w:rsidRPr="006441E4">
        <w:t xml:space="preserve"> etc)</w:t>
      </w:r>
      <w:r w:rsidR="00C14D9D" w:rsidRPr="006441E4">
        <w:t xml:space="preserve"> </w:t>
      </w:r>
      <w:r w:rsidR="003A7552" w:rsidRPr="006441E4">
        <w:t>which identifies important stakeholders and indicates:</w:t>
      </w:r>
    </w:p>
    <w:p w:rsidR="003A7552" w:rsidRPr="006441E4" w:rsidRDefault="003A7552" w:rsidP="00440341">
      <w:pPr>
        <w:pStyle w:val="Para1"/>
        <w:numPr>
          <w:ilvl w:val="2"/>
          <w:numId w:val="55"/>
        </w:numPr>
      </w:pPr>
      <w:r w:rsidRPr="006441E4">
        <w:t>how the interests of stakeholders are identi</w:t>
      </w:r>
      <w:r w:rsidR="002D118E" w:rsidRPr="006441E4">
        <w:t>fied</w:t>
      </w:r>
    </w:p>
    <w:p w:rsidR="003A7552" w:rsidRPr="006441E4" w:rsidRDefault="002D118E" w:rsidP="00440341">
      <w:pPr>
        <w:pStyle w:val="Para1"/>
        <w:numPr>
          <w:ilvl w:val="2"/>
          <w:numId w:val="55"/>
        </w:numPr>
      </w:pPr>
      <w:r w:rsidRPr="006441E4">
        <w:t>what these interests are</w:t>
      </w:r>
    </w:p>
    <w:p w:rsidR="003A7552" w:rsidRPr="006441E4" w:rsidRDefault="003A7552" w:rsidP="00440341">
      <w:pPr>
        <w:pStyle w:val="Para1"/>
        <w:numPr>
          <w:ilvl w:val="2"/>
          <w:numId w:val="55"/>
        </w:numPr>
      </w:pPr>
      <w:r w:rsidRPr="006441E4">
        <w:t>how these interests are accommodated in</w:t>
      </w:r>
      <w:r w:rsidR="002D118E" w:rsidRPr="006441E4">
        <w:t xml:space="preserve"> asset management practices</w:t>
      </w:r>
    </w:p>
    <w:p w:rsidR="003A7552" w:rsidRPr="006441E4" w:rsidRDefault="003A7552" w:rsidP="00440341">
      <w:pPr>
        <w:pStyle w:val="Para1"/>
        <w:numPr>
          <w:ilvl w:val="2"/>
          <w:numId w:val="55"/>
        </w:numPr>
      </w:pPr>
      <w:proofErr w:type="gramStart"/>
      <w:r w:rsidRPr="006441E4">
        <w:t>how</w:t>
      </w:r>
      <w:proofErr w:type="gramEnd"/>
      <w:r w:rsidRPr="006441E4">
        <w:t xml:space="preserve"> conflicting interests are managed.</w:t>
      </w:r>
    </w:p>
    <w:p w:rsidR="003A7552" w:rsidRPr="006441E4" w:rsidRDefault="009C5BF3" w:rsidP="00440341">
      <w:pPr>
        <w:pStyle w:val="Para1"/>
        <w:numPr>
          <w:ilvl w:val="1"/>
          <w:numId w:val="44"/>
        </w:numPr>
      </w:pPr>
      <w:bookmarkStart w:id="256" w:name="_Ref329180670"/>
      <w:r w:rsidRPr="006441E4">
        <w:t>A</w:t>
      </w:r>
      <w:r w:rsidR="003A7552" w:rsidRPr="006441E4">
        <w:t xml:space="preserve"> description of the accountabilities and responsibilities for asset management on at least </w:t>
      </w:r>
      <w:r w:rsidR="004C5827" w:rsidRPr="006441E4">
        <w:t>3</w:t>
      </w:r>
      <w:r w:rsidR="003A7552" w:rsidRPr="006441E4">
        <w:t xml:space="preserve"> levels, including:</w:t>
      </w:r>
      <w:bookmarkEnd w:id="256"/>
    </w:p>
    <w:p w:rsidR="003A7552" w:rsidRPr="006441E4" w:rsidRDefault="003A7552" w:rsidP="00440341">
      <w:pPr>
        <w:pStyle w:val="Para1"/>
        <w:numPr>
          <w:ilvl w:val="2"/>
          <w:numId w:val="53"/>
        </w:numPr>
      </w:pPr>
      <w:r w:rsidRPr="006441E4">
        <w:t xml:space="preserve">governance—a description of the extent of </w:t>
      </w:r>
      <w:r w:rsidRPr="006441E4">
        <w:rPr>
          <w:b/>
        </w:rPr>
        <w:t>director</w:t>
      </w:r>
      <w:r w:rsidRPr="006441E4">
        <w:t xml:space="preserve"> approval required for key asset management decisions and the extent to which asset management outcomes are regularly reported to </w:t>
      </w:r>
      <w:r w:rsidRPr="006441E4">
        <w:rPr>
          <w:b/>
        </w:rPr>
        <w:t>directors</w:t>
      </w:r>
    </w:p>
    <w:p w:rsidR="003A7552" w:rsidRPr="006441E4" w:rsidRDefault="003A7552" w:rsidP="00440341">
      <w:pPr>
        <w:pStyle w:val="Para1"/>
        <w:numPr>
          <w:ilvl w:val="2"/>
          <w:numId w:val="53"/>
        </w:numPr>
      </w:pPr>
      <w:r w:rsidRPr="006441E4">
        <w:t>executive—an indication of how the in-house asset management and planning</w:t>
      </w:r>
      <w:r w:rsidR="002D118E" w:rsidRPr="006441E4">
        <w:t xml:space="preserve"> organisation is structured</w:t>
      </w:r>
    </w:p>
    <w:p w:rsidR="003A7552" w:rsidRPr="006441E4" w:rsidRDefault="003A7552" w:rsidP="00440341">
      <w:pPr>
        <w:pStyle w:val="Para1"/>
        <w:numPr>
          <w:ilvl w:val="2"/>
          <w:numId w:val="53"/>
        </w:numPr>
      </w:pPr>
      <w:r w:rsidRPr="006441E4">
        <w:t>field operations—an overview of how field operations are managed, including a description of the extent to which field work is undertaken in-house and the areas where outsourced contractors are used.</w:t>
      </w:r>
    </w:p>
    <w:p w:rsidR="00E40E13" w:rsidRPr="006441E4" w:rsidRDefault="009C5BF3" w:rsidP="00440341">
      <w:pPr>
        <w:pStyle w:val="Para1"/>
        <w:numPr>
          <w:ilvl w:val="1"/>
          <w:numId w:val="44"/>
        </w:numPr>
      </w:pPr>
      <w:r w:rsidRPr="006441E4">
        <w:t>A</w:t>
      </w:r>
      <w:r w:rsidR="00C14D9D" w:rsidRPr="006441E4">
        <w:t>ll significant assumptions:</w:t>
      </w:r>
    </w:p>
    <w:p w:rsidR="00A10483" w:rsidRPr="006441E4" w:rsidRDefault="002D118E" w:rsidP="00440341">
      <w:pPr>
        <w:pStyle w:val="Para1"/>
        <w:numPr>
          <w:ilvl w:val="2"/>
          <w:numId w:val="44"/>
        </w:numPr>
      </w:pPr>
      <w:r w:rsidRPr="006441E4">
        <w:t>quantified where possible</w:t>
      </w:r>
    </w:p>
    <w:p w:rsidR="00A10483" w:rsidRPr="006441E4" w:rsidRDefault="003A7552" w:rsidP="00440341">
      <w:pPr>
        <w:pStyle w:val="Para1"/>
        <w:numPr>
          <w:ilvl w:val="2"/>
          <w:numId w:val="44"/>
        </w:numPr>
        <w:tabs>
          <w:tab w:val="num" w:pos="1134"/>
        </w:tabs>
      </w:pPr>
      <w:r w:rsidRPr="006441E4">
        <w:t>clearly identified in a manner that makes their significance under</w:t>
      </w:r>
      <w:r w:rsidR="002D118E" w:rsidRPr="006441E4">
        <w:t>standable to interested persons</w:t>
      </w:r>
      <w:r w:rsidR="00A04F75">
        <w:t>, and including</w:t>
      </w:r>
    </w:p>
    <w:p w:rsidR="00F40DAE" w:rsidRDefault="00A04F75" w:rsidP="00440341">
      <w:pPr>
        <w:pStyle w:val="Para1"/>
        <w:numPr>
          <w:ilvl w:val="2"/>
          <w:numId w:val="44"/>
        </w:numPr>
      </w:pPr>
      <w:r>
        <w:t>a</w:t>
      </w:r>
      <w:r w:rsidRPr="006441E4">
        <w:t xml:space="preserve"> </w:t>
      </w:r>
      <w:r w:rsidR="003A7552" w:rsidRPr="006441E4">
        <w:t xml:space="preserve">description of changes proposed where the information is not based on the </w:t>
      </w:r>
      <w:r w:rsidR="00C14D9D" w:rsidRPr="00A04F75">
        <w:rPr>
          <w:b/>
        </w:rPr>
        <w:t>GTB</w:t>
      </w:r>
      <w:r w:rsidR="002D118E" w:rsidRPr="006441E4">
        <w:t>’s existing business</w:t>
      </w:r>
    </w:p>
    <w:p w:rsidR="00F40DAE" w:rsidRDefault="003A7552" w:rsidP="00440341">
      <w:pPr>
        <w:pStyle w:val="Para1"/>
        <w:numPr>
          <w:ilvl w:val="2"/>
          <w:numId w:val="44"/>
        </w:numPr>
      </w:pPr>
      <w:r w:rsidRPr="006441E4">
        <w:t>the sources of uncertainty and the potential effect of the uncertainty</w:t>
      </w:r>
      <w:r w:rsidR="002D118E" w:rsidRPr="006441E4">
        <w:t xml:space="preserve"> on the prospective information</w:t>
      </w:r>
    </w:p>
    <w:p w:rsidR="00F40DAE" w:rsidRDefault="003A7552" w:rsidP="00440341">
      <w:pPr>
        <w:pStyle w:val="Para1"/>
        <w:numPr>
          <w:ilvl w:val="2"/>
          <w:numId w:val="44"/>
        </w:numPr>
      </w:pPr>
      <w:proofErr w:type="gramStart"/>
      <w:r w:rsidRPr="006441E4">
        <w:t>the</w:t>
      </w:r>
      <w:proofErr w:type="gramEnd"/>
      <w:r w:rsidRPr="006441E4">
        <w:t xml:space="preserve"> price inflator assumptions used to prepare the financial information disclosed in </w:t>
      </w:r>
      <w:r w:rsidRPr="00A04F75">
        <w:rPr>
          <w:b/>
        </w:rPr>
        <w:t>nominal New Zealand dollars</w:t>
      </w:r>
      <w:r w:rsidRPr="006441E4">
        <w:t xml:space="preserve"> in the Report </w:t>
      </w:r>
      <w:r w:rsidR="00BF0845">
        <w:t xml:space="preserve">of Forecast Capital Expenditure </w:t>
      </w:r>
      <w:r w:rsidRPr="006441E4">
        <w:t>set out in Schedule 1</w:t>
      </w:r>
      <w:r w:rsidR="00BF0845">
        <w:t>1a and the Foreca</w:t>
      </w:r>
      <w:r w:rsidR="006422AD">
        <w:t>s</w:t>
      </w:r>
      <w:r w:rsidR="00BF0845">
        <w:t>t on Forecast Operational Expenditure set out</w:t>
      </w:r>
      <w:r w:rsidR="006422AD">
        <w:t xml:space="preserve"> </w:t>
      </w:r>
      <w:r w:rsidR="00BF0845">
        <w:t>in Schedule 11b.</w:t>
      </w:r>
    </w:p>
    <w:p w:rsidR="00A10483" w:rsidRPr="006441E4" w:rsidRDefault="009C5BF3" w:rsidP="00440341">
      <w:pPr>
        <w:pStyle w:val="Para1"/>
        <w:numPr>
          <w:ilvl w:val="1"/>
          <w:numId w:val="44"/>
        </w:numPr>
      </w:pPr>
      <w:r w:rsidRPr="006441E4">
        <w:t>A</w:t>
      </w:r>
      <w:r w:rsidR="003A7552" w:rsidRPr="006441E4">
        <w:t xml:space="preserve"> description of the factors that may lead to a material difference between the prospective information disclosed and the corresponding actual information</w:t>
      </w:r>
      <w:r w:rsidR="002D118E" w:rsidRPr="006441E4">
        <w:t xml:space="preserve"> recorded in future disclosures</w:t>
      </w:r>
    </w:p>
    <w:p w:rsidR="003A7552" w:rsidRPr="006441E4" w:rsidRDefault="009C5BF3" w:rsidP="00440341">
      <w:pPr>
        <w:pStyle w:val="Para1"/>
        <w:numPr>
          <w:ilvl w:val="1"/>
          <w:numId w:val="44"/>
        </w:numPr>
      </w:pPr>
      <w:r w:rsidRPr="006441E4">
        <w:t>A</w:t>
      </w:r>
      <w:r w:rsidR="003A7552" w:rsidRPr="006441E4">
        <w:t xml:space="preserve">n overview of asset management strategy and </w:t>
      </w:r>
      <w:r w:rsidR="002D118E" w:rsidRPr="006441E4">
        <w:t>delivery</w:t>
      </w:r>
    </w:p>
    <w:p w:rsidR="003A7552" w:rsidRPr="006441E4" w:rsidRDefault="003A7552" w:rsidP="003A7552">
      <w:pPr>
        <w:pStyle w:val="UnnumberedL3"/>
        <w:ind w:left="1418"/>
        <w:rPr>
          <w:rStyle w:val="Emphasis-Italics"/>
        </w:rPr>
      </w:pPr>
      <w:r w:rsidRPr="006441E4">
        <w:rPr>
          <w:rStyle w:val="Emphasis-Italics"/>
        </w:rPr>
        <w:t xml:space="preserve">To support the AMMAT disclosure and assist interested persons to assess the maturity of asset management strategy and delivery, the </w:t>
      </w:r>
      <w:r w:rsidRPr="006441E4">
        <w:rPr>
          <w:rStyle w:val="Emphasis-Italics"/>
          <w:b/>
        </w:rPr>
        <w:t>AMP</w:t>
      </w:r>
      <w:r w:rsidRPr="006441E4">
        <w:rPr>
          <w:rStyle w:val="Emphasis-Italics"/>
        </w:rPr>
        <w:t xml:space="preserve"> should identify:</w:t>
      </w:r>
    </w:p>
    <w:p w:rsidR="003A7552" w:rsidRPr="006441E4" w:rsidRDefault="003A7552" w:rsidP="00440341">
      <w:pPr>
        <w:pStyle w:val="Para3"/>
        <w:numPr>
          <w:ilvl w:val="2"/>
          <w:numId w:val="33"/>
        </w:numPr>
        <w:rPr>
          <w:i/>
        </w:rPr>
      </w:pPr>
      <w:r w:rsidRPr="006441E4">
        <w:rPr>
          <w:i/>
        </w:rPr>
        <w:t xml:space="preserve">how the asset management strategy is consistent with the </w:t>
      </w:r>
      <w:r w:rsidR="00C14D9D" w:rsidRPr="006441E4">
        <w:rPr>
          <w:b/>
          <w:i/>
        </w:rPr>
        <w:t>GTB</w:t>
      </w:r>
      <w:r w:rsidRPr="006441E4">
        <w:rPr>
          <w:i/>
        </w:rPr>
        <w:t>’s other strategy and policies;</w:t>
      </w:r>
    </w:p>
    <w:p w:rsidR="003A7552" w:rsidRPr="006441E4" w:rsidRDefault="003A7552" w:rsidP="00440341">
      <w:pPr>
        <w:pStyle w:val="Para3"/>
        <w:numPr>
          <w:ilvl w:val="2"/>
          <w:numId w:val="33"/>
        </w:numPr>
        <w:rPr>
          <w:i/>
        </w:rPr>
      </w:pPr>
      <w:r w:rsidRPr="006441E4">
        <w:rPr>
          <w:i/>
        </w:rPr>
        <w:t>how the asset strategy takes into account the life cycle of the assets;</w:t>
      </w:r>
    </w:p>
    <w:p w:rsidR="003A7552" w:rsidRPr="006441E4" w:rsidRDefault="003A7552" w:rsidP="00440341">
      <w:pPr>
        <w:pStyle w:val="Para3"/>
        <w:numPr>
          <w:ilvl w:val="2"/>
          <w:numId w:val="33"/>
        </w:numPr>
        <w:rPr>
          <w:i/>
        </w:rPr>
      </w:pPr>
      <w:r w:rsidRPr="006441E4">
        <w:rPr>
          <w:i/>
        </w:rPr>
        <w:t xml:space="preserve">the link between the asset management strategy and the </w:t>
      </w:r>
      <w:r w:rsidRPr="006441E4">
        <w:rPr>
          <w:b/>
          <w:i/>
        </w:rPr>
        <w:t>AMP</w:t>
      </w:r>
      <w:r w:rsidRPr="006441E4">
        <w:rPr>
          <w:i/>
        </w:rPr>
        <w:t>;</w:t>
      </w:r>
    </w:p>
    <w:p w:rsidR="003A7552" w:rsidRPr="006441E4" w:rsidRDefault="003A7552" w:rsidP="00440341">
      <w:pPr>
        <w:pStyle w:val="Para3"/>
        <w:numPr>
          <w:ilvl w:val="2"/>
          <w:numId w:val="33"/>
        </w:numPr>
        <w:rPr>
          <w:i/>
        </w:rPr>
      </w:pPr>
      <w:proofErr w:type="gramStart"/>
      <w:r w:rsidRPr="006441E4">
        <w:rPr>
          <w:i/>
        </w:rPr>
        <w:t>processes</w:t>
      </w:r>
      <w:proofErr w:type="gramEnd"/>
      <w:r w:rsidRPr="006441E4">
        <w:rPr>
          <w:i/>
        </w:rPr>
        <w:t xml:space="preserve"> that ensure costs, risks and system performance will be effectively controlled when the </w:t>
      </w:r>
      <w:r w:rsidRPr="006441E4">
        <w:rPr>
          <w:b/>
          <w:i/>
        </w:rPr>
        <w:t>AMP</w:t>
      </w:r>
      <w:r w:rsidRPr="006441E4">
        <w:rPr>
          <w:i/>
        </w:rPr>
        <w:t xml:space="preserve"> is implemented.</w:t>
      </w:r>
    </w:p>
    <w:p w:rsidR="003A7552" w:rsidRPr="006441E4" w:rsidRDefault="009C5BF3" w:rsidP="00440341">
      <w:pPr>
        <w:pStyle w:val="Para1"/>
        <w:numPr>
          <w:ilvl w:val="1"/>
          <w:numId w:val="44"/>
        </w:numPr>
      </w:pPr>
      <w:bookmarkStart w:id="257" w:name="_Ref312251663"/>
      <w:r w:rsidRPr="006441E4">
        <w:t>A</w:t>
      </w:r>
      <w:r w:rsidR="003A7552" w:rsidRPr="006441E4">
        <w:t>n overview of systems and information management data</w:t>
      </w:r>
      <w:bookmarkEnd w:id="257"/>
    </w:p>
    <w:p w:rsidR="003A7552" w:rsidRPr="006441E4" w:rsidRDefault="003A7552" w:rsidP="003A7552">
      <w:pPr>
        <w:pStyle w:val="UnnumberedL3"/>
        <w:ind w:left="1418"/>
        <w:rPr>
          <w:rStyle w:val="Emphasis-Italics"/>
        </w:rPr>
      </w:pPr>
      <w:r w:rsidRPr="006441E4">
        <w:rPr>
          <w:rStyle w:val="Emphasis-Italics"/>
        </w:rPr>
        <w:t xml:space="preserve">To support the AMMAT disclosure and assist interested persons to assess the maturity of systems and information management, the </w:t>
      </w:r>
      <w:r w:rsidRPr="006441E4">
        <w:rPr>
          <w:rStyle w:val="Emphasis-Italics"/>
          <w:b/>
        </w:rPr>
        <w:t>AMP</w:t>
      </w:r>
      <w:r w:rsidRPr="006441E4">
        <w:rPr>
          <w:rStyle w:val="Emphasis-Italics"/>
        </w:rPr>
        <w:t xml:space="preserve"> should describe:</w:t>
      </w:r>
    </w:p>
    <w:p w:rsidR="003A7552" w:rsidRPr="006441E4" w:rsidRDefault="003A7552" w:rsidP="00440341">
      <w:pPr>
        <w:pStyle w:val="Para3"/>
        <w:numPr>
          <w:ilvl w:val="2"/>
          <w:numId w:val="34"/>
        </w:numPr>
        <w:rPr>
          <w:i/>
        </w:rPr>
      </w:pPr>
      <w:bookmarkStart w:id="258" w:name="_Ref310882453"/>
      <w:r w:rsidRPr="006441E4">
        <w:rPr>
          <w:i/>
        </w:rPr>
        <w:t>the processes used to identify asset management data requirements that cover the whole of life cycle of the assets;</w:t>
      </w:r>
      <w:bookmarkEnd w:id="258"/>
    </w:p>
    <w:p w:rsidR="003A7552" w:rsidRPr="006441E4" w:rsidRDefault="003A7552" w:rsidP="00440341">
      <w:pPr>
        <w:pStyle w:val="Para3"/>
        <w:numPr>
          <w:ilvl w:val="2"/>
          <w:numId w:val="34"/>
        </w:numPr>
        <w:rPr>
          <w:i/>
        </w:rPr>
      </w:pPr>
      <w:bookmarkStart w:id="259" w:name="_Ref310512489"/>
      <w:r w:rsidRPr="006441E4">
        <w:rPr>
          <w:i/>
        </w:rPr>
        <w:t>the systems used to manage asset data and where the data is used, including</w:t>
      </w:r>
      <w:bookmarkStart w:id="260" w:name="_Ref310512494"/>
      <w:bookmarkEnd w:id="259"/>
      <w:r w:rsidRPr="006441E4">
        <w:rPr>
          <w:i/>
        </w:rPr>
        <w:t xml:space="preserve"> an overview of the systems to record asset conditions and operation capacity and to monitor the performance of assets;</w:t>
      </w:r>
      <w:bookmarkEnd w:id="260"/>
    </w:p>
    <w:p w:rsidR="003A7552" w:rsidRPr="006441E4" w:rsidRDefault="003A7552" w:rsidP="00440341">
      <w:pPr>
        <w:pStyle w:val="Para3"/>
        <w:numPr>
          <w:ilvl w:val="2"/>
          <w:numId w:val="34"/>
        </w:numPr>
        <w:rPr>
          <w:i/>
        </w:rPr>
      </w:pPr>
      <w:bookmarkStart w:id="261" w:name="_Ref310512498"/>
      <w:r w:rsidRPr="006441E4">
        <w:rPr>
          <w:i/>
        </w:rPr>
        <w:t>the systems and controls to ensure the quality and accuracy of asset management information;</w:t>
      </w:r>
      <w:bookmarkStart w:id="262" w:name="_Ref310512500"/>
      <w:bookmarkEnd w:id="261"/>
      <w:r w:rsidRPr="006441E4">
        <w:rPr>
          <w:i/>
        </w:rPr>
        <w:t xml:space="preserve"> and</w:t>
      </w:r>
      <w:bookmarkEnd w:id="262"/>
    </w:p>
    <w:p w:rsidR="003A7552" w:rsidRPr="006441E4" w:rsidRDefault="003A7552" w:rsidP="00440341">
      <w:pPr>
        <w:pStyle w:val="Para3"/>
        <w:numPr>
          <w:ilvl w:val="2"/>
          <w:numId w:val="34"/>
        </w:numPr>
        <w:rPr>
          <w:i/>
        </w:rPr>
      </w:pPr>
      <w:proofErr w:type="gramStart"/>
      <w:r w:rsidRPr="006441E4">
        <w:rPr>
          <w:i/>
        </w:rPr>
        <w:t>the</w:t>
      </w:r>
      <w:proofErr w:type="gramEnd"/>
      <w:r w:rsidRPr="006441E4">
        <w:rPr>
          <w:i/>
        </w:rPr>
        <w:t xml:space="preserve"> extent to which the</w:t>
      </w:r>
      <w:r w:rsidR="003517CB">
        <w:rPr>
          <w:i/>
        </w:rPr>
        <w:t>se</w:t>
      </w:r>
      <w:r w:rsidRPr="006441E4">
        <w:rPr>
          <w:i/>
        </w:rPr>
        <w:t xml:space="preserve"> systems</w:t>
      </w:r>
      <w:r w:rsidR="003517CB">
        <w:rPr>
          <w:i/>
        </w:rPr>
        <w:t>, processes and controls</w:t>
      </w:r>
      <w:r w:rsidRPr="006441E4">
        <w:rPr>
          <w:i/>
        </w:rPr>
        <w:t xml:space="preserve"> are integrated.</w:t>
      </w:r>
    </w:p>
    <w:p w:rsidR="003A7552" w:rsidRPr="006441E4" w:rsidRDefault="00E40E13" w:rsidP="00440341">
      <w:pPr>
        <w:pStyle w:val="Para1"/>
        <w:numPr>
          <w:ilvl w:val="1"/>
          <w:numId w:val="44"/>
        </w:numPr>
      </w:pPr>
      <w:r w:rsidRPr="006441E4">
        <w:t xml:space="preserve">A statement covering any </w:t>
      </w:r>
      <w:r w:rsidR="003A7552" w:rsidRPr="006441E4">
        <w:t>limitations in the availability or completeness of asset management data and disclose</w:t>
      </w:r>
      <w:r w:rsidRPr="006441E4">
        <w:t xml:space="preserve"> </w:t>
      </w:r>
      <w:r w:rsidR="003A7552" w:rsidRPr="006441E4">
        <w:t>any initiatives intended to i</w:t>
      </w:r>
      <w:r w:rsidR="002D118E" w:rsidRPr="006441E4">
        <w:t>mprove the quality of this data</w:t>
      </w:r>
    </w:p>
    <w:p w:rsidR="003A7552" w:rsidRPr="006441E4" w:rsidRDefault="003A7552" w:rsidP="003A7552">
      <w:pPr>
        <w:pStyle w:val="UnnumberedL3"/>
        <w:ind w:left="1418"/>
        <w:rPr>
          <w:rStyle w:val="Emphasis-Italics"/>
        </w:rPr>
      </w:pPr>
      <w:r w:rsidRPr="006441E4">
        <w:rPr>
          <w:rStyle w:val="Emphasis-Italics"/>
        </w:rPr>
        <w:t xml:space="preserve">Discussion of the limitations of asset management data is intended to enhance the transparency of the </w:t>
      </w:r>
      <w:r w:rsidRPr="006441E4">
        <w:rPr>
          <w:rStyle w:val="Emphasis-Italics"/>
          <w:b/>
        </w:rPr>
        <w:t>AMP</w:t>
      </w:r>
      <w:r w:rsidRPr="006441E4">
        <w:rPr>
          <w:rStyle w:val="Emphasis-Italics"/>
        </w:rPr>
        <w:t xml:space="preserve"> and identify gaps in the asset management system.</w:t>
      </w:r>
    </w:p>
    <w:p w:rsidR="003A7552" w:rsidRPr="006441E4" w:rsidRDefault="00290883" w:rsidP="00440341">
      <w:pPr>
        <w:pStyle w:val="Para1"/>
        <w:numPr>
          <w:ilvl w:val="1"/>
          <w:numId w:val="44"/>
        </w:numPr>
      </w:pPr>
      <w:r w:rsidRPr="006441E4">
        <w:t>A</w:t>
      </w:r>
      <w:r w:rsidR="003A7552" w:rsidRPr="006441E4">
        <w:t xml:space="preserve"> description of the processes used within the </w:t>
      </w:r>
      <w:r w:rsidR="00143168" w:rsidRPr="00A04F75">
        <w:rPr>
          <w:b/>
        </w:rPr>
        <w:t>GTB</w:t>
      </w:r>
      <w:r w:rsidR="003A7552" w:rsidRPr="006441E4">
        <w:t xml:space="preserve"> for:</w:t>
      </w:r>
    </w:p>
    <w:p w:rsidR="003A7552" w:rsidRPr="006441E4" w:rsidRDefault="003A7552" w:rsidP="00440341">
      <w:pPr>
        <w:pStyle w:val="Para1"/>
        <w:numPr>
          <w:ilvl w:val="2"/>
          <w:numId w:val="54"/>
        </w:numPr>
      </w:pPr>
      <w:r w:rsidRPr="006441E4">
        <w:t xml:space="preserve">managing routine asset inspections and </w:t>
      </w:r>
      <w:r w:rsidRPr="006441E4">
        <w:rPr>
          <w:b/>
        </w:rPr>
        <w:t>network</w:t>
      </w:r>
      <w:r w:rsidR="002D118E" w:rsidRPr="006441E4">
        <w:t xml:space="preserve"> maintenance</w:t>
      </w:r>
    </w:p>
    <w:p w:rsidR="003A7552" w:rsidRPr="006441E4" w:rsidRDefault="003A7552" w:rsidP="00440341">
      <w:pPr>
        <w:pStyle w:val="Para1"/>
        <w:numPr>
          <w:ilvl w:val="2"/>
          <w:numId w:val="54"/>
        </w:numPr>
      </w:pPr>
      <w:r w:rsidRPr="006441E4">
        <w:t xml:space="preserve">planning and implementing </w:t>
      </w:r>
      <w:r w:rsidRPr="006441E4">
        <w:rPr>
          <w:b/>
        </w:rPr>
        <w:t>network</w:t>
      </w:r>
      <w:r w:rsidR="002D118E" w:rsidRPr="006441E4">
        <w:t xml:space="preserve"> development projects</w:t>
      </w:r>
    </w:p>
    <w:p w:rsidR="003A7552" w:rsidRPr="006441E4" w:rsidRDefault="003A7552" w:rsidP="00440341">
      <w:pPr>
        <w:pStyle w:val="Para1"/>
        <w:numPr>
          <w:ilvl w:val="2"/>
          <w:numId w:val="54"/>
        </w:numPr>
      </w:pPr>
      <w:proofErr w:type="gramStart"/>
      <w:r w:rsidRPr="006441E4">
        <w:t>measuring</w:t>
      </w:r>
      <w:proofErr w:type="gramEnd"/>
      <w:r w:rsidRPr="006441E4">
        <w:t xml:space="preserve"> </w:t>
      </w:r>
      <w:r w:rsidRPr="006441E4">
        <w:rPr>
          <w:b/>
        </w:rPr>
        <w:t xml:space="preserve">network </w:t>
      </w:r>
      <w:r w:rsidRPr="006441E4">
        <w:t>performance.</w:t>
      </w:r>
    </w:p>
    <w:p w:rsidR="003A7552" w:rsidRPr="006441E4" w:rsidRDefault="00290883" w:rsidP="00440341">
      <w:pPr>
        <w:pStyle w:val="Para1"/>
        <w:numPr>
          <w:ilvl w:val="1"/>
          <w:numId w:val="44"/>
        </w:numPr>
      </w:pPr>
      <w:r w:rsidRPr="006441E4">
        <w:t>A</w:t>
      </w:r>
      <w:r w:rsidR="003A7552" w:rsidRPr="006441E4">
        <w:t>n overview of asset management documentation</w:t>
      </w:r>
      <w:r w:rsidR="002D118E" w:rsidRPr="006441E4">
        <w:t>, controls and review processes</w:t>
      </w:r>
    </w:p>
    <w:p w:rsidR="003A7552" w:rsidRPr="006441E4" w:rsidDel="002577A3" w:rsidRDefault="003A7552" w:rsidP="003A7552">
      <w:pPr>
        <w:pStyle w:val="UnnumberedL3"/>
        <w:ind w:left="1418"/>
        <w:rPr>
          <w:rStyle w:val="Emphasis-Italics"/>
        </w:rPr>
      </w:pPr>
      <w:r w:rsidRPr="006441E4">
        <w:rPr>
          <w:rStyle w:val="Emphasis-Italics"/>
        </w:rPr>
        <w:t xml:space="preserve">To support the AMMAT disclosure and assist interested persons to assess the maturity of asset management documentation, controls and review processes, the </w:t>
      </w:r>
      <w:r w:rsidRPr="006441E4">
        <w:rPr>
          <w:rStyle w:val="Emphasis-Italics"/>
          <w:b/>
        </w:rPr>
        <w:t>AMP</w:t>
      </w:r>
      <w:r w:rsidRPr="006441E4">
        <w:rPr>
          <w:rStyle w:val="Emphasis-Italics"/>
        </w:rPr>
        <w:t xml:space="preserve"> should:</w:t>
      </w:r>
    </w:p>
    <w:p w:rsidR="003A7552" w:rsidRPr="006441E4" w:rsidDel="002577A3" w:rsidRDefault="003A7552" w:rsidP="00440341">
      <w:pPr>
        <w:pStyle w:val="HeadingH7ClausesubtextL3"/>
        <w:numPr>
          <w:ilvl w:val="0"/>
          <w:numId w:val="32"/>
        </w:numPr>
        <w:ind w:left="1843" w:hanging="425"/>
        <w:rPr>
          <w:rStyle w:val="Emphasis-Italics"/>
        </w:rPr>
      </w:pPr>
      <w:r w:rsidRPr="006441E4">
        <w:rPr>
          <w:rStyle w:val="Emphasis-Italics"/>
        </w:rPr>
        <w:t>identify the documentation that describes the key components of the asset management system and the links between the key components;</w:t>
      </w:r>
    </w:p>
    <w:p w:rsidR="003A7552" w:rsidRPr="006441E4" w:rsidDel="002577A3" w:rsidRDefault="003A7552" w:rsidP="00440341">
      <w:pPr>
        <w:pStyle w:val="HeadingH7ClausesubtextL3"/>
        <w:numPr>
          <w:ilvl w:val="0"/>
          <w:numId w:val="32"/>
        </w:numPr>
        <w:ind w:left="1843" w:hanging="425"/>
        <w:rPr>
          <w:rStyle w:val="Emphasis-Italics"/>
        </w:rPr>
      </w:pPr>
      <w:r w:rsidRPr="006441E4">
        <w:rPr>
          <w:rStyle w:val="Emphasis-Italics"/>
        </w:rPr>
        <w:t>describe the processes developed around documentation, control and review of key components of the asset management system;</w:t>
      </w:r>
    </w:p>
    <w:p w:rsidR="003A7552" w:rsidRPr="006441E4" w:rsidDel="002577A3" w:rsidRDefault="003A7552" w:rsidP="00440341">
      <w:pPr>
        <w:pStyle w:val="HeadingH7ClausesubtextL3"/>
        <w:numPr>
          <w:ilvl w:val="0"/>
          <w:numId w:val="32"/>
        </w:numPr>
        <w:ind w:left="1843" w:hanging="425"/>
        <w:rPr>
          <w:rStyle w:val="Emphasis-Italics"/>
        </w:rPr>
      </w:pPr>
      <w:r w:rsidRPr="006441E4">
        <w:rPr>
          <w:rStyle w:val="Emphasis-Italics"/>
        </w:rPr>
        <w:t>where the</w:t>
      </w:r>
      <w:r w:rsidR="004C5827" w:rsidRPr="006441E4">
        <w:rPr>
          <w:rStyle w:val="Emphasis-Italics"/>
        </w:rPr>
        <w:t xml:space="preserve"> </w:t>
      </w:r>
      <w:r w:rsidR="00143168" w:rsidRPr="006441E4">
        <w:rPr>
          <w:rStyle w:val="Emphasis-Italics"/>
          <w:b/>
        </w:rPr>
        <w:t>GTB</w:t>
      </w:r>
      <w:r w:rsidR="00143168" w:rsidRPr="006441E4">
        <w:rPr>
          <w:rStyle w:val="Emphasis-Italics"/>
        </w:rPr>
        <w:t xml:space="preserve"> </w:t>
      </w:r>
      <w:r w:rsidRPr="006441E4">
        <w:rPr>
          <w:rStyle w:val="Emphasis-Italics"/>
        </w:rPr>
        <w:t xml:space="preserve">outsources components of the asset management system, the processes and controls that the </w:t>
      </w:r>
      <w:r w:rsidR="00143168" w:rsidRPr="006441E4">
        <w:rPr>
          <w:rStyle w:val="Emphasis-Italics"/>
          <w:b/>
        </w:rPr>
        <w:t>GTB</w:t>
      </w:r>
      <w:r w:rsidR="00143168" w:rsidRPr="006441E4">
        <w:rPr>
          <w:rStyle w:val="Emphasis-Italics"/>
        </w:rPr>
        <w:t xml:space="preserve"> </w:t>
      </w:r>
      <w:r w:rsidRPr="006441E4">
        <w:rPr>
          <w:rStyle w:val="Emphasis-Italics"/>
        </w:rPr>
        <w:t>uses to ensure efficient and cost effective delivery of its asset management strategy;</w:t>
      </w:r>
    </w:p>
    <w:p w:rsidR="003A7552" w:rsidRPr="006441E4" w:rsidDel="002577A3" w:rsidRDefault="003A7552" w:rsidP="00440341">
      <w:pPr>
        <w:pStyle w:val="HeadingH7ClausesubtextL3"/>
        <w:numPr>
          <w:ilvl w:val="0"/>
          <w:numId w:val="32"/>
        </w:numPr>
        <w:ind w:left="1843" w:hanging="425"/>
        <w:rPr>
          <w:rStyle w:val="Emphasis-Italics"/>
        </w:rPr>
      </w:pPr>
      <w:r w:rsidRPr="006441E4">
        <w:rPr>
          <w:rStyle w:val="Emphasis-Italics"/>
        </w:rPr>
        <w:t xml:space="preserve">where the </w:t>
      </w:r>
      <w:r w:rsidR="00290883" w:rsidRPr="006441E4">
        <w:rPr>
          <w:rStyle w:val="Emphasis-Italics"/>
          <w:b/>
        </w:rPr>
        <w:t>GTB</w:t>
      </w:r>
      <w:r w:rsidRPr="006441E4">
        <w:rPr>
          <w:rStyle w:val="Emphasis-Italics"/>
        </w:rPr>
        <w:t xml:space="preserve"> outsources components of the asset management system, the systems it uses to retain core asset knowledge in-house; and</w:t>
      </w:r>
    </w:p>
    <w:p w:rsidR="003A7552" w:rsidRPr="006441E4" w:rsidDel="002577A3" w:rsidRDefault="003A7552" w:rsidP="00440341">
      <w:pPr>
        <w:pStyle w:val="HeadingH7ClausesubtextL3"/>
        <w:numPr>
          <w:ilvl w:val="0"/>
          <w:numId w:val="32"/>
        </w:numPr>
        <w:ind w:left="1843" w:hanging="425"/>
        <w:rPr>
          <w:rStyle w:val="Emphasis-Italics"/>
        </w:rPr>
      </w:pPr>
      <w:proofErr w:type="gramStart"/>
      <w:r w:rsidRPr="006441E4">
        <w:rPr>
          <w:rStyle w:val="Emphasis-Italics"/>
        </w:rPr>
        <w:t>audit</w:t>
      </w:r>
      <w:proofErr w:type="gramEnd"/>
      <w:r w:rsidRPr="006441E4">
        <w:rPr>
          <w:rStyle w:val="Emphasis-Italics"/>
        </w:rPr>
        <w:t xml:space="preserve"> or review procedures undertaken in respect of the asset management system.</w:t>
      </w:r>
    </w:p>
    <w:p w:rsidR="003A7552" w:rsidRPr="006441E4" w:rsidDel="002577A3" w:rsidRDefault="003A7552" w:rsidP="00440341">
      <w:pPr>
        <w:pStyle w:val="Para1"/>
        <w:numPr>
          <w:ilvl w:val="1"/>
          <w:numId w:val="44"/>
        </w:numPr>
      </w:pPr>
      <w:r w:rsidRPr="006441E4">
        <w:t>An overview of communicat</w:t>
      </w:r>
      <w:r w:rsidR="002D118E" w:rsidRPr="006441E4">
        <w:t>ion and participation processes</w:t>
      </w:r>
    </w:p>
    <w:p w:rsidR="003A7552" w:rsidRPr="006441E4" w:rsidDel="002577A3" w:rsidRDefault="003A7552" w:rsidP="003A7552">
      <w:pPr>
        <w:pStyle w:val="UnnumberedL3"/>
        <w:ind w:left="1418"/>
        <w:rPr>
          <w:rStyle w:val="Emphasis-Italics"/>
        </w:rPr>
      </w:pPr>
      <w:r w:rsidRPr="006441E4">
        <w:rPr>
          <w:rStyle w:val="Emphasis-Italics"/>
        </w:rPr>
        <w:t xml:space="preserve">To support the AMMAT disclosure and assist interested persons to assess the maturity of asset management documentation, controls and review processes, the </w:t>
      </w:r>
      <w:r w:rsidRPr="006441E4">
        <w:rPr>
          <w:rStyle w:val="Emphasis-Italics"/>
          <w:b/>
        </w:rPr>
        <w:t>AMP</w:t>
      </w:r>
      <w:r w:rsidRPr="006441E4">
        <w:rPr>
          <w:rStyle w:val="Emphasis-Italics"/>
        </w:rPr>
        <w:t xml:space="preserve"> should:</w:t>
      </w:r>
    </w:p>
    <w:p w:rsidR="003A7552" w:rsidRPr="006441E4" w:rsidDel="002577A3" w:rsidRDefault="003A7552" w:rsidP="00440341">
      <w:pPr>
        <w:pStyle w:val="HeadingH7ClausesubtextL3"/>
        <w:numPr>
          <w:ilvl w:val="0"/>
          <w:numId w:val="32"/>
        </w:numPr>
        <w:ind w:left="1843" w:hanging="425"/>
        <w:rPr>
          <w:rStyle w:val="Emphasis-Italics"/>
        </w:rPr>
      </w:pPr>
      <w:r w:rsidRPr="006441E4">
        <w:rPr>
          <w:rStyle w:val="Emphasis-Italics"/>
        </w:rPr>
        <w:t>communicate asset management strategies, objectives, policies and plans to stakeholders involved in the delivery of the asset management requirements, including contractors and consultants;</w:t>
      </w:r>
    </w:p>
    <w:p w:rsidR="003A7552" w:rsidRPr="006441E4" w:rsidDel="002577A3" w:rsidRDefault="00E27F5E" w:rsidP="00440341">
      <w:pPr>
        <w:pStyle w:val="HeadingH7ClausesubtextL3"/>
        <w:numPr>
          <w:ilvl w:val="0"/>
          <w:numId w:val="32"/>
        </w:numPr>
        <w:ind w:left="1843" w:hanging="425"/>
        <w:rPr>
          <w:rStyle w:val="Emphasis-Italics"/>
        </w:rPr>
      </w:pPr>
      <w:proofErr w:type="gramStart"/>
      <w:r>
        <w:rPr>
          <w:rStyle w:val="Emphasis-Italics"/>
        </w:rPr>
        <w:t>demonstrate</w:t>
      </w:r>
      <w:proofErr w:type="gramEnd"/>
      <w:r w:rsidRPr="006441E4">
        <w:rPr>
          <w:rStyle w:val="Emphasis-Italics"/>
        </w:rPr>
        <w:t xml:space="preserve"> </w:t>
      </w:r>
      <w:r w:rsidR="003A7552" w:rsidRPr="006441E4">
        <w:rPr>
          <w:rStyle w:val="Emphasis-Italics"/>
        </w:rPr>
        <w:t>staff engagement in the efficient and cost effective delivery of the asset management requirements.</w:t>
      </w:r>
    </w:p>
    <w:p w:rsidR="003A7552" w:rsidRPr="006441E4" w:rsidRDefault="003A7552" w:rsidP="00440341">
      <w:pPr>
        <w:pStyle w:val="Para1"/>
        <w:numPr>
          <w:ilvl w:val="0"/>
          <w:numId w:val="42"/>
        </w:numPr>
        <w:rPr>
          <w:rStyle w:val="Emphasis-Italics"/>
          <w:i w:val="0"/>
        </w:rPr>
      </w:pPr>
      <w:bookmarkStart w:id="263" w:name="_Toc307315459"/>
      <w:r w:rsidRPr="006441E4">
        <w:rPr>
          <w:rStyle w:val="Emphasis-Italics"/>
          <w:i w:val="0"/>
        </w:rPr>
        <w:t xml:space="preserve">The </w:t>
      </w:r>
      <w:r w:rsidRPr="006441E4">
        <w:rPr>
          <w:rStyle w:val="Emphasis-Italics"/>
          <w:b/>
          <w:i w:val="0"/>
        </w:rPr>
        <w:t>AMP</w:t>
      </w:r>
      <w:r w:rsidRPr="006441E4">
        <w:rPr>
          <w:rStyle w:val="Emphasis-Italics"/>
          <w:i w:val="0"/>
        </w:rPr>
        <w:t xml:space="preserve"> must present all financial values in </w:t>
      </w:r>
      <w:r w:rsidR="00D04FE3">
        <w:rPr>
          <w:rStyle w:val="Emphasis-Italics"/>
          <w:b/>
          <w:i w:val="0"/>
        </w:rPr>
        <w:t>real</w:t>
      </w:r>
      <w:r w:rsidR="00D04FE3" w:rsidRPr="006441E4">
        <w:rPr>
          <w:rStyle w:val="Emphasis-Italics"/>
          <w:b/>
          <w:i w:val="0"/>
        </w:rPr>
        <w:t xml:space="preserve"> </w:t>
      </w:r>
      <w:r w:rsidRPr="006441E4">
        <w:rPr>
          <w:rStyle w:val="Emphasis-Italics"/>
          <w:b/>
          <w:i w:val="0"/>
        </w:rPr>
        <w:t>New Zealand dollars</w:t>
      </w:r>
      <w:r w:rsidR="001A2ED2">
        <w:rPr>
          <w:rStyle w:val="Emphasis-Italics"/>
          <w:i w:val="0"/>
        </w:rPr>
        <w:t xml:space="preserve"> except where specified otherwise</w:t>
      </w:r>
      <w:r w:rsidRPr="006441E4">
        <w:rPr>
          <w:rStyle w:val="Emphasis-Italics"/>
          <w:i w:val="0"/>
        </w:rPr>
        <w:t>;</w:t>
      </w:r>
    </w:p>
    <w:p w:rsidR="00A10483" w:rsidRPr="006441E4" w:rsidRDefault="003A7552" w:rsidP="00440341">
      <w:pPr>
        <w:pStyle w:val="Para1"/>
        <w:numPr>
          <w:ilvl w:val="0"/>
          <w:numId w:val="42"/>
        </w:numPr>
        <w:rPr>
          <w:rStyle w:val="Emphasis-Italics"/>
          <w:i w:val="0"/>
        </w:rPr>
      </w:pPr>
      <w:r w:rsidRPr="006441E4">
        <w:rPr>
          <w:rStyle w:val="Emphasis-Italics"/>
          <w:i w:val="0"/>
        </w:rPr>
        <w:t xml:space="preserve">The </w:t>
      </w:r>
      <w:r w:rsidRPr="006441E4">
        <w:rPr>
          <w:rStyle w:val="Emphasis-Italics"/>
          <w:b/>
          <w:i w:val="0"/>
        </w:rPr>
        <w:t xml:space="preserve">AMP </w:t>
      </w:r>
      <w:r w:rsidRPr="006441E4">
        <w:rPr>
          <w:rStyle w:val="Emphasis-Italics"/>
          <w:i w:val="0"/>
        </w:rPr>
        <w:t xml:space="preserve">must be structured and presented in a way that the </w:t>
      </w:r>
      <w:r w:rsidR="00143168" w:rsidRPr="006441E4">
        <w:rPr>
          <w:rStyle w:val="Emphasis-Italics"/>
          <w:b/>
          <w:i w:val="0"/>
        </w:rPr>
        <w:t>GTB</w:t>
      </w:r>
      <w:r w:rsidRPr="006441E4">
        <w:rPr>
          <w:rStyle w:val="Emphasis-Italics"/>
          <w:i w:val="0"/>
        </w:rPr>
        <w:t xml:space="preserve"> considers will support the purposes of </w:t>
      </w:r>
      <w:r w:rsidRPr="006441E4">
        <w:rPr>
          <w:rStyle w:val="Emphasis-Italics"/>
          <w:b/>
          <w:i w:val="0"/>
        </w:rPr>
        <w:t>AMP</w:t>
      </w:r>
      <w:r w:rsidRPr="006441E4">
        <w:rPr>
          <w:rStyle w:val="Emphasis-Italics"/>
          <w:i w:val="0"/>
        </w:rPr>
        <w:t xml:space="preserve"> disclosure set out in clause </w:t>
      </w:r>
      <w:r w:rsidR="0033518E">
        <w:fldChar w:fldCharType="begin"/>
      </w:r>
      <w:r w:rsidR="00C47728">
        <w:instrText xml:space="preserve"> REF  _Ref327205691 \h \w </w:instrText>
      </w:r>
      <w:r w:rsidR="0033518E">
        <w:fldChar w:fldCharType="separate"/>
      </w:r>
      <w:r w:rsidR="00B06C04">
        <w:t>2</w:t>
      </w:r>
      <w:r w:rsidR="0033518E">
        <w:fldChar w:fldCharType="end"/>
      </w:r>
      <w:r w:rsidRPr="006441E4">
        <w:rPr>
          <w:rStyle w:val="Emphasis-Italics"/>
          <w:i w:val="0"/>
        </w:rPr>
        <w:t xml:space="preserve"> </w:t>
      </w:r>
      <w:r w:rsidR="00931F73" w:rsidRPr="006441E4">
        <w:t xml:space="preserve">of </w:t>
      </w:r>
      <w:r w:rsidR="00BF0845">
        <w:t>the determination</w:t>
      </w:r>
      <w:r w:rsidRPr="006441E4">
        <w:rPr>
          <w:rStyle w:val="Emphasis-Italics"/>
          <w:i w:val="0"/>
        </w:rPr>
        <w:t>.</w:t>
      </w:r>
    </w:p>
    <w:p w:rsidR="00F40DAE" w:rsidRDefault="00F86836">
      <w:pPr>
        <w:pStyle w:val="Heading3"/>
        <w:rPr>
          <w:i w:val="0"/>
          <w:u w:val="single"/>
        </w:rPr>
      </w:pPr>
      <w:r w:rsidRPr="00F86836">
        <w:rPr>
          <w:i w:val="0"/>
          <w:u w:val="single"/>
        </w:rPr>
        <w:t>Assets covered</w:t>
      </w:r>
      <w:bookmarkEnd w:id="263"/>
    </w:p>
    <w:p w:rsidR="00A10483" w:rsidRPr="006441E4" w:rsidRDefault="003A7552" w:rsidP="00440341">
      <w:pPr>
        <w:pStyle w:val="Para1"/>
        <w:numPr>
          <w:ilvl w:val="0"/>
          <w:numId w:val="42"/>
        </w:numPr>
      </w:pPr>
      <w:r w:rsidRPr="006441E4">
        <w:t xml:space="preserve">The </w:t>
      </w:r>
      <w:r w:rsidRPr="00D427DF">
        <w:rPr>
          <w:b/>
        </w:rPr>
        <w:t>AMP</w:t>
      </w:r>
      <w:r w:rsidRPr="006441E4">
        <w:t xml:space="preserve"> must provide details of the assets covered, including—</w:t>
      </w:r>
      <w:bookmarkStart w:id="264" w:name="_Ref310883761"/>
    </w:p>
    <w:p w:rsidR="00A10483" w:rsidRPr="006441E4" w:rsidRDefault="003A7552" w:rsidP="00440341">
      <w:pPr>
        <w:pStyle w:val="Para1"/>
        <w:numPr>
          <w:ilvl w:val="1"/>
          <w:numId w:val="47"/>
        </w:numPr>
      </w:pPr>
      <w:bookmarkStart w:id="265" w:name="_Ref329200889"/>
      <w:r w:rsidRPr="006441E4">
        <w:t xml:space="preserve">A diagram, with any cross-referenced information contained in an accompanying schedule, of each </w:t>
      </w:r>
      <w:r w:rsidRPr="006441E4">
        <w:rPr>
          <w:b/>
        </w:rPr>
        <w:t>transmission system</w:t>
      </w:r>
      <w:r w:rsidRPr="006441E4">
        <w:t xml:space="preserve"> of the pipeline owner showing the following details:</w:t>
      </w:r>
      <w:bookmarkStart w:id="266" w:name="_Ref310883388"/>
      <w:bookmarkEnd w:id="264"/>
      <w:bookmarkEnd w:id="265"/>
    </w:p>
    <w:p w:rsidR="003A7552" w:rsidRPr="006441E4" w:rsidRDefault="003A7552" w:rsidP="00440341">
      <w:pPr>
        <w:pStyle w:val="Para1"/>
        <w:numPr>
          <w:ilvl w:val="2"/>
          <w:numId w:val="42"/>
        </w:numPr>
      </w:pPr>
      <w:bookmarkStart w:id="267" w:name="_Ref329199744"/>
      <w:r w:rsidRPr="006441E4">
        <w:t>all pipelines in the system with notations showing—</w:t>
      </w:r>
      <w:bookmarkEnd w:id="266"/>
      <w:bookmarkEnd w:id="267"/>
    </w:p>
    <w:p w:rsidR="003A7552" w:rsidRPr="006441E4" w:rsidRDefault="003A7552" w:rsidP="00A10483">
      <w:pPr>
        <w:pStyle w:val="Para4"/>
      </w:pPr>
      <w:r w:rsidRPr="006441E4">
        <w:t>internal, external, or nominal pipe diameters used (identifying whether internal, external, or nominal pipe diameters are used); and</w:t>
      </w:r>
    </w:p>
    <w:p w:rsidR="003A7552" w:rsidRPr="006441E4" w:rsidRDefault="003A7552" w:rsidP="006D2597">
      <w:pPr>
        <w:pStyle w:val="Para4"/>
      </w:pPr>
      <w:r w:rsidRPr="006441E4">
        <w:t>pipe design pressure ratings; and</w:t>
      </w:r>
    </w:p>
    <w:p w:rsidR="003A7552" w:rsidRPr="006441E4" w:rsidRDefault="003A7552" w:rsidP="006D2597">
      <w:pPr>
        <w:pStyle w:val="Para4"/>
      </w:pPr>
      <w:r w:rsidRPr="006441E4">
        <w:t xml:space="preserve">an unique identifier for each intake and </w:t>
      </w:r>
      <w:proofErr w:type="spellStart"/>
      <w:r w:rsidRPr="006441E4">
        <w:t>offtake</w:t>
      </w:r>
      <w:proofErr w:type="spellEnd"/>
      <w:r w:rsidRPr="006441E4">
        <w:t xml:space="preserve"> point of the system:</w:t>
      </w:r>
    </w:p>
    <w:p w:rsidR="003A7552" w:rsidRPr="006441E4" w:rsidRDefault="003A7552" w:rsidP="00440341">
      <w:pPr>
        <w:pStyle w:val="Para1"/>
        <w:numPr>
          <w:ilvl w:val="2"/>
          <w:numId w:val="42"/>
        </w:numPr>
      </w:pPr>
      <w:bookmarkStart w:id="268" w:name="_Ref310883394"/>
      <w:r w:rsidRPr="006441E4">
        <w:t>all—</w:t>
      </w:r>
      <w:bookmarkEnd w:id="268"/>
    </w:p>
    <w:p w:rsidR="00F40DAE" w:rsidRDefault="003A7552" w:rsidP="00440341">
      <w:pPr>
        <w:pStyle w:val="Para4"/>
        <w:numPr>
          <w:ilvl w:val="3"/>
          <w:numId w:val="67"/>
        </w:numPr>
      </w:pPr>
      <w:r w:rsidRPr="00D427DF">
        <w:rPr>
          <w:b/>
        </w:rPr>
        <w:t>compressor stations</w:t>
      </w:r>
      <w:r w:rsidRPr="00D427DF">
        <w:t>; and</w:t>
      </w:r>
    </w:p>
    <w:p w:rsidR="00F40DAE" w:rsidRDefault="00F86836" w:rsidP="00440341">
      <w:pPr>
        <w:pStyle w:val="Para4"/>
        <w:numPr>
          <w:ilvl w:val="3"/>
          <w:numId w:val="67"/>
        </w:numPr>
      </w:pPr>
      <w:r w:rsidRPr="00F86836">
        <w:rPr>
          <w:b/>
        </w:rPr>
        <w:t>pressure regulating stations</w:t>
      </w:r>
      <w:r w:rsidR="003A7552" w:rsidRPr="006441E4">
        <w:t>; and</w:t>
      </w:r>
    </w:p>
    <w:p w:rsidR="003A7552" w:rsidRPr="006441E4" w:rsidRDefault="003A7552" w:rsidP="006D2597">
      <w:pPr>
        <w:pStyle w:val="Para4"/>
      </w:pPr>
      <w:r w:rsidRPr="006441E4">
        <w:t>mainline isolation valves; and</w:t>
      </w:r>
    </w:p>
    <w:p w:rsidR="003A7552" w:rsidRPr="006441E4" w:rsidRDefault="003A7552" w:rsidP="006D2597">
      <w:pPr>
        <w:pStyle w:val="Para4"/>
      </w:pPr>
      <w:r w:rsidRPr="006441E4">
        <w:t>mixing stations; and</w:t>
      </w:r>
    </w:p>
    <w:p w:rsidR="003A7552" w:rsidRPr="006441E4" w:rsidRDefault="003A7552" w:rsidP="006D2597">
      <w:pPr>
        <w:pStyle w:val="Para4"/>
      </w:pPr>
      <w:r w:rsidRPr="006441E4">
        <w:t>intake points; and</w:t>
      </w:r>
    </w:p>
    <w:p w:rsidR="003A7552" w:rsidRPr="006441E4" w:rsidRDefault="003A7552" w:rsidP="006D2597">
      <w:pPr>
        <w:pStyle w:val="Para4"/>
      </w:pPr>
      <w:proofErr w:type="spellStart"/>
      <w:r w:rsidRPr="006441E4">
        <w:t>offtake</w:t>
      </w:r>
      <w:proofErr w:type="spellEnd"/>
      <w:r w:rsidRPr="006441E4">
        <w:t xml:space="preserve"> points:</w:t>
      </w:r>
    </w:p>
    <w:p w:rsidR="003A7552" w:rsidRPr="006441E4" w:rsidRDefault="003A7552" w:rsidP="00440341">
      <w:pPr>
        <w:pStyle w:val="Para1"/>
        <w:numPr>
          <w:ilvl w:val="2"/>
          <w:numId w:val="42"/>
        </w:numPr>
      </w:pPr>
      <w:r w:rsidRPr="006441E4">
        <w:t xml:space="preserve">if applicable, the points where a significant change has occurred since the previous disclosure under these regulations of the information referred to in </w:t>
      </w:r>
      <w:proofErr w:type="spellStart"/>
      <w:r w:rsidRPr="006441E4">
        <w:t>subclauses</w:t>
      </w:r>
      <w:proofErr w:type="spellEnd"/>
      <w:r w:rsidRPr="006441E4">
        <w:t xml:space="preserve"> </w:t>
      </w:r>
      <w:r w:rsidR="0033518E">
        <w:fldChar w:fldCharType="begin"/>
      </w:r>
      <w:r w:rsidR="00C27E2B">
        <w:instrText xml:space="preserve"> REF _Ref329199744 \r \h </w:instrText>
      </w:r>
      <w:r w:rsidR="0033518E">
        <w:fldChar w:fldCharType="separate"/>
      </w:r>
      <w:r w:rsidR="00B06C04">
        <w:t>6.1.1</w:t>
      </w:r>
      <w:r w:rsidR="0033518E">
        <w:fldChar w:fldCharType="end"/>
      </w:r>
      <w:r w:rsidRPr="006441E4">
        <w:t xml:space="preserve"> and </w:t>
      </w:r>
      <w:fldSimple w:instr=" REF _Ref310883394 \r \h  \* MERGEFORMAT ">
        <w:r w:rsidR="00B06C04">
          <w:t>6.1.2</w:t>
        </w:r>
      </w:fldSimple>
      <w:r w:rsidRPr="006441E4">
        <w:t xml:space="preserve"> </w:t>
      </w:r>
      <w:r w:rsidR="00823495" w:rsidRPr="006441E4">
        <w:t>of this Appendix</w:t>
      </w:r>
      <w:r w:rsidRPr="006441E4">
        <w:t>, including—</w:t>
      </w:r>
    </w:p>
    <w:p w:rsidR="003A7552" w:rsidRPr="006441E4" w:rsidRDefault="003A7552" w:rsidP="00440341">
      <w:pPr>
        <w:pStyle w:val="Para4"/>
        <w:numPr>
          <w:ilvl w:val="3"/>
          <w:numId w:val="46"/>
        </w:numPr>
      </w:pPr>
      <w:r w:rsidRPr="006441E4">
        <w:t>a clear description of every point on the pipeline system that is affected by the change; and</w:t>
      </w:r>
    </w:p>
    <w:p w:rsidR="00F40DAE" w:rsidRDefault="003A7552" w:rsidP="00440341">
      <w:pPr>
        <w:pStyle w:val="Para4"/>
        <w:numPr>
          <w:ilvl w:val="3"/>
          <w:numId w:val="46"/>
        </w:numPr>
      </w:pPr>
      <w:proofErr w:type="gramStart"/>
      <w:r w:rsidRPr="006441E4">
        <w:t>a</w:t>
      </w:r>
      <w:proofErr w:type="gramEnd"/>
      <w:r w:rsidRPr="006441E4">
        <w:t xml:space="preserve"> statement as to whether the capacity of the pipeline, at the points where the change has occurred, or at other points, as the case may be, has increased or decreased or is not affected.</w:t>
      </w:r>
    </w:p>
    <w:p w:rsidR="00F40DAE" w:rsidRDefault="003A7552" w:rsidP="00440341">
      <w:pPr>
        <w:pStyle w:val="Para4"/>
        <w:numPr>
          <w:ilvl w:val="3"/>
          <w:numId w:val="46"/>
        </w:numPr>
      </w:pPr>
      <w:proofErr w:type="gramStart"/>
      <w:r w:rsidRPr="006441E4">
        <w:t>a</w:t>
      </w:r>
      <w:proofErr w:type="gramEnd"/>
      <w:r w:rsidRPr="006441E4">
        <w:t xml:space="preserve"> description of the nature of the change</w:t>
      </w:r>
      <w:r w:rsidR="00D427DF">
        <w:t>.</w:t>
      </w:r>
    </w:p>
    <w:p w:rsidR="00A10483" w:rsidRPr="006441E4" w:rsidRDefault="003A7552" w:rsidP="00440341">
      <w:pPr>
        <w:pStyle w:val="Para1"/>
        <w:numPr>
          <w:ilvl w:val="2"/>
          <w:numId w:val="42"/>
        </w:numPr>
      </w:pPr>
      <w:proofErr w:type="gramStart"/>
      <w:r w:rsidRPr="006441E4">
        <w:t>the</w:t>
      </w:r>
      <w:proofErr w:type="gramEnd"/>
      <w:r w:rsidRPr="006441E4">
        <w:t xml:space="preserve"> distances between the items referred to in </w:t>
      </w:r>
      <w:proofErr w:type="spellStart"/>
      <w:r w:rsidRPr="006441E4">
        <w:t>subclause</w:t>
      </w:r>
      <w:proofErr w:type="spellEnd"/>
      <w:r w:rsidRPr="006441E4">
        <w:t xml:space="preserve"> </w:t>
      </w:r>
      <w:fldSimple w:instr=" REF  _Ref310883394 \h \w  \* MERGEFORMAT ">
        <w:r w:rsidR="00B06C04">
          <w:t>6.1.2</w:t>
        </w:r>
      </w:fldSimple>
      <w:r w:rsidRPr="006441E4">
        <w:t xml:space="preserve"> </w:t>
      </w:r>
      <w:r w:rsidR="00823495" w:rsidRPr="006441E4">
        <w:t>of this Appendix</w:t>
      </w:r>
      <w:r w:rsidRPr="006441E4">
        <w:t>.</w:t>
      </w:r>
      <w:bookmarkStart w:id="269" w:name="_Ref310883835"/>
    </w:p>
    <w:p w:rsidR="00A10483" w:rsidRPr="006441E4" w:rsidRDefault="003A7552" w:rsidP="00440341">
      <w:pPr>
        <w:pStyle w:val="Para1"/>
        <w:numPr>
          <w:ilvl w:val="1"/>
          <w:numId w:val="47"/>
        </w:numPr>
      </w:pPr>
      <w:bookmarkStart w:id="270" w:name="_Ref329200899"/>
      <w:r w:rsidRPr="006441E4">
        <w:t xml:space="preserve">A diagram, with any cross-referenced information contained in an accompanying schedule, of each </w:t>
      </w:r>
      <w:r w:rsidRPr="00D427DF">
        <w:rPr>
          <w:b/>
        </w:rPr>
        <w:t>transmission system</w:t>
      </w:r>
      <w:r w:rsidRPr="006441E4">
        <w:t xml:space="preserve"> of the pipeline owner showing the following details:</w:t>
      </w:r>
      <w:bookmarkStart w:id="271" w:name="_Ref310883560"/>
      <w:bookmarkEnd w:id="269"/>
      <w:bookmarkEnd w:id="270"/>
    </w:p>
    <w:p w:rsidR="003A7552" w:rsidRPr="006441E4" w:rsidRDefault="003A7552" w:rsidP="00440341">
      <w:pPr>
        <w:pStyle w:val="Para1"/>
        <w:numPr>
          <w:ilvl w:val="2"/>
          <w:numId w:val="48"/>
        </w:numPr>
        <w:tabs>
          <w:tab w:val="num" w:pos="1134"/>
        </w:tabs>
      </w:pPr>
      <w:bookmarkStart w:id="272" w:name="_Ref329200003"/>
      <w:r w:rsidRPr="006441E4">
        <w:t>the physical location (by common place name or street address) of all pipelines in the system, with notations showing:</w:t>
      </w:r>
      <w:bookmarkEnd w:id="271"/>
      <w:bookmarkEnd w:id="272"/>
    </w:p>
    <w:p w:rsidR="003A7552" w:rsidRPr="006441E4" w:rsidRDefault="003A7552" w:rsidP="00440341">
      <w:pPr>
        <w:pStyle w:val="Para4"/>
        <w:numPr>
          <w:ilvl w:val="3"/>
          <w:numId w:val="49"/>
        </w:numPr>
      </w:pPr>
      <w:r w:rsidRPr="006441E4">
        <w:t>internal, external, or nominal pipe diameters used; and</w:t>
      </w:r>
    </w:p>
    <w:p w:rsidR="00F40DAE" w:rsidRDefault="003A7552" w:rsidP="00440341">
      <w:pPr>
        <w:pStyle w:val="Para4"/>
        <w:numPr>
          <w:ilvl w:val="3"/>
          <w:numId w:val="49"/>
        </w:numPr>
      </w:pPr>
      <w:r w:rsidRPr="006441E4">
        <w:t>pipe design pressure ratings; and</w:t>
      </w:r>
    </w:p>
    <w:p w:rsidR="00F40DAE" w:rsidRDefault="003A7552" w:rsidP="00440341">
      <w:pPr>
        <w:pStyle w:val="Para4"/>
        <w:numPr>
          <w:ilvl w:val="3"/>
          <w:numId w:val="49"/>
        </w:numPr>
      </w:pPr>
      <w:r w:rsidRPr="006441E4">
        <w:t xml:space="preserve">a unique identifier for each intake and </w:t>
      </w:r>
      <w:proofErr w:type="spellStart"/>
      <w:r w:rsidRPr="006441E4">
        <w:t>offtake</w:t>
      </w:r>
      <w:proofErr w:type="spellEnd"/>
      <w:r w:rsidRPr="006441E4">
        <w:t xml:space="preserve"> point of the system;</w:t>
      </w:r>
    </w:p>
    <w:p w:rsidR="003A7552" w:rsidRPr="006441E4" w:rsidRDefault="003A7552" w:rsidP="00440341">
      <w:pPr>
        <w:pStyle w:val="Para1"/>
        <w:numPr>
          <w:ilvl w:val="2"/>
          <w:numId w:val="48"/>
        </w:numPr>
        <w:tabs>
          <w:tab w:val="num" w:pos="1134"/>
        </w:tabs>
      </w:pPr>
      <w:bookmarkStart w:id="273" w:name="_Ref310883563"/>
      <w:r w:rsidRPr="006441E4">
        <w:t>the physical location of all:</w:t>
      </w:r>
      <w:bookmarkEnd w:id="273"/>
    </w:p>
    <w:p w:rsidR="00F40DAE" w:rsidRDefault="003A7552" w:rsidP="00440341">
      <w:pPr>
        <w:pStyle w:val="Para4"/>
        <w:numPr>
          <w:ilvl w:val="3"/>
          <w:numId w:val="68"/>
        </w:numPr>
      </w:pPr>
      <w:r w:rsidRPr="00D427DF">
        <w:rPr>
          <w:b/>
        </w:rPr>
        <w:t>compressor stations</w:t>
      </w:r>
      <w:r w:rsidRPr="006441E4">
        <w:t>; and</w:t>
      </w:r>
    </w:p>
    <w:p w:rsidR="00F40DAE" w:rsidRDefault="003A7552" w:rsidP="00440341">
      <w:pPr>
        <w:pStyle w:val="Para4"/>
        <w:numPr>
          <w:ilvl w:val="3"/>
          <w:numId w:val="68"/>
        </w:numPr>
      </w:pPr>
      <w:r w:rsidRPr="00D427DF">
        <w:rPr>
          <w:b/>
        </w:rPr>
        <w:t>pressure re</w:t>
      </w:r>
      <w:r w:rsidR="00290883" w:rsidRPr="00D427DF">
        <w:rPr>
          <w:b/>
        </w:rPr>
        <w:t xml:space="preserve">gulating </w:t>
      </w:r>
      <w:r w:rsidRPr="00D427DF">
        <w:rPr>
          <w:b/>
        </w:rPr>
        <w:t>stations</w:t>
      </w:r>
      <w:r w:rsidR="00F86836" w:rsidRPr="00F86836">
        <w:t>; and</w:t>
      </w:r>
    </w:p>
    <w:p w:rsidR="00F40DAE" w:rsidRDefault="00F86836" w:rsidP="00440341">
      <w:pPr>
        <w:pStyle w:val="Para4"/>
        <w:numPr>
          <w:ilvl w:val="3"/>
          <w:numId w:val="68"/>
        </w:numPr>
      </w:pPr>
      <w:r w:rsidRPr="00F86836">
        <w:t>mainline isolation valves; and</w:t>
      </w:r>
    </w:p>
    <w:p w:rsidR="00F40DAE" w:rsidRDefault="00F86836" w:rsidP="00440341">
      <w:pPr>
        <w:pStyle w:val="Para4"/>
        <w:numPr>
          <w:ilvl w:val="3"/>
          <w:numId w:val="68"/>
        </w:numPr>
      </w:pPr>
      <w:r w:rsidRPr="00F86836">
        <w:t>mixing stations; and</w:t>
      </w:r>
    </w:p>
    <w:p w:rsidR="00F40DAE" w:rsidRDefault="00F86836" w:rsidP="00440341">
      <w:pPr>
        <w:pStyle w:val="Para4"/>
        <w:numPr>
          <w:ilvl w:val="3"/>
          <w:numId w:val="68"/>
        </w:numPr>
      </w:pPr>
      <w:r w:rsidRPr="00F86836">
        <w:t>intake points; and</w:t>
      </w:r>
    </w:p>
    <w:p w:rsidR="00F40DAE" w:rsidRDefault="00F86836" w:rsidP="00440341">
      <w:pPr>
        <w:pStyle w:val="Para4"/>
        <w:numPr>
          <w:ilvl w:val="3"/>
          <w:numId w:val="68"/>
        </w:numPr>
      </w:pPr>
      <w:proofErr w:type="spellStart"/>
      <w:r w:rsidRPr="00F86836">
        <w:t>offtake</w:t>
      </w:r>
      <w:proofErr w:type="spellEnd"/>
      <w:r w:rsidRPr="00F86836">
        <w:t xml:space="preserve"> points;</w:t>
      </w:r>
    </w:p>
    <w:p w:rsidR="003A7552" w:rsidRPr="006441E4" w:rsidRDefault="003A7552" w:rsidP="00440341">
      <w:pPr>
        <w:pStyle w:val="Para1"/>
        <w:numPr>
          <w:ilvl w:val="1"/>
          <w:numId w:val="47"/>
        </w:numPr>
      </w:pPr>
      <w:r w:rsidRPr="006441E4">
        <w:t xml:space="preserve">if applicable, the locations where a significant change has occurred since the previous disclosure of the information referred to in </w:t>
      </w:r>
      <w:proofErr w:type="spellStart"/>
      <w:r w:rsidRPr="006441E4">
        <w:t>subclauses</w:t>
      </w:r>
      <w:proofErr w:type="spellEnd"/>
      <w:r w:rsidRPr="006441E4">
        <w:t xml:space="preserve"> </w:t>
      </w:r>
      <w:r w:rsidR="0033518E">
        <w:fldChar w:fldCharType="begin"/>
      </w:r>
      <w:r w:rsidR="00C27E2B">
        <w:instrText xml:space="preserve"> REF _Ref329200003 \r \h </w:instrText>
      </w:r>
      <w:r w:rsidR="0033518E">
        <w:fldChar w:fldCharType="separate"/>
      </w:r>
      <w:r w:rsidR="00B06C04">
        <w:t>6.3.1</w:t>
      </w:r>
      <w:r w:rsidR="0033518E">
        <w:fldChar w:fldCharType="end"/>
      </w:r>
      <w:r w:rsidRPr="006441E4">
        <w:t xml:space="preserve"> and </w:t>
      </w:r>
      <w:fldSimple w:instr=" REF _Ref310883563 \r \h  \* MERGEFORMAT ">
        <w:r w:rsidR="00B06C04">
          <w:t>6.3.2</w:t>
        </w:r>
      </w:fldSimple>
      <w:r w:rsidR="00C11920" w:rsidRPr="006441E4">
        <w:t xml:space="preserve"> </w:t>
      </w:r>
      <w:r w:rsidR="00823495" w:rsidRPr="006441E4">
        <w:t>of this Appendix</w:t>
      </w:r>
      <w:r w:rsidRPr="006441E4">
        <w:t>, including:</w:t>
      </w:r>
    </w:p>
    <w:p w:rsidR="003A7552" w:rsidRPr="006441E4" w:rsidRDefault="003A7552" w:rsidP="00440341">
      <w:pPr>
        <w:pStyle w:val="Para4"/>
        <w:numPr>
          <w:ilvl w:val="2"/>
          <w:numId w:val="50"/>
        </w:numPr>
      </w:pPr>
      <w:r w:rsidRPr="006441E4">
        <w:t xml:space="preserve">a clear description of every location on the </w:t>
      </w:r>
      <w:r w:rsidR="00DB2D5D" w:rsidRPr="006441E4">
        <w:rPr>
          <w:b/>
        </w:rPr>
        <w:t xml:space="preserve">transmission </w:t>
      </w:r>
      <w:r w:rsidRPr="006441E4">
        <w:rPr>
          <w:b/>
        </w:rPr>
        <w:t>system</w:t>
      </w:r>
      <w:r w:rsidRPr="006441E4">
        <w:t xml:space="preserve"> that is affected by the change; and</w:t>
      </w:r>
    </w:p>
    <w:p w:rsidR="003A7552" w:rsidRPr="006441E4" w:rsidRDefault="003A7552" w:rsidP="00440341">
      <w:pPr>
        <w:pStyle w:val="Para4"/>
        <w:numPr>
          <w:ilvl w:val="2"/>
          <w:numId w:val="50"/>
        </w:numPr>
      </w:pPr>
      <w:r w:rsidRPr="006441E4">
        <w:t>a statement as to whether the capacity of the pipeline , in the locations where the change has occurred, or in other locations, as the case may be, has increased or decreased or is not affected; and</w:t>
      </w:r>
    </w:p>
    <w:p w:rsidR="00A10483" w:rsidRPr="006441E4" w:rsidRDefault="003A7552" w:rsidP="00440341">
      <w:pPr>
        <w:pStyle w:val="Para4"/>
        <w:numPr>
          <w:ilvl w:val="2"/>
          <w:numId w:val="50"/>
        </w:numPr>
      </w:pPr>
      <w:r w:rsidRPr="006441E4">
        <w:t>a description of the nature of the change;</w:t>
      </w:r>
    </w:p>
    <w:p w:rsidR="003A7552" w:rsidRPr="006441E4" w:rsidRDefault="003A7552" w:rsidP="00440341">
      <w:pPr>
        <w:pStyle w:val="Para4"/>
        <w:numPr>
          <w:ilvl w:val="2"/>
          <w:numId w:val="50"/>
        </w:numPr>
      </w:pPr>
      <w:proofErr w:type="gramStart"/>
      <w:r w:rsidRPr="006441E4">
        <w:t>the</w:t>
      </w:r>
      <w:proofErr w:type="gramEnd"/>
      <w:r w:rsidRPr="006441E4">
        <w:t xml:space="preserve"> distances between the physical locations of the items referred to in </w:t>
      </w:r>
      <w:proofErr w:type="spellStart"/>
      <w:r w:rsidRPr="006441E4">
        <w:t>subclause</w:t>
      </w:r>
      <w:proofErr w:type="spellEnd"/>
      <w:r w:rsidRPr="006441E4">
        <w:t xml:space="preserve"> </w:t>
      </w:r>
      <w:fldSimple w:instr=" REF  _Ref310883563 \h \r  \* MERGEFORMAT ">
        <w:r w:rsidR="00B06C04">
          <w:t>6.3.2</w:t>
        </w:r>
      </w:fldSimple>
      <w:r w:rsidR="00823495" w:rsidRPr="006441E4">
        <w:t xml:space="preserve"> of this Appendix</w:t>
      </w:r>
      <w:r w:rsidRPr="006441E4">
        <w:t>.</w:t>
      </w:r>
    </w:p>
    <w:p w:rsidR="00F40DAE" w:rsidRDefault="00F86836">
      <w:pPr>
        <w:pStyle w:val="Heading3"/>
        <w:rPr>
          <w:i w:val="0"/>
          <w:u w:val="single"/>
        </w:rPr>
      </w:pPr>
      <w:bookmarkStart w:id="274" w:name="_Ref310883661"/>
      <w:r w:rsidRPr="00F86836">
        <w:rPr>
          <w:i w:val="0"/>
          <w:u w:val="single"/>
        </w:rPr>
        <w:t>Network assets by category</w:t>
      </w:r>
    </w:p>
    <w:p w:rsidR="00A10483" w:rsidRPr="006441E4" w:rsidRDefault="004C5827" w:rsidP="00440341">
      <w:pPr>
        <w:pStyle w:val="Para1"/>
        <w:numPr>
          <w:ilvl w:val="0"/>
          <w:numId w:val="42"/>
        </w:numPr>
      </w:pPr>
      <w:bookmarkStart w:id="275" w:name="_Ref329180937"/>
      <w:r w:rsidRPr="006441E4">
        <w:t>T</w:t>
      </w:r>
      <w:r w:rsidR="00C11920" w:rsidRPr="006441E4">
        <w:t>he</w:t>
      </w:r>
      <w:r w:rsidR="003A7552" w:rsidRPr="006441E4">
        <w:t xml:space="preserve"> </w:t>
      </w:r>
      <w:r w:rsidR="003A7552" w:rsidRPr="006441E4">
        <w:rPr>
          <w:b/>
        </w:rPr>
        <w:t>AMP</w:t>
      </w:r>
      <w:r w:rsidR="003A7552" w:rsidRPr="006441E4">
        <w:t xml:space="preserve"> must describe the </w:t>
      </w:r>
      <w:r w:rsidR="003A7552" w:rsidRPr="006441E4">
        <w:rPr>
          <w:b/>
        </w:rPr>
        <w:t>network</w:t>
      </w:r>
      <w:r w:rsidR="003A7552" w:rsidRPr="006441E4">
        <w:t xml:space="preserve"> assets by providing the following information for each </w:t>
      </w:r>
      <w:r w:rsidRPr="00453104">
        <w:t xml:space="preserve">asset </w:t>
      </w:r>
      <w:r w:rsidR="003A7552" w:rsidRPr="00453104">
        <w:t>category</w:t>
      </w:r>
      <w:r w:rsidR="003A7552" w:rsidRPr="006441E4">
        <w:t>:</w:t>
      </w:r>
      <w:bookmarkEnd w:id="274"/>
      <w:bookmarkEnd w:id="275"/>
    </w:p>
    <w:p w:rsidR="00A10483" w:rsidRPr="006441E4" w:rsidRDefault="00411AFE" w:rsidP="00440341">
      <w:pPr>
        <w:pStyle w:val="Para1"/>
        <w:numPr>
          <w:ilvl w:val="1"/>
          <w:numId w:val="51"/>
        </w:numPr>
      </w:pPr>
      <w:r w:rsidRPr="006441E4">
        <w:t>D</w:t>
      </w:r>
      <w:r w:rsidR="003A7552" w:rsidRPr="006441E4">
        <w:t>escription and quantity of assets;</w:t>
      </w:r>
    </w:p>
    <w:p w:rsidR="00A10483" w:rsidRPr="006441E4" w:rsidRDefault="00411AFE" w:rsidP="00440341">
      <w:pPr>
        <w:pStyle w:val="Para1"/>
        <w:numPr>
          <w:ilvl w:val="1"/>
          <w:numId w:val="51"/>
        </w:numPr>
      </w:pPr>
      <w:r w:rsidRPr="006441E4">
        <w:t>A</w:t>
      </w:r>
      <w:r w:rsidR="003A7552" w:rsidRPr="006441E4">
        <w:t>ge profiles;</w:t>
      </w:r>
    </w:p>
    <w:p w:rsidR="003A7552" w:rsidRPr="006441E4" w:rsidRDefault="00411AFE" w:rsidP="00440341">
      <w:pPr>
        <w:pStyle w:val="Para1"/>
        <w:numPr>
          <w:ilvl w:val="1"/>
          <w:numId w:val="51"/>
        </w:numPr>
      </w:pPr>
      <w:r w:rsidRPr="006441E4">
        <w:t>A</w:t>
      </w:r>
      <w:r w:rsidR="003A7552" w:rsidRPr="006441E4">
        <w:t xml:space="preserve"> discussion of the </w:t>
      </w:r>
      <w:r w:rsidR="009C39C0">
        <w:t>condition</w:t>
      </w:r>
      <w:r w:rsidR="003A7552" w:rsidRPr="006441E4">
        <w:t xml:space="preserve"> of the assets, further broken down </w:t>
      </w:r>
      <w:r w:rsidR="00EC66D2">
        <w:t xml:space="preserve">into more detailed categories </w:t>
      </w:r>
      <w:r w:rsidR="003A7552" w:rsidRPr="006441E4">
        <w:t>as appropriate</w:t>
      </w:r>
      <w:r w:rsidR="003517CB">
        <w:t xml:space="preserve">. </w:t>
      </w:r>
      <w:r w:rsidR="003A7552" w:rsidRPr="006441E4">
        <w:t>Systemic issues leading to the premature replacement of assets or parts of assets should be discussed.</w:t>
      </w:r>
    </w:p>
    <w:p w:rsidR="00A10483" w:rsidRPr="006441E4" w:rsidRDefault="003A7552" w:rsidP="00440341">
      <w:pPr>
        <w:pStyle w:val="Para1"/>
        <w:numPr>
          <w:ilvl w:val="0"/>
          <w:numId w:val="42"/>
        </w:numPr>
      </w:pPr>
      <w:bookmarkStart w:id="276" w:name="_Ref329297404"/>
      <w:r w:rsidRPr="006441E4">
        <w:t xml:space="preserve">The </w:t>
      </w:r>
      <w:r w:rsidRPr="00453104">
        <w:t>asset categories</w:t>
      </w:r>
      <w:r w:rsidRPr="006441E4">
        <w:t xml:space="preserve"> discussed in clause </w:t>
      </w:r>
      <w:r w:rsidR="0033518E">
        <w:fldChar w:fldCharType="begin"/>
      </w:r>
      <w:r w:rsidR="00931F73">
        <w:instrText xml:space="preserve"> REF _Ref329180937 \r \h </w:instrText>
      </w:r>
      <w:r w:rsidR="0033518E">
        <w:fldChar w:fldCharType="separate"/>
      </w:r>
      <w:r w:rsidR="00B06C04">
        <w:t>7</w:t>
      </w:r>
      <w:r w:rsidR="0033518E">
        <w:fldChar w:fldCharType="end"/>
      </w:r>
      <w:r w:rsidRPr="006441E4">
        <w:t xml:space="preserve"> </w:t>
      </w:r>
      <w:r w:rsidR="00823495" w:rsidRPr="006441E4">
        <w:t>of this Appendix</w:t>
      </w:r>
      <w:r w:rsidRPr="006441E4">
        <w:t xml:space="preserve"> should include at least the following:</w:t>
      </w:r>
      <w:bookmarkEnd w:id="276"/>
    </w:p>
    <w:p w:rsidR="00A10483" w:rsidRPr="006441E4" w:rsidRDefault="003A7552" w:rsidP="00440341">
      <w:pPr>
        <w:pStyle w:val="Para1"/>
        <w:numPr>
          <w:ilvl w:val="1"/>
          <w:numId w:val="52"/>
        </w:numPr>
      </w:pPr>
      <w:r w:rsidRPr="006441E4">
        <w:t>the categories listed in the</w:t>
      </w:r>
      <w:r w:rsidR="00EC66D2" w:rsidRPr="006441E4">
        <w:t xml:space="preserve"> </w:t>
      </w:r>
      <w:r w:rsidR="00EC66D2" w:rsidRPr="007B4637">
        <w:t xml:space="preserve">Report </w:t>
      </w:r>
      <w:r w:rsidR="00EC66D2">
        <w:t>o</w:t>
      </w:r>
      <w:r w:rsidR="00EC66D2" w:rsidRPr="007B4637">
        <w:t>n Forecast Capital Expenditure</w:t>
      </w:r>
      <w:r w:rsidR="00EC66D2">
        <w:t xml:space="preserve"> </w:t>
      </w:r>
      <w:r w:rsidRPr="006441E4">
        <w:t>in Schedule 1</w:t>
      </w:r>
      <w:r w:rsidR="00EC66D2">
        <w:t>1a</w:t>
      </w:r>
      <w:r w:rsidRPr="006441E4">
        <w:t>;</w:t>
      </w:r>
    </w:p>
    <w:p w:rsidR="003A7552" w:rsidRPr="006441E4" w:rsidRDefault="003A7552" w:rsidP="00440341">
      <w:pPr>
        <w:pStyle w:val="Para1"/>
        <w:numPr>
          <w:ilvl w:val="1"/>
          <w:numId w:val="52"/>
        </w:numPr>
      </w:pPr>
      <w:proofErr w:type="gramStart"/>
      <w:r w:rsidRPr="006441E4">
        <w:t>assets</w:t>
      </w:r>
      <w:proofErr w:type="gramEnd"/>
      <w:r w:rsidRPr="006441E4">
        <w:t xml:space="preserve"> owned by the </w:t>
      </w:r>
      <w:r w:rsidRPr="006441E4">
        <w:rPr>
          <w:b/>
        </w:rPr>
        <w:t>GTB</w:t>
      </w:r>
      <w:r w:rsidRPr="006441E4">
        <w:t xml:space="preserve"> but installed at facilities owned by others.</w:t>
      </w:r>
    </w:p>
    <w:p w:rsidR="003A7552" w:rsidRPr="006441E4" w:rsidRDefault="003A7552" w:rsidP="00440341">
      <w:pPr>
        <w:pStyle w:val="Para1"/>
        <w:numPr>
          <w:ilvl w:val="0"/>
          <w:numId w:val="42"/>
        </w:numPr>
      </w:pPr>
      <w:r w:rsidRPr="006441E4">
        <w:t xml:space="preserve">For the purposes of the requirement to publicly disclose the diagrams referred to in clauses </w:t>
      </w:r>
      <w:r w:rsidR="0033518E">
        <w:fldChar w:fldCharType="begin"/>
      </w:r>
      <w:r w:rsidR="00EC66D2">
        <w:instrText xml:space="preserve"> REF _Ref329200889 \r \h </w:instrText>
      </w:r>
      <w:r w:rsidR="0033518E">
        <w:fldChar w:fldCharType="separate"/>
      </w:r>
      <w:r w:rsidR="00B06C04">
        <w:t>6.1</w:t>
      </w:r>
      <w:r w:rsidR="0033518E">
        <w:fldChar w:fldCharType="end"/>
      </w:r>
      <w:r w:rsidRPr="006441E4">
        <w:t xml:space="preserve"> and </w:t>
      </w:r>
      <w:r w:rsidR="0033518E">
        <w:fldChar w:fldCharType="begin"/>
      </w:r>
      <w:r w:rsidR="00EC66D2">
        <w:instrText xml:space="preserve"> REF _Ref329200899 \r \h </w:instrText>
      </w:r>
      <w:r w:rsidR="0033518E">
        <w:fldChar w:fldCharType="separate"/>
      </w:r>
      <w:r w:rsidR="00B06C04">
        <w:t>6.2</w:t>
      </w:r>
      <w:r w:rsidR="0033518E">
        <w:fldChar w:fldCharType="end"/>
      </w:r>
      <w:r w:rsidR="00823495" w:rsidRPr="006441E4">
        <w:t xml:space="preserve"> of this Appendix</w:t>
      </w:r>
      <w:r w:rsidRPr="006441E4">
        <w:t xml:space="preserve">, a </w:t>
      </w:r>
      <w:r w:rsidRPr="006441E4">
        <w:rPr>
          <w:b/>
        </w:rPr>
        <w:t>GTB</w:t>
      </w:r>
      <w:r w:rsidRPr="006441E4">
        <w:t xml:space="preserve"> is deemed to comply with the requirement if the </w:t>
      </w:r>
      <w:r w:rsidRPr="006441E4">
        <w:rPr>
          <w:b/>
        </w:rPr>
        <w:t>GTB</w:t>
      </w:r>
      <w:r w:rsidRPr="006441E4">
        <w:t xml:space="preserve">, within 5 months after the end of each </w:t>
      </w:r>
      <w:r w:rsidR="00DB2D5D" w:rsidRPr="006441E4">
        <w:rPr>
          <w:b/>
        </w:rPr>
        <w:t>disclosure year</w:t>
      </w:r>
      <w:r w:rsidRPr="006441E4">
        <w:t xml:space="preserve">, makes copies of the diagrams available for inspection, during ordinary office hours, at the principal offices of that </w:t>
      </w:r>
      <w:r w:rsidRPr="006441E4">
        <w:rPr>
          <w:b/>
        </w:rPr>
        <w:t>GTB</w:t>
      </w:r>
      <w:r w:rsidRPr="006441E4">
        <w:t>.</w:t>
      </w:r>
    </w:p>
    <w:p w:rsidR="00A70F1F" w:rsidRPr="00A70F1F" w:rsidRDefault="00A70F1F" w:rsidP="00A70F1F">
      <w:pPr>
        <w:pStyle w:val="Heading3"/>
        <w:rPr>
          <w:i w:val="0"/>
          <w:u w:val="single"/>
        </w:rPr>
      </w:pPr>
      <w:r w:rsidRPr="00A70F1F">
        <w:rPr>
          <w:i w:val="0"/>
          <w:u w:val="single"/>
        </w:rPr>
        <w:t>Transmission system capacity</w:t>
      </w:r>
    </w:p>
    <w:p w:rsidR="00A70F1F" w:rsidRDefault="00A70F1F" w:rsidP="00440341">
      <w:pPr>
        <w:pStyle w:val="Para1"/>
        <w:numPr>
          <w:ilvl w:val="0"/>
          <w:numId w:val="42"/>
        </w:numPr>
      </w:pPr>
      <w:r>
        <w:t>The AMP must include</w:t>
      </w:r>
      <w:r w:rsidRPr="00973BB9">
        <w:t xml:space="preserve"> </w:t>
      </w:r>
      <w:r w:rsidR="00700E43">
        <w:t xml:space="preserve">an assessment </w:t>
      </w:r>
      <w:r w:rsidRPr="00973BB9">
        <w:t xml:space="preserve">of the extent to which physical pipeline capacity is adequate to address the current and anticipated future needs of </w:t>
      </w:r>
      <w:r w:rsidRPr="003825CB">
        <w:rPr>
          <w:b/>
        </w:rPr>
        <w:t>consumers</w:t>
      </w:r>
      <w:r w:rsidRPr="00973BB9">
        <w:t>, taking into account expected demands on the transmission system and the GTB’s investment plans</w:t>
      </w:r>
      <w:bookmarkStart w:id="277" w:name="_Ref327296394"/>
      <w:r>
        <w:t>.</w:t>
      </w:r>
    </w:p>
    <w:p w:rsidR="00A70F1F" w:rsidRDefault="00A70F1F" w:rsidP="00440341">
      <w:pPr>
        <w:pStyle w:val="Para3"/>
        <w:numPr>
          <w:ilvl w:val="1"/>
          <w:numId w:val="42"/>
        </w:numPr>
      </w:pPr>
      <w:r>
        <w:t xml:space="preserve">The </w:t>
      </w:r>
      <w:r w:rsidR="009F6ABC">
        <w:t>assessment</w:t>
      </w:r>
      <w:r>
        <w:t xml:space="preserve"> must </w:t>
      </w:r>
      <w:r w:rsidRPr="00973BB9">
        <w:t>i</w:t>
      </w:r>
      <w:r>
        <w:t>nclude the following:</w:t>
      </w:r>
    </w:p>
    <w:p w:rsidR="00A70F1F" w:rsidRPr="009A47BD" w:rsidRDefault="00A70F1F" w:rsidP="00440341">
      <w:pPr>
        <w:pStyle w:val="Para3"/>
        <w:numPr>
          <w:ilvl w:val="2"/>
          <w:numId w:val="42"/>
        </w:numPr>
      </w:pPr>
      <w:bookmarkStart w:id="278" w:name="_Ref327277691"/>
      <w:bookmarkStart w:id="279" w:name="_Ref327296543"/>
      <w:bookmarkEnd w:id="277"/>
      <w:r w:rsidRPr="00973BB9">
        <w:t>Subject to clause</w:t>
      </w:r>
      <w:r>
        <w:t xml:space="preserve">s </w:t>
      </w:r>
      <w:r w:rsidR="0033518E">
        <w:fldChar w:fldCharType="begin"/>
      </w:r>
      <w:r>
        <w:instrText xml:space="preserve"> REF _Ref327377279 \r \h </w:instrText>
      </w:r>
      <w:r w:rsidR="0033518E">
        <w:fldChar w:fldCharType="separate"/>
      </w:r>
      <w:r w:rsidR="00B06C04">
        <w:t>10.2</w:t>
      </w:r>
      <w:r w:rsidR="0033518E">
        <w:fldChar w:fldCharType="end"/>
      </w:r>
      <w:r>
        <w:t xml:space="preserve">, </w:t>
      </w:r>
      <w:r w:rsidR="0033518E">
        <w:fldChar w:fldCharType="begin"/>
      </w:r>
      <w:r>
        <w:instrText xml:space="preserve"> REF _Ref327377077 \r \h </w:instrText>
      </w:r>
      <w:r w:rsidR="0033518E">
        <w:fldChar w:fldCharType="separate"/>
      </w:r>
      <w:r w:rsidR="00B06C04">
        <w:t>10.3</w:t>
      </w:r>
      <w:r w:rsidR="0033518E">
        <w:fldChar w:fldCharType="end"/>
      </w:r>
      <w:r w:rsidRPr="00973BB9">
        <w:t xml:space="preserve"> </w:t>
      </w:r>
      <w:r>
        <w:t xml:space="preserve">and </w:t>
      </w:r>
      <w:r w:rsidR="0033518E">
        <w:fldChar w:fldCharType="begin"/>
      </w:r>
      <w:r>
        <w:instrText xml:space="preserve"> REF _Ref328325013 \r \h </w:instrText>
      </w:r>
      <w:r w:rsidR="0033518E">
        <w:fldChar w:fldCharType="separate"/>
      </w:r>
      <w:r w:rsidR="00B06C04">
        <w:t>10.4</w:t>
      </w:r>
      <w:r w:rsidR="0033518E">
        <w:fldChar w:fldCharType="end"/>
      </w:r>
      <w:r>
        <w:t xml:space="preserve"> </w:t>
      </w:r>
      <w:r w:rsidRPr="00973BB9">
        <w:t>below</w:t>
      </w:r>
      <w:r>
        <w:t>,</w:t>
      </w:r>
      <w:r w:rsidRPr="00973BB9">
        <w:t xml:space="preserve"> for each </w:t>
      </w:r>
      <w:proofErr w:type="spellStart"/>
      <w:r w:rsidRPr="00973BB9">
        <w:t>offtake</w:t>
      </w:r>
      <w:proofErr w:type="spellEnd"/>
      <w:r w:rsidRPr="00973BB9">
        <w:t xml:space="preserve"> point with a throughput of gas during the system peak flow period of 2,000</w:t>
      </w:r>
      <w:r>
        <w:t> GJ</w:t>
      </w:r>
      <w:r w:rsidRPr="00973BB9">
        <w:t xml:space="preserve"> or more</w:t>
      </w:r>
      <w:r>
        <w:t>,</w:t>
      </w:r>
      <w:r w:rsidRPr="00973BB9">
        <w:t xml:space="preserve"> an </w:t>
      </w:r>
      <w:r w:rsidR="00700E43">
        <w:t>analysis</w:t>
      </w:r>
      <w:r w:rsidRPr="00973BB9">
        <w:t xml:space="preserve"> of</w:t>
      </w:r>
      <w:r w:rsidRPr="009A47BD">
        <w:t xml:space="preserve"> available capacity, including a description of any potential transmission system constraints</w:t>
      </w:r>
      <w:bookmarkEnd w:id="278"/>
      <w:bookmarkEnd w:id="279"/>
    </w:p>
    <w:p w:rsidR="00A70F1F" w:rsidRPr="006B0078" w:rsidRDefault="00A70F1F" w:rsidP="00440341">
      <w:pPr>
        <w:pStyle w:val="Para3"/>
        <w:numPr>
          <w:ilvl w:val="2"/>
          <w:numId w:val="42"/>
        </w:numPr>
      </w:pPr>
      <w:bookmarkStart w:id="280" w:name="_Ref327279850"/>
      <w:r>
        <w:t xml:space="preserve">a description of </w:t>
      </w:r>
      <w:r w:rsidRPr="006B0078">
        <w:t xml:space="preserve">the extent </w:t>
      </w:r>
      <w:r>
        <w:t xml:space="preserve">to which </w:t>
      </w:r>
      <w:r w:rsidRPr="006B0078">
        <w:t xml:space="preserve">the </w:t>
      </w:r>
      <w:r w:rsidRPr="006B0078">
        <w:rPr>
          <w:b/>
        </w:rPr>
        <w:t>GTB</w:t>
      </w:r>
      <w:r w:rsidRPr="006B0078">
        <w:t xml:space="preserve">’s </w:t>
      </w:r>
      <w:r>
        <w:t xml:space="preserve">planned </w:t>
      </w:r>
      <w:r w:rsidRPr="006B0078">
        <w:t>investment</w:t>
      </w:r>
      <w:r>
        <w:t>s</w:t>
      </w:r>
      <w:r w:rsidRPr="006B0078">
        <w:t xml:space="preserve"> will </w:t>
      </w:r>
      <w:r>
        <w:t>affect</w:t>
      </w:r>
      <w:r w:rsidRPr="006B0078">
        <w:t xml:space="preserve"> the constraints identified in </w:t>
      </w:r>
      <w:proofErr w:type="spellStart"/>
      <w:r w:rsidRPr="006B0078">
        <w:t>subclause</w:t>
      </w:r>
      <w:bookmarkEnd w:id="280"/>
      <w:proofErr w:type="spellEnd"/>
      <w:r w:rsidRPr="006B0078">
        <w:t xml:space="preserve"> </w:t>
      </w:r>
      <w:r w:rsidR="0033518E">
        <w:fldChar w:fldCharType="begin"/>
      </w:r>
      <w:r w:rsidR="00931F73">
        <w:instrText xml:space="preserve"> REF  _Ref327296543 \h \w </w:instrText>
      </w:r>
      <w:r w:rsidR="0033518E">
        <w:fldChar w:fldCharType="separate"/>
      </w:r>
      <w:r w:rsidR="00B06C04">
        <w:t>10.1.1</w:t>
      </w:r>
      <w:r w:rsidR="0033518E">
        <w:fldChar w:fldCharType="end"/>
      </w:r>
      <w:r w:rsidRPr="006B0078">
        <w:t xml:space="preserve"> </w:t>
      </w:r>
      <w:r w:rsidR="00931F73" w:rsidRPr="006441E4">
        <w:t>of this Appendix</w:t>
      </w:r>
    </w:p>
    <w:p w:rsidR="00A70F1F" w:rsidRPr="006B0078" w:rsidRDefault="00A70F1F" w:rsidP="00440341">
      <w:pPr>
        <w:pStyle w:val="Para3"/>
        <w:numPr>
          <w:ilvl w:val="2"/>
          <w:numId w:val="42"/>
        </w:numPr>
      </w:pPr>
      <w:bookmarkStart w:id="281" w:name="_Ref327277723"/>
      <w:proofErr w:type="gramStart"/>
      <w:r w:rsidRPr="006B0078">
        <w:t>a</w:t>
      </w:r>
      <w:proofErr w:type="gramEnd"/>
      <w:r w:rsidRPr="006B0078">
        <w:t xml:space="preserve"> description of the extent to which constraints identified in </w:t>
      </w:r>
      <w:proofErr w:type="spellStart"/>
      <w:r w:rsidRPr="006B0078">
        <w:t>subclause</w:t>
      </w:r>
      <w:proofErr w:type="spellEnd"/>
      <w:r w:rsidRPr="006B0078">
        <w:t xml:space="preserve"> </w:t>
      </w:r>
      <w:r w:rsidR="0033518E">
        <w:fldChar w:fldCharType="begin"/>
      </w:r>
      <w:r>
        <w:instrText xml:space="preserve"> REF _Ref327296543 \r \h </w:instrText>
      </w:r>
      <w:r w:rsidR="0033518E">
        <w:fldChar w:fldCharType="separate"/>
      </w:r>
      <w:r w:rsidR="00B06C04">
        <w:t>10.1.1</w:t>
      </w:r>
      <w:r w:rsidR="0033518E">
        <w:fldChar w:fldCharType="end"/>
      </w:r>
      <w:r w:rsidRPr="006B0078">
        <w:t xml:space="preserve"> </w:t>
      </w:r>
      <w:r w:rsidR="00931F73" w:rsidRPr="006441E4">
        <w:t>of this Appendix</w:t>
      </w:r>
      <w:r w:rsidR="00931F73" w:rsidDel="00931F73">
        <w:t xml:space="preserve"> </w:t>
      </w:r>
      <w:r>
        <w:t xml:space="preserve">are </w:t>
      </w:r>
      <w:r w:rsidRPr="006B0078">
        <w:t>impact</w:t>
      </w:r>
      <w:r>
        <w:t>ing</w:t>
      </w:r>
      <w:r w:rsidRPr="006B0078">
        <w:t xml:space="preserve"> upon the quality of service provided to existing </w:t>
      </w:r>
      <w:r w:rsidRPr="003825CB">
        <w:rPr>
          <w:b/>
        </w:rPr>
        <w:t>consumers</w:t>
      </w:r>
      <w:r>
        <w:t>.</w:t>
      </w:r>
    </w:p>
    <w:p w:rsidR="00A70F1F" w:rsidRDefault="00A70F1F" w:rsidP="00440341">
      <w:pPr>
        <w:pStyle w:val="Para3"/>
        <w:numPr>
          <w:ilvl w:val="1"/>
          <w:numId w:val="42"/>
        </w:numPr>
      </w:pPr>
      <w:bookmarkStart w:id="282" w:name="_Ref327377279"/>
      <w:bookmarkStart w:id="283" w:name="_Ref327296605"/>
      <w:bookmarkStart w:id="284" w:name="_Ref327277702"/>
      <w:bookmarkEnd w:id="281"/>
      <w:r>
        <w:t xml:space="preserve">The </w:t>
      </w:r>
      <w:r w:rsidR="00700E43">
        <w:t>analysis</w:t>
      </w:r>
      <w:r>
        <w:t xml:space="preserve"> of available capacity disclosed pursuant to clause </w:t>
      </w:r>
      <w:r w:rsidR="0033518E">
        <w:fldChar w:fldCharType="begin"/>
      </w:r>
      <w:r>
        <w:instrText xml:space="preserve"> REF _Ref327296543 \r \h </w:instrText>
      </w:r>
      <w:r w:rsidR="0033518E">
        <w:fldChar w:fldCharType="separate"/>
      </w:r>
      <w:r w:rsidR="00B06C04">
        <w:t>10.1.1</w:t>
      </w:r>
      <w:r w:rsidR="0033518E">
        <w:fldChar w:fldCharType="end"/>
      </w:r>
      <w:r>
        <w:t xml:space="preserve"> </w:t>
      </w:r>
      <w:r w:rsidR="00931F73" w:rsidRPr="006441E4">
        <w:t>of this Appendix</w:t>
      </w:r>
      <w:r w:rsidR="00931F73" w:rsidDel="00931F73">
        <w:t xml:space="preserve"> </w:t>
      </w:r>
      <w:r>
        <w:t xml:space="preserve">for each </w:t>
      </w:r>
      <w:proofErr w:type="spellStart"/>
      <w:r>
        <w:t>offtake</w:t>
      </w:r>
      <w:proofErr w:type="spellEnd"/>
      <w:r>
        <w:t xml:space="preserve"> point must separately assume that the throughput of gas or the gas pressure requirements at the other </w:t>
      </w:r>
      <w:proofErr w:type="spellStart"/>
      <w:r>
        <w:t>offtake</w:t>
      </w:r>
      <w:proofErr w:type="spellEnd"/>
      <w:r>
        <w:t xml:space="preserve"> points on the transmission system</w:t>
      </w:r>
      <w:bookmarkEnd w:id="282"/>
      <w:r>
        <w:t>:</w:t>
      </w:r>
    </w:p>
    <w:p w:rsidR="00A70F1F" w:rsidRPr="003F1013" w:rsidRDefault="00A70F1F" w:rsidP="00440341">
      <w:pPr>
        <w:pStyle w:val="Para3"/>
        <w:numPr>
          <w:ilvl w:val="2"/>
          <w:numId w:val="42"/>
        </w:numPr>
      </w:pPr>
      <w:bookmarkStart w:id="285" w:name="_Ref327453779"/>
      <w:r>
        <w:t>are those observed during a recent system peak flow period</w:t>
      </w:r>
      <w:bookmarkEnd w:id="285"/>
    </w:p>
    <w:p w:rsidR="00A70F1F" w:rsidRDefault="00A70F1F" w:rsidP="00440341">
      <w:pPr>
        <w:pStyle w:val="Para3"/>
        <w:numPr>
          <w:ilvl w:val="2"/>
          <w:numId w:val="42"/>
        </w:numPr>
      </w:pPr>
      <w:proofErr w:type="gramStart"/>
      <w:r w:rsidRPr="000F3F3A">
        <w:t>maintain</w:t>
      </w:r>
      <w:proofErr w:type="gramEnd"/>
      <w:r w:rsidRPr="000F3F3A">
        <w:t xml:space="preserve"> observed trends, </w:t>
      </w:r>
      <w:proofErr w:type="spellStart"/>
      <w:r w:rsidRPr="000F3F3A">
        <w:t>eg</w:t>
      </w:r>
      <w:proofErr w:type="spellEnd"/>
      <w:r w:rsidRPr="000F3F3A">
        <w:t xml:space="preserve">, growth </w:t>
      </w:r>
      <w:r>
        <w:t xml:space="preserve">trends </w:t>
      </w:r>
      <w:r w:rsidRPr="000F3F3A">
        <w:t>and peak demand factors</w:t>
      </w:r>
      <w:r>
        <w:t>,</w:t>
      </w:r>
      <w:r w:rsidRPr="000F3F3A">
        <w:t xml:space="preserve"> or</w:t>
      </w:r>
      <w:r>
        <w:t xml:space="preserve"> </w:t>
      </w:r>
      <w:r w:rsidRPr="000F3F3A">
        <w:t>reflect other modelled behaviour</w:t>
      </w:r>
      <w:r>
        <w:t>s.</w:t>
      </w:r>
    </w:p>
    <w:p w:rsidR="00A70F1F" w:rsidRDefault="00A70F1F" w:rsidP="00440341">
      <w:pPr>
        <w:pStyle w:val="Para3"/>
        <w:numPr>
          <w:ilvl w:val="1"/>
          <w:numId w:val="42"/>
        </w:numPr>
      </w:pPr>
      <w:bookmarkStart w:id="286" w:name="_Ref327377077"/>
      <w:r w:rsidRPr="006B0078">
        <w:t xml:space="preserve">For the purposes of clause </w:t>
      </w:r>
      <w:r w:rsidR="0033518E">
        <w:fldChar w:fldCharType="begin"/>
      </w:r>
      <w:r>
        <w:instrText xml:space="preserve"> REF _Ref327296543 \r \h </w:instrText>
      </w:r>
      <w:r w:rsidR="0033518E">
        <w:fldChar w:fldCharType="separate"/>
      </w:r>
      <w:r w:rsidR="00B06C04">
        <w:t>10.1.1</w:t>
      </w:r>
      <w:r w:rsidR="0033518E">
        <w:fldChar w:fldCharType="end"/>
      </w:r>
      <w:r>
        <w:t xml:space="preserve"> </w:t>
      </w:r>
      <w:r w:rsidR="00931F73" w:rsidRPr="006441E4">
        <w:t>of this Appendix</w:t>
      </w:r>
      <w:bookmarkEnd w:id="283"/>
      <w:r>
        <w:t>, the AMP:</w:t>
      </w:r>
      <w:bookmarkEnd w:id="286"/>
    </w:p>
    <w:p w:rsidR="00A70F1F" w:rsidRDefault="00A70F1F" w:rsidP="00440341">
      <w:pPr>
        <w:pStyle w:val="Para3"/>
        <w:numPr>
          <w:ilvl w:val="2"/>
          <w:numId w:val="42"/>
        </w:numPr>
      </w:pPr>
      <w:r w:rsidRPr="006B0078">
        <w:t xml:space="preserve">may treat </w:t>
      </w:r>
      <w:proofErr w:type="spellStart"/>
      <w:r w:rsidRPr="006B0078">
        <w:t>offtake</w:t>
      </w:r>
      <w:proofErr w:type="spellEnd"/>
      <w:r w:rsidRPr="006B0078">
        <w:t xml:space="preserve"> points that are supplied from a common physical connection to a pipeline as a single </w:t>
      </w:r>
      <w:proofErr w:type="spellStart"/>
      <w:r w:rsidRPr="006B0078">
        <w:t>offtake</w:t>
      </w:r>
      <w:proofErr w:type="spellEnd"/>
      <w:r w:rsidRPr="006B0078">
        <w:t xml:space="preserve"> point, provided that this is noted in the AMP</w:t>
      </w:r>
      <w:bookmarkEnd w:id="284"/>
    </w:p>
    <w:p w:rsidR="00A70F1F" w:rsidRDefault="00A70F1F" w:rsidP="00440341">
      <w:pPr>
        <w:pStyle w:val="Para3"/>
        <w:numPr>
          <w:ilvl w:val="2"/>
          <w:numId w:val="42"/>
        </w:numPr>
      </w:pPr>
      <w:r>
        <w:t>must describe the modelling methodology and include all material assumptions, including peak flow period throughputs not contributing to capacity constraints (</w:t>
      </w:r>
      <w:proofErr w:type="spellStart"/>
      <w:r>
        <w:t>eg</w:t>
      </w:r>
      <w:proofErr w:type="spellEnd"/>
      <w:r>
        <w:t>, interruptible flows); physical boundaries of the transmission system; sources of data used; modelled representation of the transmission systems and its operational constraints</w:t>
      </w:r>
    </w:p>
    <w:p w:rsidR="00A70F1F" w:rsidRDefault="00A70F1F" w:rsidP="00440341">
      <w:pPr>
        <w:pStyle w:val="Para3"/>
        <w:numPr>
          <w:ilvl w:val="2"/>
          <w:numId w:val="42"/>
        </w:numPr>
      </w:pPr>
      <w:r>
        <w:t xml:space="preserve">must identify the recent system peak flow periods used in the clause </w:t>
      </w:r>
      <w:r w:rsidR="0033518E">
        <w:fldChar w:fldCharType="begin"/>
      </w:r>
      <w:r w:rsidR="00931F73">
        <w:instrText xml:space="preserve"> REF  _Ref327453779 \h \w </w:instrText>
      </w:r>
      <w:r w:rsidR="0033518E">
        <w:fldChar w:fldCharType="separate"/>
      </w:r>
      <w:r w:rsidR="00B06C04">
        <w:t>10.2.1</w:t>
      </w:r>
      <w:r w:rsidR="0033518E">
        <w:fldChar w:fldCharType="end"/>
      </w:r>
      <w:r w:rsidR="00FD5A92" w:rsidRPr="00FD5A92">
        <w:t xml:space="preserve"> </w:t>
      </w:r>
      <w:r w:rsidR="00FD5A92">
        <w:t>analysis</w:t>
      </w:r>
      <w:r>
        <w:t xml:space="preserve">, and must either set out the peak flow information specified in </w:t>
      </w:r>
      <w:proofErr w:type="spellStart"/>
      <w:r>
        <w:t>subclauses</w:t>
      </w:r>
      <w:proofErr w:type="spellEnd"/>
      <w:r>
        <w:t xml:space="preserve"> </w:t>
      </w:r>
      <w:r w:rsidR="0033518E">
        <w:fldChar w:fldCharType="begin"/>
      </w:r>
      <w:r w:rsidR="00931F73">
        <w:instrText xml:space="preserve"> REF  _Ref327453738 \h \w </w:instrText>
      </w:r>
      <w:r w:rsidR="0033518E">
        <w:fldChar w:fldCharType="separate"/>
      </w:r>
      <w:r w:rsidR="00B06C04">
        <w:t>2.5.2(1)(a)</w:t>
      </w:r>
      <w:r w:rsidR="0033518E">
        <w:fldChar w:fldCharType="end"/>
      </w:r>
      <w:r>
        <w:t xml:space="preserve"> and </w:t>
      </w:r>
      <w:r w:rsidR="0033518E">
        <w:fldChar w:fldCharType="begin"/>
      </w:r>
      <w:r w:rsidR="00931F73">
        <w:instrText xml:space="preserve"> REF  _Ref327453754 \h \w </w:instrText>
      </w:r>
      <w:r w:rsidR="0033518E">
        <w:fldChar w:fldCharType="separate"/>
      </w:r>
      <w:r w:rsidR="00B06C04">
        <w:t>2.5.2(1)(b)</w:t>
      </w:r>
      <w:r w:rsidR="0033518E">
        <w:fldChar w:fldCharType="end"/>
      </w:r>
      <w:r w:rsidR="00FD5A92">
        <w:t xml:space="preserve"> of the determination</w:t>
      </w:r>
      <w:r>
        <w:t xml:space="preserve">, or provide reference to a website at which interested persons can readily access the same information at no charge as specified in </w:t>
      </w:r>
      <w:proofErr w:type="spellStart"/>
      <w:r>
        <w:t>subclause</w:t>
      </w:r>
      <w:proofErr w:type="spellEnd"/>
      <w:r>
        <w:t xml:space="preserve"> </w:t>
      </w:r>
      <w:r w:rsidR="0033518E">
        <w:fldChar w:fldCharType="begin"/>
      </w:r>
      <w:r w:rsidR="00931F73">
        <w:instrText xml:space="preserve"> REF  _Ref327453790 \h \w </w:instrText>
      </w:r>
      <w:r w:rsidR="0033518E">
        <w:fldChar w:fldCharType="separate"/>
      </w:r>
      <w:r w:rsidR="00B06C04">
        <w:t>2.5.2(4)</w:t>
      </w:r>
      <w:r w:rsidR="0033518E">
        <w:fldChar w:fldCharType="end"/>
      </w:r>
      <w:r>
        <w:t xml:space="preserve"> of the determination</w:t>
      </w:r>
    </w:p>
    <w:p w:rsidR="00A70F1F" w:rsidRDefault="00A70F1F" w:rsidP="00440341">
      <w:pPr>
        <w:pStyle w:val="Para3"/>
        <w:numPr>
          <w:ilvl w:val="2"/>
          <w:numId w:val="42"/>
        </w:numPr>
      </w:pPr>
      <w:proofErr w:type="gramStart"/>
      <w:r>
        <w:t>must</w:t>
      </w:r>
      <w:proofErr w:type="gramEnd"/>
      <w:r>
        <w:t xml:space="preserve"> include </w:t>
      </w:r>
      <w:r w:rsidRPr="006B0078">
        <w:t>the name</w:t>
      </w:r>
      <w:r>
        <w:t>, version</w:t>
      </w:r>
      <w:r w:rsidRPr="006B0078">
        <w:t xml:space="preserve"> and sou</w:t>
      </w:r>
      <w:r>
        <w:t xml:space="preserve">rce of any </w:t>
      </w:r>
      <w:r w:rsidRPr="006B0078">
        <w:t xml:space="preserve">commercial computer software </w:t>
      </w:r>
      <w:r>
        <w:t xml:space="preserve">used </w:t>
      </w:r>
      <w:r w:rsidRPr="006B0078">
        <w:t xml:space="preserve">to simulate the </w:t>
      </w:r>
      <w:r>
        <w:t>transmission system.</w:t>
      </w:r>
    </w:p>
    <w:p w:rsidR="00A70F1F" w:rsidRPr="005D5654" w:rsidRDefault="00A70F1F" w:rsidP="00440341">
      <w:pPr>
        <w:pStyle w:val="Para3"/>
        <w:numPr>
          <w:ilvl w:val="1"/>
          <w:numId w:val="42"/>
        </w:numPr>
      </w:pPr>
      <w:bookmarkStart w:id="287" w:name="_Ref328325013"/>
      <w:r w:rsidRPr="005D5654">
        <w:t xml:space="preserve">If the analysis specified in </w:t>
      </w:r>
      <w:proofErr w:type="spellStart"/>
      <w:r w:rsidRPr="005D5654">
        <w:t>subclause</w:t>
      </w:r>
      <w:proofErr w:type="spellEnd"/>
      <w:r w:rsidRPr="005D5654">
        <w:t xml:space="preserve"> </w:t>
      </w:r>
      <w:r w:rsidR="0033518E">
        <w:fldChar w:fldCharType="begin"/>
      </w:r>
      <w:r w:rsidR="00931F73">
        <w:instrText xml:space="preserve"> REF  _Ref327296543 \h \w </w:instrText>
      </w:r>
      <w:r w:rsidR="0033518E">
        <w:fldChar w:fldCharType="separate"/>
      </w:r>
      <w:r w:rsidR="00B06C04">
        <w:t>10.1.1</w:t>
      </w:r>
      <w:r w:rsidR="0033518E">
        <w:fldChar w:fldCharType="end"/>
      </w:r>
      <w:r w:rsidRPr="005D5654">
        <w:t xml:space="preserve"> </w:t>
      </w:r>
      <w:r w:rsidR="00931F73" w:rsidRPr="006441E4">
        <w:t>of this Appendix</w:t>
      </w:r>
      <w:r w:rsidR="00931F73">
        <w:t xml:space="preserve"> </w:t>
      </w:r>
      <w:r>
        <w:t xml:space="preserve">is </w:t>
      </w:r>
      <w:r w:rsidRPr="005D5654">
        <w:t>posted on a website normally used by the GTB for the publication of information and can be readily accessed at no charge by interested persons, the analysis may be incorporated in the AMP by reference subject to the information being retained on such a website for a period of not less than five years</w:t>
      </w:r>
      <w:r>
        <w:t>.</w:t>
      </w:r>
      <w:bookmarkEnd w:id="287"/>
    </w:p>
    <w:p w:rsidR="003A7552" w:rsidRPr="00E27F5E" w:rsidRDefault="00F86836" w:rsidP="003A7552">
      <w:pPr>
        <w:pStyle w:val="Heading3"/>
        <w:rPr>
          <w:i w:val="0"/>
          <w:u w:val="single"/>
        </w:rPr>
      </w:pPr>
      <w:r w:rsidRPr="00F86836">
        <w:rPr>
          <w:i w:val="0"/>
          <w:u w:val="single"/>
        </w:rPr>
        <w:t>Service Levels</w:t>
      </w:r>
    </w:p>
    <w:p w:rsidR="003A7552" w:rsidRPr="006441E4" w:rsidRDefault="003A7552" w:rsidP="00440341">
      <w:pPr>
        <w:pStyle w:val="Para1"/>
        <w:numPr>
          <w:ilvl w:val="0"/>
          <w:numId w:val="42"/>
        </w:numPr>
      </w:pPr>
      <w:bookmarkStart w:id="288" w:name="_Ref307423302"/>
      <w:r w:rsidRPr="006441E4">
        <w:t xml:space="preserve">The </w:t>
      </w:r>
      <w:r w:rsidRPr="006441E4">
        <w:rPr>
          <w:b/>
        </w:rPr>
        <w:t>AMP</w:t>
      </w:r>
      <w:r w:rsidRPr="006441E4">
        <w:t xml:space="preserve"> must clearly identify or define a set of performance indicators for which annual performance targets have been defined</w:t>
      </w:r>
      <w:r w:rsidR="003517CB">
        <w:t xml:space="preserve">. </w:t>
      </w:r>
      <w:r w:rsidRPr="006441E4">
        <w:t xml:space="preserve">The annual performance targets must be consistent with business strategies and asset management objectives and be provided for each year of the </w:t>
      </w:r>
      <w:r w:rsidRPr="006441E4">
        <w:rPr>
          <w:b/>
        </w:rPr>
        <w:t>AMP planning period</w:t>
      </w:r>
      <w:r w:rsidR="003517CB">
        <w:t xml:space="preserve">. </w:t>
      </w:r>
      <w:r w:rsidRPr="006441E4">
        <w:t xml:space="preserve">The targets should reflect what is practically achievable given the current </w:t>
      </w:r>
      <w:r w:rsidRPr="006441E4">
        <w:rPr>
          <w:b/>
        </w:rPr>
        <w:t xml:space="preserve">network </w:t>
      </w:r>
      <w:r w:rsidRPr="006441E4">
        <w:t>configuration, condition and planned expenditure levels</w:t>
      </w:r>
      <w:r w:rsidR="003517CB">
        <w:t xml:space="preserve">. </w:t>
      </w:r>
      <w:r w:rsidRPr="006441E4">
        <w:t xml:space="preserve">The targets should be disclosed for each year of the </w:t>
      </w:r>
      <w:r w:rsidRPr="006441E4">
        <w:rPr>
          <w:b/>
        </w:rPr>
        <w:t>AMP planning period</w:t>
      </w:r>
      <w:r w:rsidRPr="006441E4">
        <w:t>.</w:t>
      </w:r>
      <w:bookmarkEnd w:id="288"/>
    </w:p>
    <w:p w:rsidR="003A7552" w:rsidRPr="006441E4" w:rsidRDefault="003A7552" w:rsidP="00440341">
      <w:pPr>
        <w:pStyle w:val="Para1"/>
        <w:numPr>
          <w:ilvl w:val="0"/>
          <w:numId w:val="42"/>
        </w:numPr>
      </w:pPr>
      <w:r w:rsidRPr="006441E4">
        <w:t xml:space="preserve">Performance indicators for which targets have been defined in clause </w:t>
      </w:r>
      <w:fldSimple w:instr=" REF  _Ref307423302 \h \w  \* MERGEFORMAT ">
        <w:r w:rsidR="00B06C04">
          <w:t>11</w:t>
        </w:r>
      </w:fldSimple>
      <w:r w:rsidRPr="006441E4">
        <w:t xml:space="preserve"> </w:t>
      </w:r>
      <w:r w:rsidR="00F270F7">
        <w:t>above</w:t>
      </w:r>
      <w:r w:rsidRPr="006441E4">
        <w:t xml:space="preserve"> must include the DPP requirements required under the price quality path determination applying to the regulatory assessment period in which the next </w:t>
      </w:r>
      <w:r w:rsidRPr="006441E4">
        <w:rPr>
          <w:b/>
        </w:rPr>
        <w:t>disclosure year</w:t>
      </w:r>
      <w:r w:rsidRPr="006441E4">
        <w:t xml:space="preserve"> falls.</w:t>
      </w:r>
    </w:p>
    <w:p w:rsidR="003A7552" w:rsidRPr="006441E4" w:rsidRDefault="003A7552" w:rsidP="00C11920">
      <w:pPr>
        <w:pStyle w:val="Para1"/>
        <w:numPr>
          <w:ilvl w:val="0"/>
          <w:numId w:val="0"/>
        </w:numPr>
        <w:ind w:left="709"/>
        <w:rPr>
          <w:rStyle w:val="Emphasis-Italics"/>
        </w:rPr>
      </w:pPr>
      <w:r w:rsidRPr="006441E4">
        <w:rPr>
          <w:rStyle w:val="Emphasis-Italics"/>
        </w:rPr>
        <w:t xml:space="preserve">Performance indicators for which targets have been defined in </w:t>
      </w:r>
      <w:r w:rsidRPr="006441E4">
        <w:rPr>
          <w:i/>
        </w:rPr>
        <w:t xml:space="preserve">clause </w:t>
      </w:r>
      <w:fldSimple w:instr=" REF _Ref307423302 \r \h  \* MERGEFORMAT ">
        <w:r w:rsidR="00B06C04" w:rsidRPr="00B06C04">
          <w:rPr>
            <w:i/>
          </w:rPr>
          <w:t>11</w:t>
        </w:r>
      </w:fldSimple>
      <w:r w:rsidRPr="006441E4">
        <w:t xml:space="preserve"> </w:t>
      </w:r>
      <w:r w:rsidR="00C04750">
        <w:t>above</w:t>
      </w:r>
      <w:r w:rsidR="00823495" w:rsidRPr="006441E4">
        <w:rPr>
          <w:rStyle w:val="Emphasis-Italics"/>
        </w:rPr>
        <w:t xml:space="preserve"> </w:t>
      </w:r>
      <w:r w:rsidRPr="006441E4">
        <w:rPr>
          <w:rStyle w:val="Emphasis-Italics"/>
        </w:rPr>
        <w:t>should also include:</w:t>
      </w:r>
    </w:p>
    <w:p w:rsidR="003A7552" w:rsidRPr="006441E4" w:rsidRDefault="003A7552" w:rsidP="00440341">
      <w:pPr>
        <w:pStyle w:val="Para2"/>
        <w:numPr>
          <w:ilvl w:val="0"/>
          <w:numId w:val="36"/>
        </w:numPr>
        <w:ind w:left="1134" w:hanging="436"/>
        <w:rPr>
          <w:rStyle w:val="Emphasis-Italics"/>
        </w:rPr>
      </w:pPr>
      <w:r w:rsidRPr="006441E4">
        <w:rPr>
          <w:rStyle w:val="Emphasis-Italics"/>
          <w:b/>
        </w:rPr>
        <w:t>consumer</w:t>
      </w:r>
      <w:r w:rsidRPr="006441E4">
        <w:rPr>
          <w:rStyle w:val="Emphasis-Italics"/>
        </w:rPr>
        <w:t xml:space="preserve"> oriented indicators that preferably differentiate between different </w:t>
      </w:r>
      <w:r w:rsidRPr="006441E4">
        <w:rPr>
          <w:rStyle w:val="Emphasis-Italics"/>
          <w:b/>
        </w:rPr>
        <w:t>consumer</w:t>
      </w:r>
      <w:r w:rsidR="00F86836" w:rsidRPr="00F86836">
        <w:rPr>
          <w:rStyle w:val="Emphasis-Italics"/>
        </w:rPr>
        <w:t xml:space="preserve"> groups</w:t>
      </w:r>
      <w:r w:rsidRPr="006441E4">
        <w:rPr>
          <w:rStyle w:val="Emphasis-Italics"/>
        </w:rPr>
        <w:t>;</w:t>
      </w:r>
    </w:p>
    <w:p w:rsidR="003A7552" w:rsidRPr="006441E4" w:rsidRDefault="003A7552" w:rsidP="00440341">
      <w:pPr>
        <w:pStyle w:val="Para2"/>
        <w:numPr>
          <w:ilvl w:val="0"/>
          <w:numId w:val="36"/>
        </w:numPr>
        <w:ind w:left="1134" w:hanging="436"/>
        <w:rPr>
          <w:rStyle w:val="Emphasis-Italics"/>
        </w:rPr>
      </w:pPr>
      <w:proofErr w:type="gramStart"/>
      <w:r w:rsidRPr="006441E4">
        <w:rPr>
          <w:rStyle w:val="Emphasis-Italics"/>
        </w:rPr>
        <w:t>indicators</w:t>
      </w:r>
      <w:proofErr w:type="gramEnd"/>
      <w:r w:rsidRPr="006441E4">
        <w:rPr>
          <w:rStyle w:val="Emphasis-Italics"/>
        </w:rPr>
        <w:t xml:space="preserve"> of asset performance, asset efficiency and effectiveness, and service efficiency, such as technical and financial performance indicators related to the efficiency of asset utilisation and operation.</w:t>
      </w:r>
    </w:p>
    <w:p w:rsidR="003A7552" w:rsidRPr="006441E4" w:rsidRDefault="003A7552" w:rsidP="00440341">
      <w:pPr>
        <w:pStyle w:val="Para1"/>
        <w:numPr>
          <w:ilvl w:val="0"/>
          <w:numId w:val="42"/>
        </w:numPr>
      </w:pPr>
      <w:r w:rsidRPr="006441E4">
        <w:t xml:space="preserve">The </w:t>
      </w:r>
      <w:r w:rsidRPr="006441E4">
        <w:rPr>
          <w:b/>
        </w:rPr>
        <w:t>AMP</w:t>
      </w:r>
      <w:r w:rsidRPr="006441E4">
        <w:t xml:space="preserve"> must describe the basis on which the target level for each performance indicator was determined</w:t>
      </w:r>
      <w:r w:rsidR="003517CB">
        <w:t xml:space="preserve">. </w:t>
      </w:r>
      <w:r w:rsidRPr="006441E4">
        <w:t xml:space="preserve">Justification for target levels of service includes </w:t>
      </w:r>
      <w:r w:rsidR="00C04750">
        <w:t>consu</w:t>
      </w:r>
      <w:r w:rsidR="00C04750" w:rsidRPr="006441E4">
        <w:t xml:space="preserve">mer </w:t>
      </w:r>
      <w:r w:rsidRPr="006441E4">
        <w:t>expectations or demands, legislative, regulatory, and other stakeholders’ requirements or considerations</w:t>
      </w:r>
      <w:r w:rsidR="003517CB">
        <w:t xml:space="preserve">. </w:t>
      </w:r>
      <w:r w:rsidRPr="006441E4">
        <w:t xml:space="preserve">The </w:t>
      </w:r>
      <w:r w:rsidRPr="006441E4">
        <w:rPr>
          <w:b/>
        </w:rPr>
        <w:t>AMP</w:t>
      </w:r>
      <w:r w:rsidRPr="006441E4">
        <w:t xml:space="preserve"> should demonstrate how stakeholder needs were ascertained and translated into service level targets.</w:t>
      </w:r>
    </w:p>
    <w:p w:rsidR="003A7552" w:rsidRPr="006441E4" w:rsidRDefault="003A7552" w:rsidP="00440341">
      <w:pPr>
        <w:pStyle w:val="Para1"/>
        <w:numPr>
          <w:ilvl w:val="0"/>
          <w:numId w:val="42"/>
        </w:numPr>
      </w:pPr>
      <w:r w:rsidRPr="006441E4">
        <w:t>Targets should be compared to historic values where available to provide context and scale to the reader.</w:t>
      </w:r>
    </w:p>
    <w:p w:rsidR="003A7552" w:rsidRPr="006441E4" w:rsidRDefault="003A7552" w:rsidP="00440341">
      <w:pPr>
        <w:pStyle w:val="Para1"/>
        <w:numPr>
          <w:ilvl w:val="0"/>
          <w:numId w:val="42"/>
        </w:numPr>
      </w:pPr>
      <w:r w:rsidRPr="006441E4">
        <w:t xml:space="preserve">Where forecast expenditure is expected to materially affect performance against a target defined in clause </w:t>
      </w:r>
      <w:fldSimple w:instr=" REF _Ref307423302 \r \h  \* MERGEFORMAT ">
        <w:r w:rsidR="00B06C04">
          <w:t>11</w:t>
        </w:r>
      </w:fldSimple>
      <w:r w:rsidR="00C11920" w:rsidRPr="006441E4">
        <w:t xml:space="preserve"> </w:t>
      </w:r>
      <w:r w:rsidR="00C04750">
        <w:t>above</w:t>
      </w:r>
      <w:r w:rsidRPr="006441E4">
        <w:t>, the target should be consistent with the expected change in the level of performance.</w:t>
      </w:r>
    </w:p>
    <w:p w:rsidR="00F40DAE" w:rsidRDefault="00C04750">
      <w:pPr>
        <w:pStyle w:val="Para1"/>
        <w:numPr>
          <w:ilvl w:val="0"/>
          <w:numId w:val="0"/>
        </w:numPr>
        <w:ind w:left="709"/>
        <w:rPr>
          <w:rStyle w:val="Emphasis-Italics"/>
        </w:rPr>
      </w:pPr>
      <w:bookmarkStart w:id="289" w:name="_Ref310790777"/>
      <w:r w:rsidRPr="006441E4">
        <w:rPr>
          <w:rStyle w:val="Emphasis-Italics"/>
        </w:rPr>
        <w:t xml:space="preserve">Performance </w:t>
      </w:r>
      <w:r>
        <w:rPr>
          <w:rStyle w:val="Emphasis-Italics"/>
        </w:rPr>
        <w:t>against target</w:t>
      </w:r>
      <w:r w:rsidRPr="006441E4">
        <w:rPr>
          <w:rStyle w:val="Emphasis-Italics"/>
        </w:rPr>
        <w:t xml:space="preserve"> </w:t>
      </w:r>
      <w:r>
        <w:rPr>
          <w:rStyle w:val="Emphasis-Italics"/>
        </w:rPr>
        <w:t>must be monitored for disclosure in the Evaluation of Performance section of each subsequent AMP.</w:t>
      </w:r>
    </w:p>
    <w:p w:rsidR="00A10483" w:rsidRPr="006441E4" w:rsidRDefault="003A7552" w:rsidP="00440341">
      <w:pPr>
        <w:pStyle w:val="Para1"/>
        <w:numPr>
          <w:ilvl w:val="0"/>
          <w:numId w:val="42"/>
        </w:numPr>
      </w:pPr>
      <w:bookmarkStart w:id="290" w:name="_Toc307315460"/>
      <w:bookmarkStart w:id="291" w:name="_Ref329177966"/>
      <w:bookmarkEnd w:id="289"/>
      <w:r w:rsidRPr="006441E4">
        <w:rPr>
          <w:b/>
        </w:rPr>
        <w:t>AMP</w:t>
      </w:r>
      <w:r w:rsidRPr="006441E4">
        <w:t xml:space="preserve">s must provide a detailed description of </w:t>
      </w:r>
      <w:r w:rsidRPr="006441E4">
        <w:rPr>
          <w:b/>
        </w:rPr>
        <w:t>network</w:t>
      </w:r>
      <w:r w:rsidRPr="006441E4">
        <w:t xml:space="preserve"> development plans, including</w:t>
      </w:r>
      <w:bookmarkEnd w:id="290"/>
      <w:r w:rsidRPr="006441E4">
        <w:t>—</w:t>
      </w:r>
      <w:bookmarkEnd w:id="291"/>
    </w:p>
    <w:p w:rsidR="003A7552" w:rsidRPr="006441E4" w:rsidRDefault="00411AFE" w:rsidP="00440341">
      <w:pPr>
        <w:pStyle w:val="Para1"/>
        <w:numPr>
          <w:ilvl w:val="1"/>
          <w:numId w:val="42"/>
        </w:numPr>
      </w:pPr>
      <w:r w:rsidRPr="006441E4">
        <w:t>A</w:t>
      </w:r>
      <w:r w:rsidR="003A7552" w:rsidRPr="006441E4">
        <w:t xml:space="preserve"> description of the planning criteria and assumptions for </w:t>
      </w:r>
      <w:r w:rsidR="003A7552" w:rsidRPr="006441E4">
        <w:rPr>
          <w:b/>
        </w:rPr>
        <w:t>network</w:t>
      </w:r>
      <w:r w:rsidR="003A7552" w:rsidRPr="006441E4">
        <w:t xml:space="preserve"> development;</w:t>
      </w:r>
    </w:p>
    <w:p w:rsidR="003A7552" w:rsidRPr="006441E4" w:rsidRDefault="003A7552" w:rsidP="00C11920">
      <w:pPr>
        <w:pStyle w:val="Para2"/>
        <w:ind w:left="1418"/>
        <w:rPr>
          <w:rStyle w:val="Emphasis-Italics"/>
        </w:rPr>
      </w:pPr>
      <w:r w:rsidRPr="006441E4">
        <w:rPr>
          <w:rStyle w:val="Emphasis-Italics"/>
        </w:rPr>
        <w:t xml:space="preserve">Planning criteria for </w:t>
      </w:r>
      <w:r w:rsidRPr="006441E4">
        <w:rPr>
          <w:rStyle w:val="Emphasis-Italics"/>
          <w:b/>
        </w:rPr>
        <w:t>network</w:t>
      </w:r>
      <w:r w:rsidRPr="006441E4">
        <w:rPr>
          <w:rStyle w:val="Emphasis-Italics"/>
        </w:rPr>
        <w:t xml:space="preserve"> developments should be described logically and succinctly</w:t>
      </w:r>
      <w:r w:rsidR="003517CB">
        <w:rPr>
          <w:rStyle w:val="Emphasis-Italics"/>
        </w:rPr>
        <w:t xml:space="preserve">. </w:t>
      </w:r>
      <w:r w:rsidRPr="006441E4">
        <w:rPr>
          <w:rStyle w:val="Emphasis-Italics"/>
        </w:rPr>
        <w:t>Where probabilistic or scenario-based planning techniques are used, this should be indicated and the methodology briefly described.</w:t>
      </w:r>
    </w:p>
    <w:p w:rsidR="003A7552" w:rsidRPr="006441E4" w:rsidRDefault="00411AFE" w:rsidP="00440341">
      <w:pPr>
        <w:pStyle w:val="Para1"/>
        <w:numPr>
          <w:ilvl w:val="1"/>
          <w:numId w:val="42"/>
        </w:numPr>
      </w:pPr>
      <w:r w:rsidRPr="006441E4">
        <w:t>A</w:t>
      </w:r>
      <w:r w:rsidR="003A7552" w:rsidRPr="006441E4">
        <w:t xml:space="preserve"> description of strategies or processes (if any) used by the </w:t>
      </w:r>
      <w:r w:rsidR="00B16430" w:rsidRPr="006441E4">
        <w:rPr>
          <w:b/>
        </w:rPr>
        <w:t>GTB</w:t>
      </w:r>
      <w:r w:rsidR="003A7552" w:rsidRPr="006441E4">
        <w:t xml:space="preserve"> that promote cost efficiency </w:t>
      </w:r>
      <w:r w:rsidR="00E27F5E">
        <w:t xml:space="preserve">including </w:t>
      </w:r>
      <w:r w:rsidR="003A7552" w:rsidRPr="006441E4">
        <w:t>through the use of standardised assets and designs;</w:t>
      </w:r>
    </w:p>
    <w:p w:rsidR="003A7552" w:rsidRPr="006441E4" w:rsidRDefault="003A7552" w:rsidP="00C11920">
      <w:pPr>
        <w:pStyle w:val="Para2"/>
        <w:ind w:left="1418"/>
        <w:rPr>
          <w:rStyle w:val="Emphasis-Italics"/>
        </w:rPr>
      </w:pPr>
      <w:r w:rsidRPr="006441E4">
        <w:rPr>
          <w:rStyle w:val="Emphasis-Italics"/>
        </w:rPr>
        <w:t>The use of standardised designs may lead to improved cost efficiencies</w:t>
      </w:r>
      <w:r w:rsidR="003517CB">
        <w:rPr>
          <w:rStyle w:val="Emphasis-Italics"/>
        </w:rPr>
        <w:t xml:space="preserve">. </w:t>
      </w:r>
      <w:r w:rsidRPr="006441E4">
        <w:rPr>
          <w:rStyle w:val="Emphasis-Italics"/>
        </w:rPr>
        <w:t>This section should discuss:</w:t>
      </w:r>
    </w:p>
    <w:p w:rsidR="003A7552" w:rsidRPr="006441E4" w:rsidRDefault="003A7552" w:rsidP="00440341">
      <w:pPr>
        <w:pStyle w:val="Para3"/>
        <w:numPr>
          <w:ilvl w:val="0"/>
          <w:numId w:val="37"/>
        </w:numPr>
        <w:ind w:left="1843" w:hanging="425"/>
        <w:rPr>
          <w:rStyle w:val="Emphasis-Italics"/>
        </w:rPr>
      </w:pPr>
      <w:r w:rsidRPr="006441E4">
        <w:rPr>
          <w:rStyle w:val="Emphasis-Italics"/>
        </w:rPr>
        <w:t>the categories of assets and designs that are standardised;</w:t>
      </w:r>
    </w:p>
    <w:p w:rsidR="003A7552" w:rsidRPr="006441E4" w:rsidRDefault="003A7552" w:rsidP="00440341">
      <w:pPr>
        <w:pStyle w:val="Para3"/>
        <w:numPr>
          <w:ilvl w:val="0"/>
          <w:numId w:val="37"/>
        </w:numPr>
        <w:ind w:left="1843" w:hanging="425"/>
        <w:rPr>
          <w:rStyle w:val="Emphasis-Italics"/>
        </w:rPr>
      </w:pPr>
      <w:proofErr w:type="gramStart"/>
      <w:r w:rsidRPr="006441E4">
        <w:rPr>
          <w:rStyle w:val="Emphasis-Italics"/>
        </w:rPr>
        <w:t>the</w:t>
      </w:r>
      <w:proofErr w:type="gramEnd"/>
      <w:r w:rsidRPr="006441E4">
        <w:rPr>
          <w:rStyle w:val="Emphasis-Italics"/>
        </w:rPr>
        <w:t xml:space="preserve"> approach used to identify standard designs.</w:t>
      </w:r>
    </w:p>
    <w:p w:rsidR="003A7552" w:rsidRPr="006441E4" w:rsidRDefault="00411AFE" w:rsidP="00440341">
      <w:pPr>
        <w:pStyle w:val="Para1"/>
        <w:numPr>
          <w:ilvl w:val="1"/>
          <w:numId w:val="42"/>
        </w:numPr>
      </w:pPr>
      <w:r w:rsidRPr="006441E4">
        <w:t>A</w:t>
      </w:r>
      <w:r w:rsidR="003A7552" w:rsidRPr="006441E4">
        <w:t xml:space="preserve"> description of the criteria used to determine the capacity of new equipment for different types of assets or different parts of the </w:t>
      </w:r>
      <w:r w:rsidR="003A7552" w:rsidRPr="006441E4">
        <w:rPr>
          <w:b/>
        </w:rPr>
        <w:t>network</w:t>
      </w:r>
      <w:r w:rsidR="003A7552" w:rsidRPr="006441E4">
        <w:t>.</w:t>
      </w:r>
    </w:p>
    <w:p w:rsidR="003A7552" w:rsidRPr="006441E4" w:rsidRDefault="003A7552" w:rsidP="003A7552">
      <w:pPr>
        <w:pStyle w:val="UnnumberedL3"/>
        <w:ind w:left="1418"/>
        <w:rPr>
          <w:rStyle w:val="Emphasis-Italics"/>
        </w:rPr>
      </w:pPr>
      <w:r w:rsidRPr="006441E4">
        <w:rPr>
          <w:rStyle w:val="Emphasis-Italics"/>
        </w:rPr>
        <w:t xml:space="preserve">The criteria described should relate to the </w:t>
      </w:r>
      <w:r w:rsidR="00F86836" w:rsidRPr="00F86836">
        <w:rPr>
          <w:rStyle w:val="Emphasis-Italics"/>
          <w:b/>
        </w:rPr>
        <w:t>GTB</w:t>
      </w:r>
      <w:r w:rsidR="00C04750">
        <w:rPr>
          <w:rStyle w:val="Emphasis-Italics"/>
        </w:rPr>
        <w:t xml:space="preserve">’s </w:t>
      </w:r>
      <w:r w:rsidRPr="006441E4">
        <w:rPr>
          <w:rStyle w:val="Emphasis-Italics"/>
        </w:rPr>
        <w:t>philosophy in managing planning risks.</w:t>
      </w:r>
    </w:p>
    <w:p w:rsidR="003A7552" w:rsidRPr="006441E4" w:rsidRDefault="00411AFE" w:rsidP="00440341">
      <w:pPr>
        <w:pStyle w:val="Para1"/>
        <w:numPr>
          <w:ilvl w:val="1"/>
          <w:numId w:val="42"/>
        </w:numPr>
      </w:pPr>
      <w:r w:rsidRPr="006441E4">
        <w:t>A</w:t>
      </w:r>
      <w:r w:rsidR="003A7552" w:rsidRPr="006441E4">
        <w:t xml:space="preserve"> description of the process and criteria used to prioritise </w:t>
      </w:r>
      <w:r w:rsidR="003A7552" w:rsidRPr="006441E4">
        <w:rPr>
          <w:b/>
        </w:rPr>
        <w:t>network</w:t>
      </w:r>
      <w:r w:rsidR="003A7552" w:rsidRPr="006441E4">
        <w:t xml:space="preserve"> development projects and how these processes and criteria align with the overall corporate goals and vision.</w:t>
      </w:r>
    </w:p>
    <w:p w:rsidR="00F40DAE" w:rsidRDefault="00411AFE" w:rsidP="00440341">
      <w:pPr>
        <w:pStyle w:val="Para1"/>
        <w:numPr>
          <w:ilvl w:val="2"/>
          <w:numId w:val="42"/>
        </w:numPr>
      </w:pPr>
      <w:r w:rsidRPr="006441E4">
        <w:t>D</w:t>
      </w:r>
      <w:r w:rsidR="003A7552" w:rsidRPr="006441E4">
        <w:t xml:space="preserve">etails of demand forecasts, the basis on which they are derived, and the specific </w:t>
      </w:r>
      <w:r w:rsidR="003A7552" w:rsidRPr="00E27F5E">
        <w:rPr>
          <w:b/>
        </w:rPr>
        <w:t>network</w:t>
      </w:r>
      <w:r w:rsidR="003A7552" w:rsidRPr="006441E4">
        <w:t xml:space="preserve"> locations where constraints are expected due to forecast increases in demand;</w:t>
      </w:r>
    </w:p>
    <w:p w:rsidR="00F40DAE" w:rsidRDefault="00411AFE" w:rsidP="00440341">
      <w:pPr>
        <w:pStyle w:val="Para1"/>
        <w:numPr>
          <w:ilvl w:val="2"/>
          <w:numId w:val="42"/>
        </w:numPr>
      </w:pPr>
      <w:r w:rsidRPr="006441E4">
        <w:t>E</w:t>
      </w:r>
      <w:r w:rsidR="003A7552" w:rsidRPr="006441E4">
        <w:t>xplain the load forecasting methodology and indicate all the factors used in preparing the load estimates;</w:t>
      </w:r>
    </w:p>
    <w:p w:rsidR="00F40DAE" w:rsidRDefault="00411AFE" w:rsidP="00440341">
      <w:pPr>
        <w:pStyle w:val="Para1"/>
        <w:numPr>
          <w:ilvl w:val="2"/>
          <w:numId w:val="42"/>
        </w:numPr>
      </w:pPr>
      <w:r w:rsidRPr="006441E4">
        <w:t>P</w:t>
      </w:r>
      <w:r w:rsidR="003A7552" w:rsidRPr="006441E4">
        <w:t>rovide separate forecasts to at least off-take points covering at least a minimum 5 year forecast period</w:t>
      </w:r>
      <w:r w:rsidR="003517CB">
        <w:t xml:space="preserve">. </w:t>
      </w:r>
      <w:r w:rsidR="003A7552" w:rsidRPr="006441E4">
        <w:t>Discuss how uncertain but substantial individual projects/developments that affect load are taken into account in the forecasts, making clear the extent to which these uncertain increases in demand are reflected in the forecasts;</w:t>
      </w:r>
    </w:p>
    <w:p w:rsidR="00F40DAE" w:rsidRDefault="00411AFE" w:rsidP="00440341">
      <w:pPr>
        <w:pStyle w:val="Para1"/>
        <w:numPr>
          <w:ilvl w:val="2"/>
          <w:numId w:val="42"/>
        </w:numPr>
      </w:pPr>
      <w:r w:rsidRPr="006441E4">
        <w:t>I</w:t>
      </w:r>
      <w:r w:rsidR="003A7552" w:rsidRPr="006441E4">
        <w:t xml:space="preserve">dentify any </w:t>
      </w:r>
      <w:r w:rsidR="003A7552" w:rsidRPr="00E27F5E">
        <w:t>network</w:t>
      </w:r>
      <w:r w:rsidR="003A7552" w:rsidRPr="006441E4">
        <w:t xml:space="preserve"> or equipment constraints that may arise due to the anticipated growth in demand</w:t>
      </w:r>
      <w:r w:rsidR="00C11920" w:rsidRPr="006441E4">
        <w:t xml:space="preserve"> during the </w:t>
      </w:r>
      <w:r w:rsidR="004C5827" w:rsidRPr="00E27F5E">
        <w:rPr>
          <w:b/>
        </w:rPr>
        <w:t xml:space="preserve">AMP </w:t>
      </w:r>
      <w:r w:rsidR="00C11920" w:rsidRPr="00E27F5E">
        <w:rPr>
          <w:b/>
        </w:rPr>
        <w:t>planning period</w:t>
      </w:r>
      <w:r w:rsidR="00C11920" w:rsidRPr="006441E4">
        <w:t>;</w:t>
      </w:r>
    </w:p>
    <w:p w:rsidR="00A21F68" w:rsidRPr="006441E4" w:rsidRDefault="00411AFE" w:rsidP="00440341">
      <w:pPr>
        <w:pStyle w:val="Para1"/>
        <w:numPr>
          <w:ilvl w:val="1"/>
          <w:numId w:val="42"/>
        </w:numPr>
      </w:pPr>
      <w:r w:rsidRPr="006441E4">
        <w:t>A</w:t>
      </w:r>
      <w:r w:rsidR="003A7552" w:rsidRPr="006441E4">
        <w:t>nalys</w:t>
      </w:r>
      <w:r w:rsidR="00E27F5E">
        <w:t>is of</w:t>
      </w:r>
      <w:r w:rsidR="003A7552" w:rsidRPr="006441E4">
        <w:t xml:space="preserve"> the significant </w:t>
      </w:r>
      <w:r w:rsidR="003A7552" w:rsidRPr="006441E4">
        <w:rPr>
          <w:b/>
        </w:rPr>
        <w:t>network</w:t>
      </w:r>
      <w:r w:rsidR="003A7552" w:rsidRPr="006441E4">
        <w:t xml:space="preserve"> level development options </w:t>
      </w:r>
      <w:r w:rsidR="00E27F5E">
        <w:t>identified</w:t>
      </w:r>
      <w:r w:rsidR="00E27F5E" w:rsidRPr="006441E4">
        <w:t xml:space="preserve"> </w:t>
      </w:r>
      <w:r w:rsidR="003A7552" w:rsidRPr="006441E4">
        <w:t>and detail</w:t>
      </w:r>
      <w:r w:rsidR="00C04750">
        <w:t>s of the</w:t>
      </w:r>
      <w:r w:rsidRPr="006441E4">
        <w:t xml:space="preserve"> </w:t>
      </w:r>
      <w:r w:rsidR="003A7552" w:rsidRPr="006441E4">
        <w:t>decisions made to satisfy and meet target levels of service, including:</w:t>
      </w:r>
    </w:p>
    <w:p w:rsidR="003A7552" w:rsidRPr="006441E4" w:rsidRDefault="003A7552" w:rsidP="00440341">
      <w:pPr>
        <w:pStyle w:val="Para1"/>
        <w:numPr>
          <w:ilvl w:val="2"/>
          <w:numId w:val="42"/>
        </w:numPr>
      </w:pPr>
      <w:r w:rsidRPr="006441E4">
        <w:t>the reasons for choosing a selected option for projects where decisions have been made;</w:t>
      </w:r>
    </w:p>
    <w:p w:rsidR="003A7552" w:rsidRPr="006441E4" w:rsidRDefault="00E27F5E" w:rsidP="00440341">
      <w:pPr>
        <w:pStyle w:val="Para1"/>
        <w:numPr>
          <w:ilvl w:val="2"/>
          <w:numId w:val="42"/>
        </w:numPr>
      </w:pPr>
      <w:r>
        <w:t xml:space="preserve">the </w:t>
      </w:r>
      <w:r w:rsidR="003A7552" w:rsidRPr="006441E4">
        <w:t xml:space="preserve">alternative options </w:t>
      </w:r>
      <w:r>
        <w:t>considered</w:t>
      </w:r>
      <w:r w:rsidRPr="006441E4">
        <w:t xml:space="preserve"> </w:t>
      </w:r>
      <w:r w:rsidR="003A7552" w:rsidRPr="006441E4">
        <w:t xml:space="preserve">for projects that are planned to start in the next </w:t>
      </w:r>
      <w:r w:rsidR="004C5827" w:rsidRPr="006441E4">
        <w:t>5</w:t>
      </w:r>
      <w:r w:rsidR="003A7552" w:rsidRPr="006441E4">
        <w:t xml:space="preserve"> years;</w:t>
      </w:r>
    </w:p>
    <w:p w:rsidR="003A7552" w:rsidRPr="006441E4" w:rsidRDefault="003A7552" w:rsidP="00440341">
      <w:pPr>
        <w:pStyle w:val="Para1"/>
        <w:numPr>
          <w:ilvl w:val="2"/>
          <w:numId w:val="42"/>
        </w:numPr>
      </w:pPr>
      <w:proofErr w:type="gramStart"/>
      <w:r w:rsidRPr="006441E4">
        <w:t>consideration</w:t>
      </w:r>
      <w:proofErr w:type="gramEnd"/>
      <w:r w:rsidRPr="006441E4">
        <w:t xml:space="preserve"> of planned innovations that improve efficiencies within the </w:t>
      </w:r>
      <w:r w:rsidRPr="006441E4">
        <w:rPr>
          <w:b/>
        </w:rPr>
        <w:t>network</w:t>
      </w:r>
      <w:r w:rsidRPr="006441E4">
        <w:t>, such as improved utilisation, extended asset lives, and deferred investment.</w:t>
      </w:r>
    </w:p>
    <w:p w:rsidR="003A7552" w:rsidRPr="006441E4" w:rsidRDefault="00C11920" w:rsidP="00440341">
      <w:pPr>
        <w:pStyle w:val="Para1"/>
        <w:numPr>
          <w:ilvl w:val="1"/>
          <w:numId w:val="42"/>
        </w:numPr>
      </w:pPr>
      <w:r w:rsidRPr="006441E4">
        <w:t>A</w:t>
      </w:r>
      <w:r w:rsidR="003A7552" w:rsidRPr="006441E4">
        <w:t xml:space="preserve"> description and identification of th</w:t>
      </w:r>
      <w:r w:rsidRPr="006441E4">
        <w:t xml:space="preserve">e </w:t>
      </w:r>
      <w:r w:rsidRPr="006441E4">
        <w:rPr>
          <w:b/>
        </w:rPr>
        <w:t>network</w:t>
      </w:r>
      <w:r w:rsidRPr="006441E4">
        <w:t xml:space="preserve"> development programme</w:t>
      </w:r>
      <w:r w:rsidR="003A7552" w:rsidRPr="006441E4">
        <w:t xml:space="preserve"> and actions to be taken, including associated expenditure projections</w:t>
      </w:r>
      <w:r w:rsidR="003517CB">
        <w:t xml:space="preserve">. </w:t>
      </w:r>
      <w:r w:rsidR="003A7552" w:rsidRPr="006441E4">
        <w:t xml:space="preserve">The </w:t>
      </w:r>
      <w:r w:rsidR="003A7552" w:rsidRPr="006441E4">
        <w:rPr>
          <w:b/>
        </w:rPr>
        <w:t>network</w:t>
      </w:r>
      <w:r w:rsidR="003A7552" w:rsidRPr="006441E4">
        <w:t xml:space="preserve"> development plan must include:</w:t>
      </w:r>
    </w:p>
    <w:p w:rsidR="003A7552" w:rsidRPr="006441E4" w:rsidRDefault="003A7552" w:rsidP="00440341">
      <w:pPr>
        <w:pStyle w:val="Para1"/>
        <w:numPr>
          <w:ilvl w:val="2"/>
          <w:numId w:val="42"/>
        </w:numPr>
      </w:pPr>
      <w:r w:rsidRPr="006441E4">
        <w:t xml:space="preserve">a detailed description of the </w:t>
      </w:r>
      <w:r w:rsidR="00862E48">
        <w:t xml:space="preserve">material </w:t>
      </w:r>
      <w:r w:rsidRPr="006441E4">
        <w:t xml:space="preserve">projects </w:t>
      </w:r>
      <w:r w:rsidR="00862E48">
        <w:t xml:space="preserve">and a summary description of the non-material projects </w:t>
      </w:r>
      <w:r w:rsidRPr="006441E4">
        <w:t xml:space="preserve">currently underway or planned to start within the next </w:t>
      </w:r>
      <w:r w:rsidR="004C5827" w:rsidRPr="006441E4">
        <w:t>12</w:t>
      </w:r>
      <w:r w:rsidRPr="006441E4">
        <w:t xml:space="preserve"> months;</w:t>
      </w:r>
    </w:p>
    <w:p w:rsidR="003A7552" w:rsidRPr="006441E4" w:rsidRDefault="003A7552" w:rsidP="00440341">
      <w:pPr>
        <w:pStyle w:val="Para1"/>
        <w:numPr>
          <w:ilvl w:val="2"/>
          <w:numId w:val="42"/>
        </w:numPr>
      </w:pPr>
      <w:r w:rsidRPr="006441E4">
        <w:t xml:space="preserve">a summary description of the </w:t>
      </w:r>
      <w:r w:rsidR="00862E48">
        <w:t xml:space="preserve">programmes and </w:t>
      </w:r>
      <w:r w:rsidRPr="006441E4">
        <w:t xml:space="preserve">projects planned for the </w:t>
      </w:r>
      <w:r w:rsidR="00862E48">
        <w:t>following</w:t>
      </w:r>
      <w:r w:rsidR="00862E48" w:rsidRPr="006441E4">
        <w:t xml:space="preserve"> </w:t>
      </w:r>
      <w:r w:rsidR="004C5827" w:rsidRPr="006441E4">
        <w:t>4</w:t>
      </w:r>
      <w:r w:rsidRPr="006441E4">
        <w:t xml:space="preserve"> years</w:t>
      </w:r>
      <w:r w:rsidR="00862E48">
        <w:t xml:space="preserve"> (where known)</w:t>
      </w:r>
      <w:r w:rsidRPr="006441E4">
        <w:t>; and</w:t>
      </w:r>
    </w:p>
    <w:p w:rsidR="003A7552" w:rsidRPr="006441E4" w:rsidRDefault="003A7552" w:rsidP="00440341">
      <w:pPr>
        <w:pStyle w:val="Para1"/>
        <w:numPr>
          <w:ilvl w:val="2"/>
          <w:numId w:val="42"/>
        </w:numPr>
      </w:pPr>
      <w:proofErr w:type="gramStart"/>
      <w:r w:rsidRPr="006441E4">
        <w:t>an</w:t>
      </w:r>
      <w:proofErr w:type="gramEnd"/>
      <w:r w:rsidRPr="006441E4">
        <w:t xml:space="preserve"> overview of the </w:t>
      </w:r>
      <w:r w:rsidR="00C04750">
        <w:t xml:space="preserve">material </w:t>
      </w:r>
      <w:r w:rsidRPr="006441E4">
        <w:t xml:space="preserve">projects being considered for the remainder of the </w:t>
      </w:r>
      <w:r w:rsidRPr="006441E4">
        <w:rPr>
          <w:b/>
        </w:rPr>
        <w:t>AMP planning period</w:t>
      </w:r>
      <w:r w:rsidRPr="006441E4">
        <w:t>.</w:t>
      </w:r>
    </w:p>
    <w:p w:rsidR="003A7552" w:rsidRPr="006441E4" w:rsidRDefault="003A7552" w:rsidP="00C11920">
      <w:pPr>
        <w:pStyle w:val="UnnumberedL4"/>
        <w:ind w:left="1418"/>
        <w:rPr>
          <w:rStyle w:val="Emphasis-Italics"/>
          <w:rFonts w:asciiTheme="minorHAnsi" w:hAnsiTheme="minorHAnsi"/>
        </w:rPr>
      </w:pPr>
      <w:r w:rsidRPr="006441E4">
        <w:rPr>
          <w:rStyle w:val="Emphasis-Italics"/>
          <w:rFonts w:asciiTheme="minorHAnsi" w:hAnsiTheme="minorHAnsi"/>
        </w:rPr>
        <w:t xml:space="preserve">For projects included in the </w:t>
      </w:r>
      <w:r w:rsidRPr="006441E4">
        <w:rPr>
          <w:rStyle w:val="Emphasis-Italics"/>
          <w:rFonts w:asciiTheme="minorHAnsi" w:hAnsiTheme="minorHAnsi"/>
          <w:b/>
        </w:rPr>
        <w:t>AMP</w:t>
      </w:r>
      <w:r w:rsidRPr="006441E4">
        <w:rPr>
          <w:rStyle w:val="Emphasis-Italics"/>
          <w:rFonts w:asciiTheme="minorHAnsi" w:hAnsiTheme="minorHAnsi"/>
        </w:rPr>
        <w:t xml:space="preserve"> where decisions have been made, the reasons for choosing the selected option should be stated which should include how target levels of service will be impacted</w:t>
      </w:r>
      <w:r w:rsidR="003517CB">
        <w:rPr>
          <w:rStyle w:val="Emphasis-Italics"/>
          <w:rFonts w:asciiTheme="minorHAnsi" w:hAnsiTheme="minorHAnsi"/>
        </w:rPr>
        <w:t xml:space="preserve">. </w:t>
      </w:r>
      <w:r w:rsidRPr="006441E4">
        <w:rPr>
          <w:rStyle w:val="Emphasis-Italics"/>
          <w:rFonts w:asciiTheme="minorHAnsi" w:hAnsiTheme="minorHAnsi"/>
        </w:rPr>
        <w:t xml:space="preserve">For other projects planned to start in the next </w:t>
      </w:r>
      <w:r w:rsidR="004C5827" w:rsidRPr="006441E4">
        <w:rPr>
          <w:rStyle w:val="Emphasis-Italics"/>
          <w:rFonts w:asciiTheme="minorHAnsi" w:hAnsiTheme="minorHAnsi"/>
        </w:rPr>
        <w:t>5</w:t>
      </w:r>
      <w:r w:rsidRPr="006441E4">
        <w:rPr>
          <w:rStyle w:val="Emphasis-Italics"/>
          <w:rFonts w:asciiTheme="minorHAnsi" w:hAnsiTheme="minorHAnsi"/>
        </w:rPr>
        <w:t xml:space="preserve"> years, alternative options should be discussed.</w:t>
      </w:r>
    </w:p>
    <w:p w:rsidR="003A7552" w:rsidRPr="006441E4" w:rsidRDefault="003A7552" w:rsidP="00440341">
      <w:pPr>
        <w:pStyle w:val="Para1"/>
        <w:numPr>
          <w:ilvl w:val="1"/>
          <w:numId w:val="42"/>
        </w:numPr>
      </w:pPr>
      <w:r w:rsidRPr="006441E4">
        <w:t xml:space="preserve">A description of the extent to which the disclosed </w:t>
      </w:r>
      <w:r w:rsidRPr="006441E4">
        <w:rPr>
          <w:b/>
        </w:rPr>
        <w:t>network</w:t>
      </w:r>
      <w:r w:rsidRPr="006441E4">
        <w:t xml:space="preserve"> development plans meet the loads anticipated in current gas demand forecasts prepared by the Gas Industry Company or </w:t>
      </w:r>
      <w:r w:rsidR="00C54225" w:rsidRPr="006441E4">
        <w:t>any Government department or agency</w:t>
      </w:r>
      <w:r w:rsidRPr="006441E4">
        <w:t>.</w:t>
      </w:r>
    </w:p>
    <w:p w:rsidR="003A7552" w:rsidRPr="00E27F5E" w:rsidRDefault="00F86836" w:rsidP="003A7552">
      <w:pPr>
        <w:pStyle w:val="Heading3"/>
        <w:rPr>
          <w:i w:val="0"/>
          <w:u w:val="single"/>
        </w:rPr>
      </w:pPr>
      <w:bookmarkStart w:id="292" w:name="_Ref310790818"/>
      <w:r w:rsidRPr="00F86836">
        <w:rPr>
          <w:i w:val="0"/>
          <w:u w:val="single"/>
        </w:rPr>
        <w:t>Lifecycle Asset Management Planning (Maintenance and Renewal)</w:t>
      </w:r>
      <w:bookmarkEnd w:id="292"/>
    </w:p>
    <w:p w:rsidR="00A21F68" w:rsidRPr="006441E4" w:rsidRDefault="003A7552" w:rsidP="00440341">
      <w:pPr>
        <w:pStyle w:val="Para1"/>
        <w:numPr>
          <w:ilvl w:val="0"/>
          <w:numId w:val="42"/>
        </w:numPr>
      </w:pPr>
      <w:bookmarkStart w:id="293" w:name="_Toc307315461"/>
      <w:bookmarkStart w:id="294" w:name="_Ref329178574"/>
      <w:r w:rsidRPr="006441E4">
        <w:t xml:space="preserve">The </w:t>
      </w:r>
      <w:r w:rsidRPr="006441E4">
        <w:rPr>
          <w:b/>
        </w:rPr>
        <w:t xml:space="preserve">AMP </w:t>
      </w:r>
      <w:r w:rsidRPr="006441E4">
        <w:t>must provide a detailed description of the lifecycle asset management processes, including</w:t>
      </w:r>
      <w:bookmarkEnd w:id="293"/>
      <w:r w:rsidRPr="006441E4">
        <w:t>—</w:t>
      </w:r>
      <w:bookmarkStart w:id="295" w:name="_Ref308461046"/>
      <w:bookmarkEnd w:id="294"/>
    </w:p>
    <w:p w:rsidR="00A21F68" w:rsidRPr="006441E4" w:rsidRDefault="00411AFE" w:rsidP="00440341">
      <w:pPr>
        <w:pStyle w:val="Para1"/>
        <w:numPr>
          <w:ilvl w:val="1"/>
          <w:numId w:val="42"/>
        </w:numPr>
      </w:pPr>
      <w:r w:rsidRPr="006441E4">
        <w:t>T</w:t>
      </w:r>
      <w:r w:rsidR="003A7552" w:rsidRPr="006441E4">
        <w:t>he key drivers for maintenance planning and assumptions;</w:t>
      </w:r>
      <w:bookmarkStart w:id="296" w:name="_Ref308461075"/>
      <w:bookmarkEnd w:id="295"/>
    </w:p>
    <w:p w:rsidR="00A21F68" w:rsidRPr="006441E4" w:rsidRDefault="00411AFE" w:rsidP="00440341">
      <w:pPr>
        <w:pStyle w:val="Para1"/>
        <w:numPr>
          <w:ilvl w:val="1"/>
          <w:numId w:val="42"/>
        </w:numPr>
        <w:tabs>
          <w:tab w:val="num" w:pos="1134"/>
        </w:tabs>
      </w:pPr>
      <w:bookmarkStart w:id="297" w:name="_Ref329297327"/>
      <w:r w:rsidRPr="006441E4">
        <w:t>I</w:t>
      </w:r>
      <w:r w:rsidR="003A7552" w:rsidRPr="006441E4">
        <w:t xml:space="preserve">dentification of </w:t>
      </w:r>
      <w:r w:rsidR="003A7552" w:rsidRPr="006441E4">
        <w:rPr>
          <w:b/>
        </w:rPr>
        <w:t xml:space="preserve">routine and </w:t>
      </w:r>
      <w:r w:rsidR="004C5827" w:rsidRPr="006441E4">
        <w:rPr>
          <w:b/>
        </w:rPr>
        <w:t>corrective maintenance and</w:t>
      </w:r>
      <w:r w:rsidR="003A7552" w:rsidRPr="006441E4">
        <w:rPr>
          <w:b/>
        </w:rPr>
        <w:t xml:space="preserve"> inspection</w:t>
      </w:r>
      <w:r w:rsidR="003A7552" w:rsidRPr="006441E4">
        <w:t xml:space="preserve"> policies and programmes and actions to be taken for each </w:t>
      </w:r>
      <w:r w:rsidR="003A7552" w:rsidRPr="00453104">
        <w:t>asset category</w:t>
      </w:r>
      <w:r w:rsidR="003A7552" w:rsidRPr="006441E4">
        <w:t>, including associated expenditure projections. This must include:</w:t>
      </w:r>
      <w:bookmarkEnd w:id="296"/>
      <w:bookmarkEnd w:id="297"/>
    </w:p>
    <w:p w:rsidR="00A21F68" w:rsidRPr="006441E4" w:rsidRDefault="003A7552" w:rsidP="00440341">
      <w:pPr>
        <w:pStyle w:val="Para1"/>
        <w:numPr>
          <w:ilvl w:val="2"/>
          <w:numId w:val="42"/>
        </w:numPr>
        <w:tabs>
          <w:tab w:val="num" w:pos="1134"/>
        </w:tabs>
      </w:pPr>
      <w:r w:rsidRPr="006441E4">
        <w:t>the approach to inspecting and maintaining each category of assets, including a description of the types of inspections, tests and condition monitoring carried out and the intervals at which this is done;</w:t>
      </w:r>
    </w:p>
    <w:p w:rsidR="00A21F68" w:rsidRPr="006441E4" w:rsidRDefault="003A7552" w:rsidP="00440341">
      <w:pPr>
        <w:pStyle w:val="Para1"/>
        <w:numPr>
          <w:ilvl w:val="2"/>
          <w:numId w:val="42"/>
        </w:numPr>
        <w:tabs>
          <w:tab w:val="num" w:pos="1134"/>
        </w:tabs>
      </w:pPr>
      <w:r w:rsidRPr="006441E4">
        <w:t>any systemic problems identified with any particular asset types and the proposed actions to address these problems; and</w:t>
      </w:r>
    </w:p>
    <w:p w:rsidR="00A21F68" w:rsidRPr="006441E4" w:rsidRDefault="003A7552" w:rsidP="00440341">
      <w:pPr>
        <w:pStyle w:val="Para1"/>
        <w:numPr>
          <w:ilvl w:val="2"/>
          <w:numId w:val="42"/>
        </w:numPr>
        <w:tabs>
          <w:tab w:val="num" w:pos="1134"/>
        </w:tabs>
      </w:pPr>
      <w:proofErr w:type="gramStart"/>
      <w:r w:rsidRPr="006441E4">
        <w:t>budgets</w:t>
      </w:r>
      <w:proofErr w:type="gramEnd"/>
      <w:r w:rsidRPr="006441E4">
        <w:t xml:space="preserve"> for maintenance activities broken down by </w:t>
      </w:r>
      <w:r w:rsidRPr="00453104">
        <w:t>asset category</w:t>
      </w:r>
      <w:r w:rsidRPr="006441E4">
        <w:t xml:space="preserve"> for the </w:t>
      </w:r>
      <w:r w:rsidRPr="006441E4">
        <w:rPr>
          <w:b/>
        </w:rPr>
        <w:t>AMP planning period</w:t>
      </w:r>
      <w:r w:rsidRPr="006441E4">
        <w:t>.</w:t>
      </w:r>
    </w:p>
    <w:p w:rsidR="00A21F68" w:rsidRPr="006441E4" w:rsidRDefault="00411AFE" w:rsidP="00440341">
      <w:pPr>
        <w:pStyle w:val="Para1"/>
        <w:numPr>
          <w:ilvl w:val="1"/>
          <w:numId w:val="42"/>
        </w:numPr>
        <w:tabs>
          <w:tab w:val="num" w:pos="1134"/>
        </w:tabs>
      </w:pPr>
      <w:bookmarkStart w:id="298" w:name="_Ref329297336"/>
      <w:r w:rsidRPr="006441E4">
        <w:t>I</w:t>
      </w:r>
      <w:r w:rsidR="003A7552" w:rsidRPr="006441E4">
        <w:t xml:space="preserve">dentification of </w:t>
      </w:r>
      <w:r w:rsidR="003A7552" w:rsidRPr="006441E4">
        <w:rPr>
          <w:b/>
        </w:rPr>
        <w:t xml:space="preserve">asset </w:t>
      </w:r>
      <w:r w:rsidR="004C5827" w:rsidRPr="006441E4">
        <w:rPr>
          <w:b/>
        </w:rPr>
        <w:t xml:space="preserve">replacement </w:t>
      </w:r>
      <w:r w:rsidR="003A7552" w:rsidRPr="006441E4">
        <w:rPr>
          <w:b/>
        </w:rPr>
        <w:t>and renewal</w:t>
      </w:r>
      <w:r w:rsidR="003A7552" w:rsidRPr="006441E4">
        <w:t xml:space="preserve"> policies and programmes and actions to be taken for each </w:t>
      </w:r>
      <w:r w:rsidR="003A7552" w:rsidRPr="006441E4">
        <w:rPr>
          <w:b/>
        </w:rPr>
        <w:t>asset category</w:t>
      </w:r>
      <w:r w:rsidR="003A7552" w:rsidRPr="006441E4">
        <w:t>, including associated expenditure projections</w:t>
      </w:r>
      <w:r w:rsidR="003517CB">
        <w:t xml:space="preserve">. </w:t>
      </w:r>
      <w:r w:rsidR="003A7552" w:rsidRPr="006441E4">
        <w:t>This must include:</w:t>
      </w:r>
      <w:bookmarkEnd w:id="298"/>
    </w:p>
    <w:p w:rsidR="00A21F68" w:rsidRPr="006441E4" w:rsidRDefault="003A7552" w:rsidP="00440341">
      <w:pPr>
        <w:pStyle w:val="Para1"/>
        <w:numPr>
          <w:ilvl w:val="2"/>
          <w:numId w:val="42"/>
        </w:numPr>
        <w:tabs>
          <w:tab w:val="num" w:pos="1134"/>
        </w:tabs>
      </w:pPr>
      <w:r w:rsidRPr="006441E4">
        <w:t>the processes used to decide when and whether an asset is replaced or refurbished, including a description of the factors on which decisions are based;</w:t>
      </w:r>
    </w:p>
    <w:p w:rsidR="003A7552" w:rsidRPr="006441E4" w:rsidRDefault="003A7552" w:rsidP="00440341">
      <w:pPr>
        <w:pStyle w:val="Para1"/>
        <w:numPr>
          <w:ilvl w:val="2"/>
          <w:numId w:val="42"/>
        </w:numPr>
        <w:tabs>
          <w:tab w:val="num" w:pos="1134"/>
        </w:tabs>
      </w:pPr>
      <w:r w:rsidRPr="006441E4">
        <w:t xml:space="preserve">a description of the projects currently underway or planned for the next </w:t>
      </w:r>
      <w:r w:rsidR="00411AFE" w:rsidRPr="006441E4">
        <w:t>12</w:t>
      </w:r>
      <w:r w:rsidRPr="006441E4">
        <w:t xml:space="preserve"> months;</w:t>
      </w:r>
    </w:p>
    <w:p w:rsidR="003A7552" w:rsidRPr="006441E4" w:rsidRDefault="00411AFE" w:rsidP="00440341">
      <w:pPr>
        <w:pStyle w:val="Para1"/>
        <w:numPr>
          <w:ilvl w:val="2"/>
          <w:numId w:val="42"/>
        </w:numPr>
      </w:pPr>
      <w:r w:rsidRPr="006441E4">
        <w:t>a</w:t>
      </w:r>
      <w:r w:rsidR="003A7552" w:rsidRPr="006441E4">
        <w:t xml:space="preserve"> summary of the projects planned for the following </w:t>
      </w:r>
      <w:r w:rsidR="004C5827" w:rsidRPr="006441E4">
        <w:t>4</w:t>
      </w:r>
      <w:r w:rsidR="003A7552" w:rsidRPr="006441E4">
        <w:t xml:space="preserve"> years</w:t>
      </w:r>
      <w:r w:rsidR="00C04750">
        <w:t xml:space="preserve"> (where known)</w:t>
      </w:r>
      <w:r w:rsidR="003A7552" w:rsidRPr="006441E4">
        <w:t>; and</w:t>
      </w:r>
    </w:p>
    <w:p w:rsidR="003A7552" w:rsidRPr="006441E4" w:rsidRDefault="00411AFE" w:rsidP="00440341">
      <w:pPr>
        <w:pStyle w:val="Para1"/>
        <w:numPr>
          <w:ilvl w:val="2"/>
          <w:numId w:val="42"/>
        </w:numPr>
      </w:pPr>
      <w:proofErr w:type="gramStart"/>
      <w:r w:rsidRPr="006441E4">
        <w:t>a</w:t>
      </w:r>
      <w:r w:rsidR="003A7552" w:rsidRPr="006441E4">
        <w:t>n</w:t>
      </w:r>
      <w:proofErr w:type="gramEnd"/>
      <w:r w:rsidR="003A7552" w:rsidRPr="006441E4">
        <w:t xml:space="preserve"> overview of other work being considered for the remainder of the </w:t>
      </w:r>
      <w:r w:rsidR="003A7552" w:rsidRPr="006441E4">
        <w:rPr>
          <w:b/>
        </w:rPr>
        <w:t>AMP planning period</w:t>
      </w:r>
      <w:r w:rsidR="003A7552" w:rsidRPr="006441E4">
        <w:t>.</w:t>
      </w:r>
    </w:p>
    <w:p w:rsidR="00453104" w:rsidRPr="006441E4" w:rsidRDefault="00453104" w:rsidP="00453104">
      <w:pPr>
        <w:pStyle w:val="Para1"/>
        <w:numPr>
          <w:ilvl w:val="1"/>
          <w:numId w:val="42"/>
        </w:numPr>
      </w:pPr>
      <w:r w:rsidRPr="006441E4">
        <w:t xml:space="preserve">The </w:t>
      </w:r>
      <w:r>
        <w:t xml:space="preserve">asset categories discussed in </w:t>
      </w:r>
      <w:proofErr w:type="spellStart"/>
      <w:r>
        <w:t>subclauses</w:t>
      </w:r>
      <w:proofErr w:type="spellEnd"/>
      <w:r>
        <w:t xml:space="preserve"> </w:t>
      </w:r>
      <w:r w:rsidR="0033518E">
        <w:fldChar w:fldCharType="begin"/>
      </w:r>
      <w:r>
        <w:instrText xml:space="preserve"> REF _Ref329297327 \r \h </w:instrText>
      </w:r>
      <w:r w:rsidR="0033518E">
        <w:fldChar w:fldCharType="separate"/>
      </w:r>
      <w:r>
        <w:t>17.2</w:t>
      </w:r>
      <w:r w:rsidR="0033518E">
        <w:fldChar w:fldCharType="end"/>
      </w:r>
      <w:r>
        <w:t xml:space="preserve"> and </w:t>
      </w:r>
      <w:r w:rsidR="0033518E">
        <w:fldChar w:fldCharType="begin"/>
      </w:r>
      <w:r>
        <w:instrText xml:space="preserve"> REF _Ref329297336 \r \h </w:instrText>
      </w:r>
      <w:r w:rsidR="0033518E">
        <w:fldChar w:fldCharType="separate"/>
      </w:r>
      <w:r>
        <w:t>17.3</w:t>
      </w:r>
      <w:r w:rsidR="0033518E">
        <w:fldChar w:fldCharType="end"/>
      </w:r>
      <w:r>
        <w:t xml:space="preserve"> </w:t>
      </w:r>
      <w:r w:rsidR="003F5B77">
        <w:t xml:space="preserve">above should include at least the categories in </w:t>
      </w:r>
      <w:proofErr w:type="spellStart"/>
      <w:r w:rsidR="003F5B77">
        <w:t>subclause</w:t>
      </w:r>
      <w:proofErr w:type="spellEnd"/>
      <w:r w:rsidR="003F5B77">
        <w:t xml:space="preserve"> </w:t>
      </w:r>
      <w:r w:rsidR="0033518E">
        <w:fldChar w:fldCharType="begin"/>
      </w:r>
      <w:r w:rsidR="003F5B77">
        <w:instrText xml:space="preserve"> REF _Ref329297404 \r \h </w:instrText>
      </w:r>
      <w:r w:rsidR="0033518E">
        <w:fldChar w:fldCharType="separate"/>
      </w:r>
      <w:r w:rsidR="003F5B77">
        <w:t>8</w:t>
      </w:r>
      <w:r w:rsidR="0033518E">
        <w:fldChar w:fldCharType="end"/>
      </w:r>
      <w:r w:rsidR="003F5B77">
        <w:t>.</w:t>
      </w:r>
    </w:p>
    <w:p w:rsidR="005E4A84" w:rsidRPr="00604256" w:rsidRDefault="005E4A84" w:rsidP="005E4A84">
      <w:pPr>
        <w:pStyle w:val="Heading3"/>
        <w:rPr>
          <w:i w:val="0"/>
          <w:u w:val="single"/>
        </w:rPr>
      </w:pPr>
      <w:r>
        <w:rPr>
          <w:i w:val="0"/>
          <w:u w:val="single"/>
        </w:rPr>
        <w:t>Non-Network Development, Maintenance and Renewal</w:t>
      </w:r>
    </w:p>
    <w:p w:rsidR="00F40DAE" w:rsidRDefault="005E4A84" w:rsidP="00440341">
      <w:pPr>
        <w:pStyle w:val="Para1"/>
        <w:numPr>
          <w:ilvl w:val="0"/>
          <w:numId w:val="42"/>
        </w:numPr>
      </w:pPr>
      <w:bookmarkStart w:id="299" w:name="_Ref326746269"/>
      <w:r w:rsidRPr="001D0007">
        <w:rPr>
          <w:b/>
        </w:rPr>
        <w:t>AMP</w:t>
      </w:r>
      <w:r w:rsidRPr="001D0007">
        <w:t>s must provide a summary description of material non-network development, maintenance and renewal plans</w:t>
      </w:r>
      <w:r w:rsidR="00F86836" w:rsidRPr="00F86836">
        <w:t>, including—</w:t>
      </w:r>
      <w:bookmarkEnd w:id="299"/>
    </w:p>
    <w:p w:rsidR="00F40DAE" w:rsidRDefault="005E4A84" w:rsidP="00440341">
      <w:pPr>
        <w:pStyle w:val="Para1"/>
        <w:numPr>
          <w:ilvl w:val="1"/>
          <w:numId w:val="42"/>
        </w:numPr>
      </w:pPr>
      <w:r>
        <w:t>a description of non-network assets;</w:t>
      </w:r>
    </w:p>
    <w:p w:rsidR="00F40DAE" w:rsidRDefault="005E4A84" w:rsidP="00440341">
      <w:pPr>
        <w:pStyle w:val="Para1"/>
        <w:numPr>
          <w:ilvl w:val="1"/>
          <w:numId w:val="42"/>
        </w:numPr>
      </w:pPr>
      <w:r>
        <w:t>development, maintenance and renewal policies that cover them;</w:t>
      </w:r>
    </w:p>
    <w:p w:rsidR="00F40DAE" w:rsidRDefault="005E4A84" w:rsidP="00440341">
      <w:pPr>
        <w:pStyle w:val="Para1"/>
        <w:numPr>
          <w:ilvl w:val="1"/>
          <w:numId w:val="42"/>
        </w:numPr>
      </w:pPr>
      <w:r>
        <w:t>a description of material capital expenditure projects (where known) planned for the next 5 years;</w:t>
      </w:r>
    </w:p>
    <w:p w:rsidR="00F40DAE" w:rsidRDefault="005E4A84" w:rsidP="00440341">
      <w:pPr>
        <w:pStyle w:val="Para1"/>
        <w:numPr>
          <w:ilvl w:val="1"/>
          <w:numId w:val="42"/>
        </w:numPr>
      </w:pPr>
      <w:proofErr w:type="gramStart"/>
      <w:r>
        <w:t>a</w:t>
      </w:r>
      <w:proofErr w:type="gramEnd"/>
      <w:r>
        <w:t xml:space="preserve"> description of material maintenance and renewal projects (where known)</w:t>
      </w:r>
      <w:r w:rsidRPr="00AC3E35">
        <w:t xml:space="preserve"> </w:t>
      </w:r>
      <w:r w:rsidR="00C04750">
        <w:t xml:space="preserve">planned </w:t>
      </w:r>
      <w:r>
        <w:t>for the next 5 years.</w:t>
      </w:r>
    </w:p>
    <w:p w:rsidR="003517CB" w:rsidRDefault="00F86836" w:rsidP="003A7552">
      <w:pPr>
        <w:pStyle w:val="Heading3"/>
        <w:rPr>
          <w:i w:val="0"/>
          <w:u w:val="single"/>
        </w:rPr>
      </w:pPr>
      <w:r w:rsidRPr="00F86836">
        <w:rPr>
          <w:i w:val="0"/>
          <w:u w:val="single"/>
        </w:rPr>
        <w:t>Risk Management</w:t>
      </w:r>
    </w:p>
    <w:p w:rsidR="00A21F68" w:rsidRPr="006441E4" w:rsidRDefault="003A7552" w:rsidP="00440341">
      <w:pPr>
        <w:pStyle w:val="Para1"/>
        <w:numPr>
          <w:ilvl w:val="0"/>
          <w:numId w:val="42"/>
        </w:numPr>
      </w:pPr>
      <w:bookmarkStart w:id="300" w:name="_Toc307315462"/>
      <w:r w:rsidRPr="006441E4">
        <w:rPr>
          <w:b/>
        </w:rPr>
        <w:t>AMP</w:t>
      </w:r>
      <w:r w:rsidRPr="006441E4">
        <w:t>s must provide details of risk policies, assessment, and mitigation, including</w:t>
      </w:r>
      <w:bookmarkEnd w:id="300"/>
      <w:r w:rsidRPr="006441E4">
        <w:t>—</w:t>
      </w:r>
    </w:p>
    <w:p w:rsidR="00A21F68" w:rsidRPr="006441E4" w:rsidRDefault="003A7552" w:rsidP="00440341">
      <w:pPr>
        <w:pStyle w:val="Para1"/>
        <w:numPr>
          <w:ilvl w:val="1"/>
          <w:numId w:val="42"/>
        </w:numPr>
      </w:pPr>
      <w:r w:rsidRPr="006441E4">
        <w:t>methods, details and conclusions of risk analysis;</w:t>
      </w:r>
      <w:bookmarkStart w:id="301" w:name="_Ref312252617"/>
    </w:p>
    <w:p w:rsidR="00411AFE" w:rsidRPr="006441E4" w:rsidRDefault="003A7552" w:rsidP="00440341">
      <w:pPr>
        <w:pStyle w:val="Para1"/>
        <w:numPr>
          <w:ilvl w:val="1"/>
          <w:numId w:val="42"/>
        </w:numPr>
      </w:pPr>
      <w:r w:rsidRPr="006441E4">
        <w:t xml:space="preserve">strategies used to identify </w:t>
      </w:r>
      <w:bookmarkStart w:id="302" w:name="_Ref310523631"/>
      <w:r w:rsidRPr="006441E4">
        <w:t xml:space="preserve">areas of the </w:t>
      </w:r>
      <w:r w:rsidRPr="006441E4">
        <w:rPr>
          <w:b/>
        </w:rPr>
        <w:t>network</w:t>
      </w:r>
      <w:r w:rsidRPr="006441E4">
        <w:t xml:space="preserve"> that are vulnerable to high impact low probability events</w:t>
      </w:r>
      <w:bookmarkEnd w:id="302"/>
      <w:r w:rsidRPr="006441E4">
        <w:t xml:space="preserve"> and a description of the resilience of the </w:t>
      </w:r>
      <w:r w:rsidRPr="006441E4">
        <w:rPr>
          <w:b/>
        </w:rPr>
        <w:t>network</w:t>
      </w:r>
      <w:r w:rsidRPr="006441E4">
        <w:t xml:space="preserve"> and asset management systems to such events;</w:t>
      </w:r>
      <w:bookmarkEnd w:id="301"/>
    </w:p>
    <w:p w:rsidR="003A7552" w:rsidRPr="006441E4" w:rsidRDefault="00411AFE" w:rsidP="00440341">
      <w:pPr>
        <w:pStyle w:val="Para1"/>
        <w:numPr>
          <w:ilvl w:val="1"/>
          <w:numId w:val="42"/>
        </w:numPr>
      </w:pPr>
      <w:r w:rsidRPr="006441E4">
        <w:t>a</w:t>
      </w:r>
      <w:r w:rsidR="003A7552" w:rsidRPr="006441E4">
        <w:t xml:space="preserve"> description of the policies to mitigate or manage the risks of events identified in </w:t>
      </w:r>
      <w:proofErr w:type="spellStart"/>
      <w:r w:rsidR="003A7552" w:rsidRPr="006441E4">
        <w:t>subclause</w:t>
      </w:r>
      <w:proofErr w:type="spellEnd"/>
      <w:r w:rsidR="003A7552" w:rsidRPr="006441E4">
        <w:t xml:space="preserve"> </w:t>
      </w:r>
      <w:fldSimple w:instr=" REF _Ref312252617 \r \h  \* MERGEFORMAT ">
        <w:r w:rsidR="00B06C04">
          <w:t>19.1</w:t>
        </w:r>
      </w:fldSimple>
      <w:r w:rsidR="00C11920" w:rsidRPr="006441E4">
        <w:t xml:space="preserve"> </w:t>
      </w:r>
      <w:r w:rsidR="00823495" w:rsidRPr="006441E4">
        <w:t>of this Appendix</w:t>
      </w:r>
      <w:r w:rsidR="003A7552" w:rsidRPr="006441E4">
        <w:t>;</w:t>
      </w:r>
    </w:p>
    <w:p w:rsidR="003A7552" w:rsidRPr="006441E4" w:rsidRDefault="00411AFE" w:rsidP="00440341">
      <w:pPr>
        <w:pStyle w:val="Para1"/>
        <w:numPr>
          <w:ilvl w:val="0"/>
          <w:numId w:val="42"/>
        </w:numPr>
      </w:pPr>
      <w:r w:rsidRPr="006441E4">
        <w:t>D</w:t>
      </w:r>
      <w:r w:rsidR="003A7552" w:rsidRPr="006441E4">
        <w:t>etails of emergency response and contingency plans.</w:t>
      </w:r>
    </w:p>
    <w:p w:rsidR="00F40DAE" w:rsidRDefault="003A7552">
      <w:pPr>
        <w:pStyle w:val="UnnumberedL4"/>
        <w:ind w:left="1418"/>
        <w:rPr>
          <w:rStyle w:val="Emphasis-Italics"/>
        </w:rPr>
      </w:pPr>
      <w:bookmarkStart w:id="303" w:name="_Toc307315463"/>
      <w:r w:rsidRPr="006441E4">
        <w:rPr>
          <w:rStyle w:val="Emphasis-Italics"/>
          <w:rFonts w:asciiTheme="minorHAnsi" w:hAnsiTheme="minorHAnsi"/>
        </w:rPr>
        <w:t>Asset risk management forms a component of a</w:t>
      </w:r>
      <w:r w:rsidR="004C5827" w:rsidRPr="006441E4">
        <w:rPr>
          <w:rStyle w:val="Emphasis-Italics"/>
          <w:rFonts w:asciiTheme="minorHAnsi" w:hAnsiTheme="minorHAnsi"/>
        </w:rPr>
        <w:t xml:space="preserve"> </w:t>
      </w:r>
      <w:r w:rsidR="0039125D" w:rsidRPr="002C1DB4">
        <w:rPr>
          <w:rStyle w:val="Emphasis-Italics"/>
          <w:rFonts w:asciiTheme="minorHAnsi" w:hAnsiTheme="minorHAnsi"/>
          <w:b/>
        </w:rPr>
        <w:t>GT</w:t>
      </w:r>
      <w:r w:rsidRPr="002C1DB4">
        <w:rPr>
          <w:rStyle w:val="Emphasis-Italics"/>
          <w:rFonts w:asciiTheme="minorHAnsi" w:hAnsiTheme="minorHAnsi"/>
          <w:b/>
        </w:rPr>
        <w:t>B</w:t>
      </w:r>
      <w:r w:rsidRPr="006441E4">
        <w:rPr>
          <w:rStyle w:val="Emphasis-Italics"/>
          <w:rFonts w:asciiTheme="minorHAnsi" w:hAnsiTheme="minorHAnsi"/>
        </w:rPr>
        <w:t>’s overall risk management plan or policy, focusing on the risks to assets and maintaining service levels</w:t>
      </w:r>
      <w:r w:rsidR="003517CB">
        <w:rPr>
          <w:rStyle w:val="Emphasis-Italics"/>
          <w:rFonts w:asciiTheme="minorHAnsi" w:hAnsiTheme="minorHAnsi"/>
        </w:rPr>
        <w:t xml:space="preserve">. </w:t>
      </w:r>
      <w:r w:rsidRPr="002C1DB4">
        <w:rPr>
          <w:rStyle w:val="Emphasis-Italics"/>
          <w:rFonts w:asciiTheme="minorHAnsi" w:hAnsiTheme="minorHAnsi"/>
          <w:b/>
        </w:rPr>
        <w:t>AMP</w:t>
      </w:r>
      <w:r w:rsidRPr="006441E4">
        <w:rPr>
          <w:rStyle w:val="Emphasis-Italics"/>
          <w:rFonts w:asciiTheme="minorHAnsi" w:hAnsiTheme="minorHAnsi"/>
        </w:rPr>
        <w:t xml:space="preserve">s should demonstrate how the </w:t>
      </w:r>
      <w:r w:rsidR="004C5827" w:rsidRPr="002C1DB4">
        <w:rPr>
          <w:rStyle w:val="Emphasis-Italics"/>
          <w:rFonts w:asciiTheme="minorHAnsi" w:hAnsiTheme="minorHAnsi"/>
          <w:b/>
        </w:rPr>
        <w:t xml:space="preserve">GTB </w:t>
      </w:r>
      <w:r w:rsidRPr="006441E4">
        <w:rPr>
          <w:rStyle w:val="Emphasis-Italics"/>
          <w:rFonts w:asciiTheme="minorHAnsi" w:hAnsiTheme="minorHAnsi"/>
        </w:rPr>
        <w:t xml:space="preserve">identifies and assesses asset related risks and describe the main risks within the </w:t>
      </w:r>
      <w:r w:rsidRPr="002C1DB4">
        <w:rPr>
          <w:rStyle w:val="Emphasis-Italics"/>
          <w:rFonts w:asciiTheme="minorHAnsi" w:hAnsiTheme="minorHAnsi"/>
          <w:b/>
        </w:rPr>
        <w:t>network</w:t>
      </w:r>
      <w:r w:rsidR="003517CB">
        <w:rPr>
          <w:rStyle w:val="Emphasis-Italics"/>
          <w:rFonts w:asciiTheme="minorHAnsi" w:hAnsiTheme="minorHAnsi"/>
        </w:rPr>
        <w:t xml:space="preserve">. </w:t>
      </w:r>
      <w:r w:rsidRPr="006441E4">
        <w:rPr>
          <w:rStyle w:val="Emphasis-Italics"/>
          <w:rFonts w:asciiTheme="minorHAnsi" w:hAnsiTheme="minorHAnsi"/>
        </w:rPr>
        <w:t>The focus should be on credible low-probability, high-impact risks</w:t>
      </w:r>
      <w:r w:rsidR="003517CB">
        <w:rPr>
          <w:rStyle w:val="Emphasis-Italics"/>
          <w:rFonts w:asciiTheme="minorHAnsi" w:hAnsiTheme="minorHAnsi"/>
        </w:rPr>
        <w:t xml:space="preserve">. </w:t>
      </w:r>
      <w:r w:rsidRPr="006441E4">
        <w:rPr>
          <w:rStyle w:val="Emphasis-Italics"/>
          <w:rFonts w:asciiTheme="minorHAnsi" w:hAnsiTheme="minorHAnsi"/>
        </w:rPr>
        <w:t>Risk evaluation may highlight the need for specific development projects or maintenance programmes</w:t>
      </w:r>
      <w:r w:rsidR="003517CB">
        <w:rPr>
          <w:rStyle w:val="Emphasis-Italics"/>
          <w:rFonts w:asciiTheme="minorHAnsi" w:hAnsiTheme="minorHAnsi"/>
        </w:rPr>
        <w:t xml:space="preserve">. </w:t>
      </w:r>
      <w:r w:rsidRPr="006441E4">
        <w:rPr>
          <w:rStyle w:val="Emphasis-Italics"/>
          <w:rFonts w:asciiTheme="minorHAnsi" w:hAnsiTheme="minorHAnsi"/>
        </w:rPr>
        <w:t>Where this is the case, the resulting projects or actions should be discussed, linking back to the development plan or maintenance programme.</w:t>
      </w:r>
      <w:bookmarkEnd w:id="303"/>
    </w:p>
    <w:p w:rsidR="003A7552" w:rsidRPr="00E27F5E" w:rsidRDefault="00B47F0C" w:rsidP="003A7552">
      <w:pPr>
        <w:pStyle w:val="Heading3"/>
        <w:rPr>
          <w:i w:val="0"/>
          <w:u w:val="single"/>
        </w:rPr>
      </w:pPr>
      <w:bookmarkStart w:id="304" w:name="_Toc307315464"/>
      <w:r>
        <w:rPr>
          <w:i w:val="0"/>
          <w:u w:val="single"/>
        </w:rPr>
        <w:t>Evaluation of performance</w:t>
      </w:r>
    </w:p>
    <w:p w:rsidR="00A21F68" w:rsidRPr="006441E4" w:rsidRDefault="003A7552" w:rsidP="00440341">
      <w:pPr>
        <w:pStyle w:val="Para1"/>
        <w:numPr>
          <w:ilvl w:val="0"/>
          <w:numId w:val="42"/>
        </w:numPr>
        <w:tabs>
          <w:tab w:val="num" w:pos="1134"/>
        </w:tabs>
      </w:pPr>
      <w:r w:rsidRPr="006441E4">
        <w:rPr>
          <w:b/>
        </w:rPr>
        <w:t>AMP</w:t>
      </w:r>
      <w:r w:rsidRPr="006441E4">
        <w:t>s must provide details of performance measurement, evaluation, and improvement, including</w:t>
      </w:r>
      <w:bookmarkEnd w:id="304"/>
      <w:r w:rsidRPr="006441E4">
        <w:t>—</w:t>
      </w:r>
      <w:bookmarkStart w:id="305" w:name="_Ref308456361"/>
    </w:p>
    <w:p w:rsidR="00A21F68" w:rsidRPr="006441E4" w:rsidRDefault="00411AFE" w:rsidP="00440341">
      <w:pPr>
        <w:pStyle w:val="Para1"/>
        <w:numPr>
          <w:ilvl w:val="1"/>
          <w:numId w:val="42"/>
        </w:numPr>
        <w:tabs>
          <w:tab w:val="num" w:pos="1134"/>
        </w:tabs>
      </w:pPr>
      <w:r w:rsidRPr="006441E4">
        <w:t>A</w:t>
      </w:r>
      <w:r w:rsidR="003A7552" w:rsidRPr="006441E4">
        <w:t xml:space="preserve"> review of progress against plan, both physical and financial;</w:t>
      </w:r>
      <w:bookmarkEnd w:id="305"/>
    </w:p>
    <w:p w:rsidR="00F40DAE" w:rsidRDefault="00411AFE" w:rsidP="00440341">
      <w:pPr>
        <w:pStyle w:val="Para3"/>
        <w:numPr>
          <w:ilvl w:val="2"/>
          <w:numId w:val="57"/>
        </w:numPr>
        <w:rPr>
          <w:rStyle w:val="Emphasis-Italics"/>
          <w:i w:val="0"/>
        </w:rPr>
      </w:pPr>
      <w:r w:rsidRPr="000A0F47">
        <w:rPr>
          <w:rStyle w:val="Emphasis-Italics"/>
        </w:rPr>
        <w:t>R</w:t>
      </w:r>
      <w:r w:rsidR="003A7552" w:rsidRPr="000A0F47">
        <w:rPr>
          <w:rStyle w:val="Emphasis-Italics"/>
        </w:rPr>
        <w:t xml:space="preserve">eferring to the most recent disclosures made </w:t>
      </w:r>
      <w:r w:rsidR="00A11564">
        <w:rPr>
          <w:rStyle w:val="Emphasis-Italics"/>
        </w:rPr>
        <w:t>under</w:t>
      </w:r>
      <w:r w:rsidR="0039125D" w:rsidRPr="000A0F47">
        <w:rPr>
          <w:rStyle w:val="Emphasis-Italics"/>
        </w:rPr>
        <w:t xml:space="preserve"> section </w:t>
      </w:r>
      <w:r w:rsidR="0033518E">
        <w:rPr>
          <w:rStyle w:val="Emphasis-Italics"/>
        </w:rPr>
        <w:fldChar w:fldCharType="begin"/>
      </w:r>
      <w:r w:rsidR="00A11564">
        <w:rPr>
          <w:rStyle w:val="Emphasis-Italics"/>
        </w:rPr>
        <w:instrText xml:space="preserve"> REF _Ref329201902 \r \h </w:instrText>
      </w:r>
      <w:r w:rsidR="0033518E">
        <w:rPr>
          <w:rStyle w:val="Emphasis-Italics"/>
        </w:rPr>
      </w:r>
      <w:r w:rsidR="0033518E">
        <w:rPr>
          <w:rStyle w:val="Emphasis-Italics"/>
        </w:rPr>
        <w:fldChar w:fldCharType="separate"/>
      </w:r>
      <w:r w:rsidR="00B06C04">
        <w:rPr>
          <w:rStyle w:val="Emphasis-Italics"/>
        </w:rPr>
        <w:t>2.6</w:t>
      </w:r>
      <w:r w:rsidR="0033518E">
        <w:rPr>
          <w:rStyle w:val="Emphasis-Italics"/>
        </w:rPr>
        <w:fldChar w:fldCharType="end"/>
      </w:r>
      <w:r w:rsidR="00A11564">
        <w:rPr>
          <w:rStyle w:val="Emphasis-Italics"/>
        </w:rPr>
        <w:t xml:space="preserve"> of this determination</w:t>
      </w:r>
      <w:r w:rsidR="003A7552" w:rsidRPr="000A0F47">
        <w:rPr>
          <w:rStyle w:val="Emphasis-Italics"/>
        </w:rPr>
        <w:t>, discussing any significant differences and highlighting reasons for substantial variances;</w:t>
      </w:r>
    </w:p>
    <w:p w:rsidR="00F40DAE" w:rsidRDefault="00411AFE" w:rsidP="00440341">
      <w:pPr>
        <w:pStyle w:val="Para3"/>
        <w:numPr>
          <w:ilvl w:val="2"/>
          <w:numId w:val="57"/>
        </w:numPr>
        <w:rPr>
          <w:rStyle w:val="Emphasis-Italics"/>
          <w:i w:val="0"/>
        </w:rPr>
      </w:pPr>
      <w:r w:rsidRPr="000A0F47">
        <w:rPr>
          <w:rStyle w:val="Emphasis-Italics"/>
        </w:rPr>
        <w:t>C</w:t>
      </w:r>
      <w:r w:rsidR="003A7552" w:rsidRPr="000A0F47">
        <w:rPr>
          <w:rStyle w:val="Emphasis-Italics"/>
        </w:rPr>
        <w:t xml:space="preserve">ommenting on the progress of development projects against that planned in the previous </w:t>
      </w:r>
      <w:r w:rsidR="003A7552" w:rsidRPr="002C1DB4">
        <w:rPr>
          <w:rStyle w:val="Emphasis-Italics"/>
          <w:b/>
          <w:i w:val="0"/>
        </w:rPr>
        <w:t>AMP</w:t>
      </w:r>
      <w:r w:rsidR="003A7552" w:rsidRPr="000A0F47" w:rsidDel="00BA5607">
        <w:rPr>
          <w:rStyle w:val="Emphasis-Italics"/>
        </w:rPr>
        <w:t xml:space="preserve"> </w:t>
      </w:r>
      <w:r w:rsidR="003A7552" w:rsidRPr="000A0F47">
        <w:rPr>
          <w:rStyle w:val="Emphasis-Italics"/>
        </w:rPr>
        <w:t>and provide reasons for substantial variances along with any significant construction or other problems experienced;</w:t>
      </w:r>
    </w:p>
    <w:p w:rsidR="00F40DAE" w:rsidRDefault="00411AFE" w:rsidP="00440341">
      <w:pPr>
        <w:pStyle w:val="Para3"/>
        <w:numPr>
          <w:ilvl w:val="2"/>
          <w:numId w:val="57"/>
        </w:numPr>
        <w:rPr>
          <w:rStyle w:val="Emphasis-Italics"/>
          <w:i w:val="0"/>
        </w:rPr>
      </w:pPr>
      <w:r w:rsidRPr="000A0F47">
        <w:rPr>
          <w:rStyle w:val="Emphasis-Italics"/>
        </w:rPr>
        <w:t>C</w:t>
      </w:r>
      <w:r w:rsidR="003A7552" w:rsidRPr="000A0F47">
        <w:rPr>
          <w:rStyle w:val="Emphasis-Italics"/>
        </w:rPr>
        <w:t>ommenting on progress against maintenance initiatives and programmes and discuss the effectivene</w:t>
      </w:r>
      <w:bookmarkStart w:id="306" w:name="_Ref308455906"/>
      <w:r w:rsidR="00B47F0C">
        <w:rPr>
          <w:rStyle w:val="Emphasis-Italics"/>
        </w:rPr>
        <w:t>ss of these programmes noted;</w:t>
      </w:r>
    </w:p>
    <w:p w:rsidR="00F40DAE" w:rsidRDefault="00411AFE" w:rsidP="00440341">
      <w:pPr>
        <w:pStyle w:val="Para1"/>
        <w:numPr>
          <w:ilvl w:val="1"/>
          <w:numId w:val="42"/>
        </w:numPr>
        <w:tabs>
          <w:tab w:val="num" w:pos="1134"/>
        </w:tabs>
      </w:pPr>
      <w:bookmarkStart w:id="307" w:name="_Ref327198997"/>
      <w:r w:rsidRPr="006441E4">
        <w:t>A</w:t>
      </w:r>
      <w:r w:rsidR="003A7552" w:rsidRPr="006441E4">
        <w:t>n evaluation and comparison of actual service level performance against targeted performance.</w:t>
      </w:r>
      <w:bookmarkEnd w:id="306"/>
      <w:bookmarkEnd w:id="307"/>
    </w:p>
    <w:p w:rsidR="00F40DAE" w:rsidRDefault="00411AFE">
      <w:pPr>
        <w:pStyle w:val="UnnumberedL4"/>
        <w:ind w:left="1418"/>
        <w:rPr>
          <w:rStyle w:val="Emphasis-Italics"/>
          <w:i w:val="0"/>
        </w:rPr>
      </w:pPr>
      <w:r w:rsidRPr="002C1DB4">
        <w:rPr>
          <w:rStyle w:val="Emphasis-Italics"/>
          <w:rFonts w:asciiTheme="minorHAnsi" w:hAnsiTheme="minorHAnsi"/>
        </w:rPr>
        <w:t>I</w:t>
      </w:r>
      <w:r w:rsidR="003A7552" w:rsidRPr="002C1DB4">
        <w:rPr>
          <w:rStyle w:val="Emphasis-Italics"/>
          <w:rFonts w:asciiTheme="minorHAnsi" w:hAnsiTheme="minorHAnsi"/>
        </w:rPr>
        <w:t xml:space="preserve">n particular, comparing the actual and target service level performance for all the targets discussed under the </w:t>
      </w:r>
      <w:r w:rsidR="00AA18B2" w:rsidRPr="002C1DB4">
        <w:rPr>
          <w:rStyle w:val="Emphasis-Italics"/>
          <w:rFonts w:asciiTheme="minorHAnsi" w:hAnsiTheme="minorHAnsi"/>
        </w:rPr>
        <w:t>‘s</w:t>
      </w:r>
      <w:r w:rsidR="003A7552" w:rsidRPr="002C1DB4">
        <w:rPr>
          <w:rStyle w:val="Emphasis-Italics"/>
          <w:rFonts w:asciiTheme="minorHAnsi" w:hAnsiTheme="minorHAnsi"/>
        </w:rPr>
        <w:t xml:space="preserve">ervice </w:t>
      </w:r>
      <w:r w:rsidR="00AA18B2" w:rsidRPr="002C1DB4">
        <w:rPr>
          <w:rStyle w:val="Emphasis-Italics"/>
          <w:rFonts w:asciiTheme="minorHAnsi" w:hAnsiTheme="minorHAnsi"/>
        </w:rPr>
        <w:t>l</w:t>
      </w:r>
      <w:r w:rsidR="003A7552" w:rsidRPr="002C1DB4">
        <w:rPr>
          <w:rStyle w:val="Emphasis-Italics"/>
          <w:rFonts w:asciiTheme="minorHAnsi" w:hAnsiTheme="minorHAnsi"/>
        </w:rPr>
        <w:t>evels</w:t>
      </w:r>
      <w:r w:rsidR="00AA18B2" w:rsidRPr="002C1DB4">
        <w:rPr>
          <w:rStyle w:val="Emphasis-Italics"/>
          <w:rFonts w:asciiTheme="minorHAnsi" w:hAnsiTheme="minorHAnsi"/>
        </w:rPr>
        <w:t>’</w:t>
      </w:r>
      <w:r w:rsidR="003A7552" w:rsidRPr="002C1DB4">
        <w:rPr>
          <w:rStyle w:val="Emphasis-Italics"/>
          <w:rFonts w:asciiTheme="minorHAnsi" w:hAnsiTheme="minorHAnsi"/>
        </w:rPr>
        <w:t xml:space="preserve"> section of the </w:t>
      </w:r>
      <w:r w:rsidR="003A7552" w:rsidRPr="002C1DB4">
        <w:rPr>
          <w:rStyle w:val="Emphasis-Italics"/>
          <w:rFonts w:asciiTheme="minorHAnsi" w:hAnsiTheme="minorHAnsi"/>
          <w:b/>
          <w:i w:val="0"/>
        </w:rPr>
        <w:t>AMP</w:t>
      </w:r>
      <w:r w:rsidR="003A7552" w:rsidRPr="002C1DB4">
        <w:rPr>
          <w:rStyle w:val="Emphasis-Italics"/>
          <w:rFonts w:asciiTheme="minorHAnsi" w:hAnsiTheme="minorHAnsi"/>
        </w:rPr>
        <w:t xml:space="preserve"> over the previous </w:t>
      </w:r>
      <w:r w:rsidRPr="002C1DB4">
        <w:rPr>
          <w:rStyle w:val="Emphasis-Italics"/>
          <w:rFonts w:asciiTheme="minorHAnsi" w:hAnsiTheme="minorHAnsi"/>
        </w:rPr>
        <w:t>5</w:t>
      </w:r>
      <w:r w:rsidR="003A7552" w:rsidRPr="002C1DB4">
        <w:rPr>
          <w:rStyle w:val="Emphasis-Italics"/>
          <w:rFonts w:asciiTheme="minorHAnsi" w:hAnsiTheme="minorHAnsi"/>
        </w:rPr>
        <w:t xml:space="preserve"> years and explain any significant variances;</w:t>
      </w:r>
      <w:bookmarkStart w:id="308" w:name="_Ref308455908"/>
    </w:p>
    <w:p w:rsidR="00F40DAE" w:rsidRDefault="00411AFE" w:rsidP="00440341">
      <w:pPr>
        <w:pStyle w:val="Para1"/>
        <w:numPr>
          <w:ilvl w:val="1"/>
          <w:numId w:val="42"/>
        </w:numPr>
        <w:tabs>
          <w:tab w:val="num" w:pos="1134"/>
        </w:tabs>
      </w:pPr>
      <w:bookmarkStart w:id="309" w:name="_Ref327199017"/>
      <w:r w:rsidRPr="006441E4">
        <w:t>A</w:t>
      </w:r>
      <w:r w:rsidR="003A7552" w:rsidRPr="006441E4">
        <w:t xml:space="preserve">n evaluation and comparison of the results of the asset management maturity assessment disclosed in the Report </w:t>
      </w:r>
      <w:r w:rsidR="00A11564">
        <w:t xml:space="preserve">on Asset </w:t>
      </w:r>
      <w:r w:rsidR="0021422E">
        <w:t xml:space="preserve">Management </w:t>
      </w:r>
      <w:r w:rsidR="00A11564">
        <w:t xml:space="preserve">Maturity </w:t>
      </w:r>
      <w:r w:rsidR="003A7552" w:rsidRPr="006441E4">
        <w:t>set out in Schedule 1</w:t>
      </w:r>
      <w:r w:rsidR="00A11564">
        <w:t>3</w:t>
      </w:r>
      <w:r w:rsidR="003A7552" w:rsidRPr="006441E4">
        <w:t xml:space="preserve"> against relevant objectives of the </w:t>
      </w:r>
      <w:r w:rsidR="0039125D" w:rsidRPr="002C1DB4">
        <w:rPr>
          <w:b/>
        </w:rPr>
        <w:t>GTB</w:t>
      </w:r>
      <w:r w:rsidR="003A7552" w:rsidRPr="006441E4">
        <w:t>’s asset management and planning processes</w:t>
      </w:r>
      <w:bookmarkEnd w:id="308"/>
      <w:r w:rsidR="00B47F0C">
        <w:t>;</w:t>
      </w:r>
      <w:bookmarkEnd w:id="309"/>
    </w:p>
    <w:p w:rsidR="003A7552" w:rsidRPr="006441E4" w:rsidRDefault="00411AFE" w:rsidP="00440341">
      <w:pPr>
        <w:pStyle w:val="Para1"/>
        <w:numPr>
          <w:ilvl w:val="1"/>
          <w:numId w:val="42"/>
        </w:numPr>
        <w:tabs>
          <w:tab w:val="num" w:pos="1134"/>
        </w:tabs>
      </w:pPr>
      <w:r w:rsidRPr="006441E4">
        <w:t>A</w:t>
      </w:r>
      <w:r w:rsidR="003A7552" w:rsidRPr="006441E4">
        <w:t xml:space="preserve">n analysis of gaps identified in </w:t>
      </w:r>
      <w:proofErr w:type="spellStart"/>
      <w:r w:rsidR="003A7552" w:rsidRPr="006441E4">
        <w:t>subclause</w:t>
      </w:r>
      <w:r w:rsidR="0039125D" w:rsidRPr="006441E4">
        <w:t>s</w:t>
      </w:r>
      <w:proofErr w:type="spellEnd"/>
      <w:r w:rsidR="003A7552" w:rsidRPr="006441E4">
        <w:t xml:space="preserve"> </w:t>
      </w:r>
      <w:r w:rsidR="0033518E">
        <w:fldChar w:fldCharType="begin"/>
      </w:r>
      <w:r w:rsidR="00376614">
        <w:instrText xml:space="preserve"> REF  _Ref327198997 \h \w </w:instrText>
      </w:r>
      <w:r w:rsidR="0033518E">
        <w:fldChar w:fldCharType="separate"/>
      </w:r>
      <w:r w:rsidR="00B06C04">
        <w:t>21.2</w:t>
      </w:r>
      <w:r w:rsidR="0033518E">
        <w:fldChar w:fldCharType="end"/>
      </w:r>
      <w:r w:rsidR="003A7552" w:rsidRPr="006441E4">
        <w:t xml:space="preserve"> and </w:t>
      </w:r>
      <w:r w:rsidR="0033518E">
        <w:fldChar w:fldCharType="begin"/>
      </w:r>
      <w:r w:rsidR="00B47F0C">
        <w:instrText xml:space="preserve"> REF _Ref327199017 \r \h </w:instrText>
      </w:r>
      <w:r w:rsidR="0033518E">
        <w:fldChar w:fldCharType="separate"/>
      </w:r>
      <w:r w:rsidR="00B06C04">
        <w:t>21.3</w:t>
      </w:r>
      <w:r w:rsidR="0033518E">
        <w:fldChar w:fldCharType="end"/>
      </w:r>
      <w:r w:rsidR="003A7552" w:rsidRPr="006441E4">
        <w:t xml:space="preserve"> </w:t>
      </w:r>
      <w:r w:rsidR="00A11564">
        <w:t>above</w:t>
      </w:r>
      <w:r w:rsidR="003517CB">
        <w:t xml:space="preserve">. </w:t>
      </w:r>
      <w:r w:rsidR="003A7552" w:rsidRPr="006441E4">
        <w:t xml:space="preserve">Where significant gaps exist (not caused by one-off factors), the </w:t>
      </w:r>
      <w:r w:rsidR="003A7552" w:rsidRPr="002C1DB4">
        <w:t>AMP</w:t>
      </w:r>
      <w:r w:rsidR="003A7552" w:rsidRPr="006441E4">
        <w:t xml:space="preserve"> must describe any planned initiatives to address the situation.</w:t>
      </w:r>
    </w:p>
    <w:p w:rsidR="003517CB" w:rsidRDefault="00F86836" w:rsidP="003A7552">
      <w:pPr>
        <w:pStyle w:val="Heading3"/>
        <w:rPr>
          <w:i w:val="0"/>
          <w:u w:val="single"/>
        </w:rPr>
      </w:pPr>
      <w:r w:rsidRPr="00F86836">
        <w:rPr>
          <w:i w:val="0"/>
          <w:u w:val="single"/>
        </w:rPr>
        <w:t>Capability to deliver</w:t>
      </w:r>
    </w:p>
    <w:p w:rsidR="003517CB" w:rsidRDefault="003A7552" w:rsidP="00440341">
      <w:pPr>
        <w:pStyle w:val="Para1"/>
        <w:numPr>
          <w:ilvl w:val="0"/>
          <w:numId w:val="42"/>
        </w:numPr>
      </w:pPr>
      <w:r w:rsidRPr="006441E4">
        <w:rPr>
          <w:b/>
        </w:rPr>
        <w:t>AMP</w:t>
      </w:r>
      <w:r w:rsidRPr="006441E4">
        <w:t xml:space="preserve">s must describe the processes used by the </w:t>
      </w:r>
      <w:r w:rsidR="00411AFE" w:rsidRPr="006441E4">
        <w:rPr>
          <w:b/>
        </w:rPr>
        <w:t>GTB</w:t>
      </w:r>
      <w:r w:rsidRPr="006441E4">
        <w:t xml:space="preserve"> to ensure that</w:t>
      </w:r>
    </w:p>
    <w:p w:rsidR="00A21F68" w:rsidRPr="006441E4" w:rsidRDefault="00411AFE" w:rsidP="00440341">
      <w:pPr>
        <w:pStyle w:val="Para1"/>
        <w:numPr>
          <w:ilvl w:val="1"/>
          <w:numId w:val="42"/>
        </w:numPr>
      </w:pPr>
      <w:r w:rsidRPr="006441E4">
        <w:t>T</w:t>
      </w:r>
      <w:r w:rsidR="003A7552" w:rsidRPr="006441E4">
        <w:t xml:space="preserve">he </w:t>
      </w:r>
      <w:r w:rsidR="003A7552" w:rsidRPr="006441E4">
        <w:rPr>
          <w:b/>
        </w:rPr>
        <w:t>AMP</w:t>
      </w:r>
      <w:r w:rsidR="003A7552" w:rsidRPr="006441E4">
        <w:t xml:space="preserve"> is realistic and the objectives set out in the plan can be achieved;</w:t>
      </w:r>
    </w:p>
    <w:p w:rsidR="003517CB" w:rsidRDefault="00411AFE" w:rsidP="00440341">
      <w:pPr>
        <w:pStyle w:val="Para1"/>
        <w:numPr>
          <w:ilvl w:val="1"/>
          <w:numId w:val="42"/>
        </w:numPr>
      </w:pPr>
      <w:r w:rsidRPr="006441E4">
        <w:t>T</w:t>
      </w:r>
      <w:r w:rsidR="003A7552" w:rsidRPr="006441E4">
        <w:t xml:space="preserve">he organisation structure and the processes for authorisation and business capabilities will support the implementation of the </w:t>
      </w:r>
      <w:r w:rsidR="003A7552" w:rsidRPr="006441E4">
        <w:rPr>
          <w:b/>
        </w:rPr>
        <w:t>AMP</w:t>
      </w:r>
      <w:r w:rsidR="003A7552" w:rsidRPr="006441E4">
        <w:t xml:space="preserve"> plans.</w:t>
      </w:r>
    </w:p>
    <w:p w:rsidR="006422AD" w:rsidRDefault="006422AD" w:rsidP="003A7552">
      <w:pPr>
        <w:pStyle w:val="SchHead6ClausesubtextL2"/>
        <w:ind w:left="709"/>
      </w:pPr>
      <w:bookmarkStart w:id="310" w:name="_Toc310798049"/>
      <w:bookmarkStart w:id="311" w:name="_Toc310842171"/>
      <w:bookmarkStart w:id="312" w:name="_Toc310881619"/>
      <w:bookmarkStart w:id="313" w:name="_Toc310884687"/>
      <w:bookmarkStart w:id="314" w:name="_Toc310888432"/>
      <w:bookmarkStart w:id="315" w:name="_Toc310795745"/>
      <w:bookmarkStart w:id="316" w:name="_Toc310798050"/>
      <w:bookmarkStart w:id="317" w:name="_Toc310842172"/>
      <w:bookmarkStart w:id="318" w:name="_Toc310881620"/>
      <w:bookmarkStart w:id="319" w:name="_Toc310884688"/>
      <w:bookmarkStart w:id="320" w:name="_Toc310888433"/>
      <w:bookmarkStart w:id="321" w:name="_Toc310795746"/>
      <w:bookmarkStart w:id="322" w:name="_Toc310798051"/>
      <w:bookmarkStart w:id="323" w:name="_Toc310842173"/>
      <w:bookmarkStart w:id="324" w:name="_Toc310881621"/>
      <w:bookmarkStart w:id="325" w:name="_Toc310884689"/>
      <w:bookmarkStart w:id="326" w:name="_Toc310888434"/>
      <w:bookmarkStart w:id="327" w:name="_Toc310795747"/>
      <w:bookmarkStart w:id="328" w:name="_Toc310798052"/>
      <w:bookmarkStart w:id="329" w:name="_Toc310842174"/>
      <w:bookmarkStart w:id="330" w:name="_Toc310881622"/>
      <w:bookmarkStart w:id="331" w:name="_Toc310884690"/>
      <w:bookmarkStart w:id="332" w:name="_Toc310888435"/>
      <w:bookmarkStart w:id="333" w:name="_Toc310795748"/>
      <w:bookmarkStart w:id="334" w:name="_Toc310798053"/>
      <w:bookmarkStart w:id="335" w:name="_Toc310842175"/>
      <w:bookmarkStart w:id="336" w:name="_Toc310881623"/>
      <w:bookmarkStart w:id="337" w:name="_Toc310884691"/>
      <w:bookmarkStart w:id="338" w:name="_Toc310888436"/>
      <w:bookmarkStart w:id="339" w:name="_Toc310795749"/>
      <w:bookmarkStart w:id="340" w:name="_Toc310798054"/>
      <w:bookmarkStart w:id="341" w:name="_Toc310842176"/>
      <w:bookmarkStart w:id="342" w:name="_Toc310881624"/>
      <w:bookmarkStart w:id="343" w:name="_Toc310884692"/>
      <w:bookmarkStart w:id="344" w:name="_Toc310888437"/>
      <w:bookmarkStart w:id="345" w:name="_Toc310795750"/>
      <w:bookmarkStart w:id="346" w:name="_Toc310798055"/>
      <w:bookmarkStart w:id="347" w:name="_Toc310842177"/>
      <w:bookmarkStart w:id="348" w:name="_Toc310881625"/>
      <w:bookmarkStart w:id="349" w:name="_Toc310884693"/>
      <w:bookmarkStart w:id="350" w:name="_Toc310888438"/>
      <w:bookmarkStart w:id="351" w:name="_Toc310795751"/>
      <w:bookmarkStart w:id="352" w:name="_Toc310798056"/>
      <w:bookmarkStart w:id="353" w:name="_Toc310842178"/>
      <w:bookmarkStart w:id="354" w:name="_Toc310881626"/>
      <w:bookmarkStart w:id="355" w:name="_Toc310884694"/>
      <w:bookmarkStart w:id="356" w:name="_Toc310888439"/>
      <w:bookmarkStart w:id="357" w:name="_Toc310795752"/>
      <w:bookmarkStart w:id="358" w:name="_Toc310798057"/>
      <w:bookmarkStart w:id="359" w:name="_Toc310842179"/>
      <w:bookmarkStart w:id="360" w:name="_Toc310881627"/>
      <w:bookmarkStart w:id="361" w:name="_Toc310884695"/>
      <w:bookmarkStart w:id="362" w:name="_Toc310888440"/>
      <w:bookmarkStart w:id="363" w:name="_Toc310795753"/>
      <w:bookmarkStart w:id="364" w:name="_Toc310798058"/>
      <w:bookmarkStart w:id="365" w:name="_Toc310842180"/>
      <w:bookmarkStart w:id="366" w:name="_Toc310881628"/>
      <w:bookmarkStart w:id="367" w:name="_Toc310884696"/>
      <w:bookmarkStart w:id="368" w:name="_Toc310888441"/>
      <w:bookmarkStart w:id="369" w:name="_Toc310795754"/>
      <w:bookmarkStart w:id="370" w:name="_Toc310798059"/>
      <w:bookmarkStart w:id="371" w:name="_Toc310842181"/>
      <w:bookmarkStart w:id="372" w:name="_Toc310881629"/>
      <w:bookmarkStart w:id="373" w:name="_Toc310884697"/>
      <w:bookmarkStart w:id="374" w:name="_Toc310888442"/>
      <w:bookmarkStart w:id="375" w:name="_Toc310795755"/>
      <w:bookmarkStart w:id="376" w:name="_Toc310798060"/>
      <w:bookmarkStart w:id="377" w:name="_Toc310842182"/>
      <w:bookmarkStart w:id="378" w:name="_Toc310881630"/>
      <w:bookmarkStart w:id="379" w:name="_Toc310884698"/>
      <w:bookmarkStart w:id="380" w:name="_Toc310888443"/>
      <w:bookmarkStart w:id="381" w:name="_Toc310795756"/>
      <w:bookmarkStart w:id="382" w:name="_Toc310798061"/>
      <w:bookmarkStart w:id="383" w:name="_Toc310842183"/>
      <w:bookmarkStart w:id="384" w:name="_Toc310881631"/>
      <w:bookmarkStart w:id="385" w:name="_Toc310884699"/>
      <w:bookmarkStart w:id="386" w:name="_Toc310888444"/>
      <w:bookmarkStart w:id="387" w:name="_Toc310795757"/>
      <w:bookmarkStart w:id="388" w:name="_Toc310798062"/>
      <w:bookmarkStart w:id="389" w:name="_Toc310842184"/>
      <w:bookmarkStart w:id="390" w:name="_Toc310881632"/>
      <w:bookmarkStart w:id="391" w:name="_Toc310884700"/>
      <w:bookmarkStart w:id="392" w:name="_Toc310888445"/>
      <w:bookmarkStart w:id="393" w:name="_Toc310795758"/>
      <w:bookmarkStart w:id="394" w:name="_Toc310798063"/>
      <w:bookmarkStart w:id="395" w:name="_Toc310842185"/>
      <w:bookmarkStart w:id="396" w:name="_Toc310881633"/>
      <w:bookmarkStart w:id="397" w:name="_Toc310884701"/>
      <w:bookmarkStart w:id="398" w:name="_Toc310888446"/>
      <w:bookmarkStart w:id="399" w:name="_Toc310795759"/>
      <w:bookmarkStart w:id="400" w:name="_Toc310798064"/>
      <w:bookmarkStart w:id="401" w:name="_Toc310842186"/>
      <w:bookmarkStart w:id="402" w:name="_Toc310881634"/>
      <w:bookmarkStart w:id="403" w:name="_Toc310884702"/>
      <w:bookmarkStart w:id="404" w:name="_Toc310888447"/>
      <w:bookmarkStart w:id="405" w:name="_Toc310795760"/>
      <w:bookmarkStart w:id="406" w:name="_Toc310798065"/>
      <w:bookmarkStart w:id="407" w:name="_Toc310842187"/>
      <w:bookmarkStart w:id="408" w:name="_Toc310881635"/>
      <w:bookmarkStart w:id="409" w:name="_Toc310884703"/>
      <w:bookmarkStart w:id="410" w:name="_Toc310888448"/>
      <w:bookmarkStart w:id="411" w:name="_Toc310795761"/>
      <w:bookmarkStart w:id="412" w:name="_Toc310798066"/>
      <w:bookmarkStart w:id="413" w:name="_Toc310842188"/>
      <w:bookmarkStart w:id="414" w:name="_Toc310881636"/>
      <w:bookmarkStart w:id="415" w:name="_Toc310884704"/>
      <w:bookmarkStart w:id="416" w:name="_Toc310888449"/>
      <w:bookmarkStart w:id="417" w:name="_Toc310795762"/>
      <w:bookmarkStart w:id="418" w:name="_Toc310798067"/>
      <w:bookmarkStart w:id="419" w:name="_Toc310842189"/>
      <w:bookmarkStart w:id="420" w:name="_Toc310881637"/>
      <w:bookmarkStart w:id="421" w:name="_Toc310884705"/>
      <w:bookmarkStart w:id="422" w:name="_Toc310888450"/>
      <w:bookmarkStart w:id="423" w:name="_Toc310795763"/>
      <w:bookmarkStart w:id="424" w:name="_Toc310798068"/>
      <w:bookmarkStart w:id="425" w:name="_Toc310842190"/>
      <w:bookmarkStart w:id="426" w:name="_Toc310881638"/>
      <w:bookmarkStart w:id="427" w:name="_Toc310884706"/>
      <w:bookmarkStart w:id="428" w:name="_Toc310888451"/>
      <w:bookmarkStart w:id="429" w:name="_Toc310795764"/>
      <w:bookmarkStart w:id="430" w:name="_Toc310798069"/>
      <w:bookmarkStart w:id="431" w:name="_Toc310842191"/>
      <w:bookmarkStart w:id="432" w:name="_Toc310881639"/>
      <w:bookmarkStart w:id="433" w:name="_Toc310884707"/>
      <w:bookmarkStart w:id="434" w:name="_Toc310888452"/>
      <w:bookmarkStart w:id="435" w:name="_Toc310795765"/>
      <w:bookmarkStart w:id="436" w:name="_Toc310798070"/>
      <w:bookmarkStart w:id="437" w:name="_Toc310842192"/>
      <w:bookmarkStart w:id="438" w:name="_Toc310881640"/>
      <w:bookmarkStart w:id="439" w:name="_Toc310884708"/>
      <w:bookmarkStart w:id="440" w:name="_Toc310888453"/>
      <w:bookmarkStart w:id="441" w:name="_Toc310795766"/>
      <w:bookmarkStart w:id="442" w:name="_Toc310798071"/>
      <w:bookmarkStart w:id="443" w:name="_Toc310842193"/>
      <w:bookmarkStart w:id="444" w:name="_Toc310881641"/>
      <w:bookmarkStart w:id="445" w:name="_Toc310884709"/>
      <w:bookmarkStart w:id="446" w:name="_Toc310888454"/>
      <w:bookmarkStart w:id="447" w:name="_Toc310795767"/>
      <w:bookmarkStart w:id="448" w:name="_Toc310798072"/>
      <w:bookmarkStart w:id="449" w:name="_Toc310842194"/>
      <w:bookmarkStart w:id="450" w:name="_Toc310881642"/>
      <w:bookmarkStart w:id="451" w:name="_Toc310884710"/>
      <w:bookmarkStart w:id="452" w:name="_Toc310888455"/>
      <w:bookmarkStart w:id="453" w:name="_Toc310795768"/>
      <w:bookmarkStart w:id="454" w:name="_Toc310798073"/>
      <w:bookmarkStart w:id="455" w:name="_Toc310842195"/>
      <w:bookmarkStart w:id="456" w:name="_Toc310881643"/>
      <w:bookmarkStart w:id="457" w:name="_Toc310884711"/>
      <w:bookmarkStart w:id="458" w:name="_Toc310888456"/>
      <w:bookmarkStart w:id="459" w:name="_Toc310795769"/>
      <w:bookmarkStart w:id="460" w:name="_Toc310798074"/>
      <w:bookmarkStart w:id="461" w:name="_Toc310842196"/>
      <w:bookmarkStart w:id="462" w:name="_Toc310881644"/>
      <w:bookmarkStart w:id="463" w:name="_Toc310884712"/>
      <w:bookmarkStart w:id="464" w:name="_Toc310888457"/>
      <w:bookmarkStart w:id="465" w:name="_Toc310795770"/>
      <w:bookmarkStart w:id="466" w:name="_Toc310798075"/>
      <w:bookmarkStart w:id="467" w:name="_Toc310842197"/>
      <w:bookmarkStart w:id="468" w:name="_Toc310881645"/>
      <w:bookmarkStart w:id="469" w:name="_Toc310884713"/>
      <w:bookmarkStart w:id="470" w:name="_Toc310888458"/>
      <w:bookmarkStart w:id="471" w:name="_Toc310795771"/>
      <w:bookmarkStart w:id="472" w:name="_Toc310798076"/>
      <w:bookmarkStart w:id="473" w:name="_Toc310842198"/>
      <w:bookmarkStart w:id="474" w:name="_Toc310881646"/>
      <w:bookmarkStart w:id="475" w:name="_Toc310884714"/>
      <w:bookmarkStart w:id="476" w:name="_Toc310888459"/>
      <w:bookmarkStart w:id="477" w:name="_Toc310795772"/>
      <w:bookmarkStart w:id="478" w:name="_Toc310798077"/>
      <w:bookmarkStart w:id="479" w:name="_Toc310842199"/>
      <w:bookmarkStart w:id="480" w:name="_Toc310881647"/>
      <w:bookmarkStart w:id="481" w:name="_Toc310884715"/>
      <w:bookmarkStart w:id="482" w:name="_Toc310888460"/>
      <w:bookmarkStart w:id="483" w:name="_Toc310795773"/>
      <w:bookmarkStart w:id="484" w:name="_Toc310798078"/>
      <w:bookmarkStart w:id="485" w:name="_Toc310842200"/>
      <w:bookmarkStart w:id="486" w:name="_Toc310881648"/>
      <w:bookmarkStart w:id="487" w:name="_Toc310884716"/>
      <w:bookmarkStart w:id="488" w:name="_Toc310888461"/>
      <w:bookmarkStart w:id="489" w:name="_Toc310795774"/>
      <w:bookmarkStart w:id="490" w:name="_Toc310798079"/>
      <w:bookmarkStart w:id="491" w:name="_Toc310842201"/>
      <w:bookmarkStart w:id="492" w:name="_Toc310881649"/>
      <w:bookmarkStart w:id="493" w:name="_Toc310884717"/>
      <w:bookmarkStart w:id="494" w:name="_Toc310888462"/>
      <w:bookmarkStart w:id="495" w:name="_Toc310795775"/>
      <w:bookmarkStart w:id="496" w:name="_Toc310798080"/>
      <w:bookmarkStart w:id="497" w:name="_Toc310842202"/>
      <w:bookmarkStart w:id="498" w:name="_Toc310881650"/>
      <w:bookmarkStart w:id="499" w:name="_Toc310884718"/>
      <w:bookmarkStart w:id="500" w:name="_Toc310888463"/>
      <w:bookmarkStart w:id="501" w:name="_Toc310795776"/>
      <w:bookmarkStart w:id="502" w:name="_Toc310798081"/>
      <w:bookmarkStart w:id="503" w:name="_Toc310842203"/>
      <w:bookmarkStart w:id="504" w:name="_Toc310881651"/>
      <w:bookmarkStart w:id="505" w:name="_Toc310884719"/>
      <w:bookmarkStart w:id="506" w:name="_Toc310888464"/>
      <w:bookmarkStart w:id="507" w:name="_Toc310795777"/>
      <w:bookmarkStart w:id="508" w:name="_Toc310798082"/>
      <w:bookmarkStart w:id="509" w:name="_Toc310842204"/>
      <w:bookmarkStart w:id="510" w:name="_Toc310881652"/>
      <w:bookmarkStart w:id="511" w:name="_Toc310884720"/>
      <w:bookmarkStart w:id="512" w:name="_Toc310888465"/>
      <w:bookmarkStart w:id="513" w:name="_Toc310795778"/>
      <w:bookmarkStart w:id="514" w:name="_Toc310798083"/>
      <w:bookmarkStart w:id="515" w:name="_Toc310842205"/>
      <w:bookmarkStart w:id="516" w:name="_Toc310881653"/>
      <w:bookmarkStart w:id="517" w:name="_Toc310884721"/>
      <w:bookmarkStart w:id="518" w:name="_Toc310888466"/>
      <w:bookmarkStart w:id="519" w:name="_Toc310795779"/>
      <w:bookmarkStart w:id="520" w:name="_Toc310798084"/>
      <w:bookmarkStart w:id="521" w:name="_Toc310842206"/>
      <w:bookmarkStart w:id="522" w:name="_Toc310881654"/>
      <w:bookmarkStart w:id="523" w:name="_Toc310884722"/>
      <w:bookmarkStart w:id="524" w:name="_Toc310888467"/>
      <w:bookmarkStart w:id="525" w:name="_Toc310795780"/>
      <w:bookmarkStart w:id="526" w:name="_Toc310798085"/>
      <w:bookmarkStart w:id="527" w:name="_Toc310842207"/>
      <w:bookmarkStart w:id="528" w:name="_Toc310881655"/>
      <w:bookmarkStart w:id="529" w:name="_Toc310884723"/>
      <w:bookmarkStart w:id="530" w:name="_Toc310888468"/>
      <w:bookmarkStart w:id="531" w:name="_Toc310795781"/>
      <w:bookmarkStart w:id="532" w:name="_Toc310798086"/>
      <w:bookmarkStart w:id="533" w:name="_Toc310842208"/>
      <w:bookmarkStart w:id="534" w:name="_Toc310881656"/>
      <w:bookmarkStart w:id="535" w:name="_Toc310884724"/>
      <w:bookmarkStart w:id="536" w:name="_Toc310888469"/>
      <w:bookmarkStart w:id="537" w:name="_Toc310795782"/>
      <w:bookmarkStart w:id="538" w:name="_Toc310798087"/>
      <w:bookmarkStart w:id="539" w:name="_Toc310842209"/>
      <w:bookmarkStart w:id="540" w:name="_Toc310881657"/>
      <w:bookmarkStart w:id="541" w:name="_Toc310884725"/>
      <w:bookmarkStart w:id="542" w:name="_Toc310888470"/>
      <w:bookmarkStart w:id="543" w:name="_Toc310795783"/>
      <w:bookmarkStart w:id="544" w:name="_Toc310798088"/>
      <w:bookmarkStart w:id="545" w:name="_Toc310842210"/>
      <w:bookmarkStart w:id="546" w:name="_Toc310881658"/>
      <w:bookmarkStart w:id="547" w:name="_Toc310884726"/>
      <w:bookmarkStart w:id="548" w:name="_Toc310888471"/>
      <w:bookmarkStart w:id="549" w:name="_Toc310798089"/>
      <w:bookmarkStart w:id="550" w:name="_Toc310842211"/>
      <w:bookmarkStart w:id="551" w:name="_Toc310881659"/>
      <w:bookmarkStart w:id="552" w:name="_Toc310884727"/>
      <w:bookmarkStart w:id="553" w:name="_Toc310888472"/>
      <w:bookmarkStart w:id="554" w:name="_Toc310798090"/>
      <w:bookmarkStart w:id="555" w:name="_Toc310842212"/>
      <w:bookmarkStart w:id="556" w:name="_Toc310881660"/>
      <w:bookmarkStart w:id="557" w:name="_Toc310884728"/>
      <w:bookmarkStart w:id="558" w:name="_Toc310888473"/>
      <w:bookmarkStart w:id="559" w:name="_Toc310798091"/>
      <w:bookmarkStart w:id="560" w:name="_Toc310842213"/>
      <w:bookmarkStart w:id="561" w:name="_Toc310881661"/>
      <w:bookmarkStart w:id="562" w:name="_Toc310884729"/>
      <w:bookmarkStart w:id="563" w:name="_Toc310888474"/>
      <w:bookmarkStart w:id="564" w:name="_Toc310798092"/>
      <w:bookmarkStart w:id="565" w:name="_Toc310842214"/>
      <w:bookmarkStart w:id="566" w:name="_Toc310881662"/>
      <w:bookmarkStart w:id="567" w:name="_Toc310884730"/>
      <w:bookmarkStart w:id="568" w:name="_Toc310888475"/>
      <w:bookmarkStart w:id="569" w:name="_Toc310798093"/>
      <w:bookmarkStart w:id="570" w:name="_Toc310842215"/>
      <w:bookmarkStart w:id="571" w:name="_Toc310881663"/>
      <w:bookmarkStart w:id="572" w:name="_Toc310884731"/>
      <w:bookmarkStart w:id="573" w:name="_Toc310888476"/>
      <w:bookmarkStart w:id="574" w:name="_Toc310798094"/>
      <w:bookmarkStart w:id="575" w:name="_Toc310842216"/>
      <w:bookmarkStart w:id="576" w:name="_Toc310881664"/>
      <w:bookmarkStart w:id="577" w:name="_Toc310884732"/>
      <w:bookmarkStart w:id="578" w:name="_Toc310888477"/>
      <w:bookmarkStart w:id="579" w:name="_Toc310798095"/>
      <w:bookmarkStart w:id="580" w:name="_Toc310842217"/>
      <w:bookmarkStart w:id="581" w:name="_Toc310881665"/>
      <w:bookmarkStart w:id="582" w:name="_Toc310884733"/>
      <w:bookmarkStart w:id="583" w:name="_Toc310888478"/>
      <w:bookmarkStart w:id="584" w:name="_Toc310798096"/>
      <w:bookmarkStart w:id="585" w:name="_Toc310842218"/>
      <w:bookmarkStart w:id="586" w:name="_Toc310881666"/>
      <w:bookmarkStart w:id="587" w:name="_Toc310884734"/>
      <w:bookmarkStart w:id="588" w:name="_Toc310888479"/>
      <w:bookmarkStart w:id="589" w:name="_Toc310798097"/>
      <w:bookmarkStart w:id="590" w:name="_Toc310842219"/>
      <w:bookmarkStart w:id="591" w:name="_Toc310881667"/>
      <w:bookmarkStart w:id="592" w:name="_Toc310884735"/>
      <w:bookmarkStart w:id="593" w:name="_Toc310888480"/>
      <w:bookmarkStart w:id="594" w:name="_Toc310798098"/>
      <w:bookmarkStart w:id="595" w:name="_Toc310842220"/>
      <w:bookmarkStart w:id="596" w:name="_Toc310881668"/>
      <w:bookmarkStart w:id="597" w:name="_Toc310884736"/>
      <w:bookmarkStart w:id="598" w:name="_Toc310888481"/>
      <w:bookmarkStart w:id="599" w:name="_Toc310798099"/>
      <w:bookmarkStart w:id="600" w:name="_Toc310842221"/>
      <w:bookmarkStart w:id="601" w:name="_Toc310881669"/>
      <w:bookmarkStart w:id="602" w:name="_Toc310884737"/>
      <w:bookmarkStart w:id="603" w:name="_Toc310888482"/>
      <w:bookmarkStart w:id="604" w:name="_Toc310798100"/>
      <w:bookmarkStart w:id="605" w:name="_Toc310842222"/>
      <w:bookmarkStart w:id="606" w:name="_Toc310881670"/>
      <w:bookmarkStart w:id="607" w:name="_Toc310884738"/>
      <w:bookmarkStart w:id="608" w:name="_Toc310888483"/>
      <w:bookmarkStart w:id="609" w:name="_Toc310798101"/>
      <w:bookmarkStart w:id="610" w:name="_Toc310842223"/>
      <w:bookmarkStart w:id="611" w:name="_Toc310881671"/>
      <w:bookmarkStart w:id="612" w:name="_Toc310884739"/>
      <w:bookmarkStart w:id="613" w:name="_Toc310888484"/>
      <w:bookmarkStart w:id="614" w:name="_Toc310798102"/>
      <w:bookmarkStart w:id="615" w:name="_Toc310842224"/>
      <w:bookmarkStart w:id="616" w:name="_Toc310881672"/>
      <w:bookmarkStart w:id="617" w:name="_Toc310884740"/>
      <w:bookmarkStart w:id="618" w:name="_Toc310888485"/>
      <w:bookmarkStart w:id="619" w:name="_Toc310798103"/>
      <w:bookmarkStart w:id="620" w:name="_Toc310842225"/>
      <w:bookmarkStart w:id="621" w:name="_Toc310881673"/>
      <w:bookmarkStart w:id="622" w:name="_Toc310884741"/>
      <w:bookmarkStart w:id="623" w:name="_Toc310888486"/>
      <w:bookmarkStart w:id="624" w:name="_Toc310798104"/>
      <w:bookmarkStart w:id="625" w:name="_Toc310842226"/>
      <w:bookmarkStart w:id="626" w:name="_Toc310881674"/>
      <w:bookmarkStart w:id="627" w:name="_Toc310884742"/>
      <w:bookmarkStart w:id="628" w:name="_Toc310888487"/>
      <w:bookmarkStart w:id="629" w:name="_Toc310798105"/>
      <w:bookmarkStart w:id="630" w:name="_Toc310842227"/>
      <w:bookmarkStart w:id="631" w:name="_Toc310881675"/>
      <w:bookmarkStart w:id="632" w:name="_Toc310884743"/>
      <w:bookmarkStart w:id="633" w:name="_Toc310888488"/>
      <w:bookmarkStart w:id="634" w:name="_Toc310798106"/>
      <w:bookmarkStart w:id="635" w:name="_Toc310842228"/>
      <w:bookmarkStart w:id="636" w:name="_Toc310881676"/>
      <w:bookmarkStart w:id="637" w:name="_Toc310884744"/>
      <w:bookmarkStart w:id="638" w:name="_Toc310888489"/>
      <w:bookmarkStart w:id="639" w:name="_Toc310798107"/>
      <w:bookmarkStart w:id="640" w:name="_Toc310842229"/>
      <w:bookmarkStart w:id="641" w:name="_Toc310881677"/>
      <w:bookmarkStart w:id="642" w:name="_Toc310884745"/>
      <w:bookmarkStart w:id="643" w:name="_Toc310888490"/>
      <w:bookmarkStart w:id="644" w:name="_Toc310798108"/>
      <w:bookmarkStart w:id="645" w:name="_Toc310842230"/>
      <w:bookmarkStart w:id="646" w:name="_Toc310881678"/>
      <w:bookmarkStart w:id="647" w:name="_Toc310884746"/>
      <w:bookmarkStart w:id="648" w:name="_Toc310888491"/>
      <w:bookmarkStart w:id="649" w:name="_Toc310798109"/>
      <w:bookmarkStart w:id="650" w:name="_Toc310842231"/>
      <w:bookmarkStart w:id="651" w:name="_Toc310881679"/>
      <w:bookmarkStart w:id="652" w:name="_Toc310884747"/>
      <w:bookmarkStart w:id="653" w:name="_Toc310888492"/>
      <w:bookmarkStart w:id="654" w:name="_Toc310798110"/>
      <w:bookmarkStart w:id="655" w:name="_Toc310842232"/>
      <w:bookmarkStart w:id="656" w:name="_Toc310881680"/>
      <w:bookmarkStart w:id="657" w:name="_Toc310884748"/>
      <w:bookmarkStart w:id="658" w:name="_Toc310888493"/>
      <w:bookmarkStart w:id="659" w:name="_Toc310798111"/>
      <w:bookmarkStart w:id="660" w:name="_Toc310842233"/>
      <w:bookmarkStart w:id="661" w:name="_Toc310881681"/>
      <w:bookmarkStart w:id="662" w:name="_Toc310884749"/>
      <w:bookmarkStart w:id="663" w:name="_Toc310888494"/>
      <w:bookmarkStart w:id="664" w:name="_Toc310798112"/>
      <w:bookmarkStart w:id="665" w:name="_Toc310842234"/>
      <w:bookmarkStart w:id="666" w:name="_Toc310881682"/>
      <w:bookmarkStart w:id="667" w:name="_Toc310884750"/>
      <w:bookmarkStart w:id="668" w:name="_Toc310888495"/>
      <w:bookmarkStart w:id="669" w:name="_Toc310798113"/>
      <w:bookmarkStart w:id="670" w:name="_Toc310842235"/>
      <w:bookmarkStart w:id="671" w:name="_Toc310881683"/>
      <w:bookmarkStart w:id="672" w:name="_Toc310884751"/>
      <w:bookmarkStart w:id="673" w:name="_Toc310888496"/>
      <w:bookmarkStart w:id="674" w:name="_Toc310798114"/>
      <w:bookmarkStart w:id="675" w:name="_Toc310842236"/>
      <w:bookmarkStart w:id="676" w:name="_Toc310881684"/>
      <w:bookmarkStart w:id="677" w:name="_Toc310884752"/>
      <w:bookmarkStart w:id="678" w:name="_Toc310888497"/>
      <w:bookmarkStart w:id="679" w:name="_Toc310798115"/>
      <w:bookmarkStart w:id="680" w:name="_Toc310842237"/>
      <w:bookmarkStart w:id="681" w:name="_Toc310881685"/>
      <w:bookmarkStart w:id="682" w:name="_Toc310884753"/>
      <w:bookmarkStart w:id="683" w:name="_Toc310888498"/>
      <w:bookmarkStart w:id="684" w:name="_Toc310798116"/>
      <w:bookmarkStart w:id="685" w:name="_Toc310842238"/>
      <w:bookmarkStart w:id="686" w:name="_Toc310881686"/>
      <w:bookmarkStart w:id="687" w:name="_Toc310884754"/>
      <w:bookmarkStart w:id="688" w:name="_Toc310888499"/>
      <w:bookmarkStart w:id="689" w:name="_Toc310798117"/>
      <w:bookmarkStart w:id="690" w:name="_Toc310842239"/>
      <w:bookmarkStart w:id="691" w:name="_Toc310881687"/>
      <w:bookmarkStart w:id="692" w:name="_Toc310884755"/>
      <w:bookmarkStart w:id="693" w:name="_Toc310888500"/>
      <w:bookmarkStart w:id="694" w:name="_Toc310798118"/>
      <w:bookmarkStart w:id="695" w:name="_Toc310842240"/>
      <w:bookmarkStart w:id="696" w:name="_Toc310881688"/>
      <w:bookmarkStart w:id="697" w:name="_Toc310884756"/>
      <w:bookmarkStart w:id="698" w:name="_Toc310888501"/>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rsidR="006422AD" w:rsidRPr="006441E4" w:rsidRDefault="006422AD" w:rsidP="003A7552">
      <w:pPr>
        <w:pStyle w:val="SchHead6ClausesubtextL2"/>
        <w:ind w:left="709"/>
        <w:sectPr w:rsidR="006422AD" w:rsidRPr="006441E4" w:rsidSect="000A7887">
          <w:pgSz w:w="11907" w:h="16840" w:code="9"/>
          <w:pgMar w:top="1440" w:right="1800" w:bottom="1079" w:left="1800" w:header="706" w:footer="706" w:gutter="0"/>
          <w:cols w:space="708"/>
          <w:docGrid w:linePitch="360"/>
        </w:sectPr>
      </w:pPr>
    </w:p>
    <w:p w:rsidR="00AB2FA8" w:rsidRDefault="00AB2FA8" w:rsidP="00AB2FA8">
      <w:pPr>
        <w:pStyle w:val="Heading1"/>
        <w:spacing w:line="264" w:lineRule="auto"/>
        <w:jc w:val="center"/>
        <w:rPr>
          <w:noProof/>
          <w:lang w:eastAsia="en-NZ"/>
        </w:rPr>
      </w:pPr>
      <w:bookmarkStart w:id="699" w:name="_Toc328819657"/>
      <w:bookmarkStart w:id="700" w:name="_Toc329296370"/>
      <w:r>
        <w:t>Schedule 1</w:t>
      </w:r>
      <w:r>
        <w:tab/>
      </w:r>
      <w:r>
        <w:tab/>
        <w:t>Analytical Ratios</w:t>
      </w:r>
      <w:bookmarkEnd w:id="699"/>
      <w:bookmarkEnd w:id="700"/>
    </w:p>
    <w:p w:rsidR="00AB2FA8" w:rsidRDefault="00E5128B" w:rsidP="00AB2FA8">
      <w:pPr>
        <w:pStyle w:val="Singlespacedparagraph"/>
        <w:rPr>
          <w:lang w:eastAsia="en-NZ"/>
        </w:rPr>
      </w:pPr>
      <w:r>
        <w:rPr>
          <w:noProof/>
          <w:lang w:eastAsia="en-NZ"/>
        </w:rPr>
        <w:drawing>
          <wp:anchor distT="0" distB="0" distL="114300" distR="114300" simplePos="0" relativeHeight="251660288" behindDoc="0" locked="0" layoutInCell="1" allowOverlap="1">
            <wp:simplePos x="0" y="0"/>
            <wp:positionH relativeFrom="column">
              <wp:posOffset>-213360</wp:posOffset>
            </wp:positionH>
            <wp:positionV relativeFrom="paragraph">
              <wp:posOffset>127000</wp:posOffset>
            </wp:positionV>
            <wp:extent cx="6175375" cy="5995035"/>
            <wp:effectExtent l="19050" t="0" r="0" b="0"/>
            <wp:wrapSquare wrapText="bothSides"/>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srcRect/>
                    <a:stretch>
                      <a:fillRect/>
                    </a:stretch>
                  </pic:blipFill>
                  <pic:spPr bwMode="auto">
                    <a:xfrm>
                      <a:off x="0" y="0"/>
                      <a:ext cx="6175375" cy="5995035"/>
                    </a:xfrm>
                    <a:prstGeom prst="rect">
                      <a:avLst/>
                    </a:prstGeom>
                    <a:noFill/>
                    <a:ln w="9525">
                      <a:noFill/>
                      <a:miter lim="800000"/>
                      <a:headEnd/>
                      <a:tailEnd/>
                    </a:ln>
                  </pic:spPr>
                </pic:pic>
              </a:graphicData>
            </a:graphic>
          </wp:anchor>
        </w:drawing>
      </w:r>
    </w:p>
    <w:p w:rsidR="00AB2FA8" w:rsidRDefault="00AB2FA8" w:rsidP="00AB2FA8">
      <w:pPr>
        <w:rPr>
          <w:lang w:eastAsia="en-NZ"/>
        </w:rPr>
      </w:pPr>
    </w:p>
    <w:p w:rsidR="003B3FC9" w:rsidRDefault="003B3FC9" w:rsidP="00AB2FA8">
      <w:pPr>
        <w:rPr>
          <w:lang w:eastAsia="en-NZ"/>
        </w:rPr>
        <w:sectPr w:rsidR="003B3FC9">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01" w:name="_Toc329296371"/>
      <w:bookmarkStart w:id="702" w:name="_Toc328819658"/>
      <w:r>
        <w:t>Schedule 2</w:t>
      </w:r>
      <w:r>
        <w:tab/>
      </w:r>
      <w:r>
        <w:tab/>
      </w:r>
      <w:r w:rsidR="008D1AE2">
        <w:t xml:space="preserve">Comparison of Forecasts to Actual </w:t>
      </w:r>
      <w:r>
        <w:t>Expenditure</w:t>
      </w:r>
      <w:bookmarkEnd w:id="701"/>
      <w:r>
        <w:t xml:space="preserve"> </w:t>
      </w:r>
      <w:bookmarkEnd w:id="702"/>
    </w:p>
    <w:p w:rsidR="00AB2FA8" w:rsidRDefault="00E5128B" w:rsidP="00AB2FA8">
      <w:pPr>
        <w:pStyle w:val="Singlespacedparagraph"/>
      </w:pPr>
      <w:r>
        <w:rPr>
          <w:noProof/>
          <w:lang w:eastAsia="en-NZ"/>
        </w:rPr>
        <w:drawing>
          <wp:anchor distT="0" distB="0" distL="114300" distR="114300" simplePos="0" relativeHeight="251661312" behindDoc="0" locked="0" layoutInCell="1" allowOverlap="1">
            <wp:simplePos x="0" y="0"/>
            <wp:positionH relativeFrom="column">
              <wp:posOffset>-65405</wp:posOffset>
            </wp:positionH>
            <wp:positionV relativeFrom="paragraph">
              <wp:posOffset>544830</wp:posOffset>
            </wp:positionV>
            <wp:extent cx="5965825" cy="7023735"/>
            <wp:effectExtent l="1905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srcRect/>
                    <a:stretch>
                      <a:fillRect/>
                    </a:stretch>
                  </pic:blipFill>
                  <pic:spPr bwMode="auto">
                    <a:xfrm>
                      <a:off x="0" y="0"/>
                      <a:ext cx="5965825" cy="7023735"/>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4D1973" w:rsidP="004D1973">
      <w:pPr>
        <w:pStyle w:val="Heading1"/>
        <w:spacing w:line="264" w:lineRule="auto"/>
        <w:jc w:val="center"/>
      </w:pPr>
      <w:bookmarkStart w:id="703" w:name="_Toc328819659"/>
      <w:r>
        <w:rPr>
          <w:noProof/>
          <w:lang w:eastAsia="en-NZ"/>
        </w:rPr>
        <w:drawing>
          <wp:anchor distT="0" distB="0" distL="114300" distR="114300" simplePos="0" relativeHeight="251671552" behindDoc="0" locked="0" layoutInCell="1" allowOverlap="1">
            <wp:simplePos x="0" y="0"/>
            <wp:positionH relativeFrom="column">
              <wp:posOffset>74295</wp:posOffset>
            </wp:positionH>
            <wp:positionV relativeFrom="paragraph">
              <wp:posOffset>554990</wp:posOffset>
            </wp:positionV>
            <wp:extent cx="5827395" cy="6663690"/>
            <wp:effectExtent l="19050" t="0" r="190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srcRect/>
                    <a:stretch>
                      <a:fillRect/>
                    </a:stretch>
                  </pic:blipFill>
                  <pic:spPr bwMode="auto">
                    <a:xfrm>
                      <a:off x="0" y="0"/>
                      <a:ext cx="5827395" cy="6663690"/>
                    </a:xfrm>
                    <a:prstGeom prst="rect">
                      <a:avLst/>
                    </a:prstGeom>
                    <a:noFill/>
                    <a:ln w="9525">
                      <a:noFill/>
                      <a:miter lim="800000"/>
                      <a:headEnd/>
                      <a:tailEnd/>
                    </a:ln>
                  </pic:spPr>
                </pic:pic>
              </a:graphicData>
            </a:graphic>
          </wp:anchor>
        </w:drawing>
      </w:r>
      <w:bookmarkStart w:id="704" w:name="_Toc329296372"/>
      <w:r w:rsidR="00AB2FA8">
        <w:t>Schedule 3</w:t>
      </w:r>
      <w:r w:rsidR="00AB2FA8">
        <w:tab/>
      </w:r>
      <w:r w:rsidR="00AB2FA8">
        <w:tab/>
        <w:t>Report on Return on Investment</w:t>
      </w:r>
      <w:bookmarkEnd w:id="703"/>
      <w:bookmarkEnd w:id="704"/>
    </w:p>
    <w:p w:rsidR="00AB2FA8" w:rsidRDefault="00AB2FA8" w:rsidP="00AB2FA8">
      <w:pPr>
        <w:sectPr w:rsidR="00AB2FA8">
          <w:pgSz w:w="11907" w:h="16840"/>
          <w:pgMar w:top="1440" w:right="1440" w:bottom="1440" w:left="1440" w:header="1134" w:footer="431" w:gutter="0"/>
          <w:cols w:space="720"/>
        </w:sectPr>
      </w:pPr>
    </w:p>
    <w:p w:rsidR="00BA791F" w:rsidRDefault="00BA791F" w:rsidP="00BA791F">
      <w:pPr>
        <w:pStyle w:val="BodyText"/>
        <w:rPr>
          <w:sz w:val="28"/>
        </w:rPr>
      </w:pPr>
      <w:bookmarkStart w:id="705" w:name="_Toc328819660"/>
      <w:r w:rsidRPr="00BA791F">
        <w:rPr>
          <w:noProof/>
          <w:lang w:eastAsia="en-NZ"/>
        </w:rPr>
        <w:drawing>
          <wp:anchor distT="0" distB="0" distL="114300" distR="114300" simplePos="0" relativeHeight="251663360" behindDoc="0" locked="0" layoutInCell="1" allowOverlap="1">
            <wp:simplePos x="0" y="0"/>
            <wp:positionH relativeFrom="column">
              <wp:posOffset>74295</wp:posOffset>
            </wp:positionH>
            <wp:positionV relativeFrom="paragraph">
              <wp:posOffset>388620</wp:posOffset>
            </wp:positionV>
            <wp:extent cx="5716270" cy="5541645"/>
            <wp:effectExtent l="1905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srcRect/>
                    <a:stretch>
                      <a:fillRect/>
                    </a:stretch>
                  </pic:blipFill>
                  <pic:spPr bwMode="auto">
                    <a:xfrm>
                      <a:off x="0" y="0"/>
                      <a:ext cx="5716270" cy="5541645"/>
                    </a:xfrm>
                    <a:prstGeom prst="rect">
                      <a:avLst/>
                    </a:prstGeom>
                    <a:noFill/>
                    <a:ln w="9525">
                      <a:noFill/>
                      <a:miter lim="800000"/>
                      <a:headEnd/>
                      <a:tailEnd/>
                    </a:ln>
                  </pic:spPr>
                </pic:pic>
              </a:graphicData>
            </a:graphic>
          </wp:anchor>
        </w:drawing>
      </w:r>
      <w:r>
        <w:br w:type="page"/>
      </w:r>
    </w:p>
    <w:p w:rsidR="00AB2FA8" w:rsidRDefault="00AB2FA8" w:rsidP="00AB2FA8">
      <w:pPr>
        <w:pStyle w:val="Heading1"/>
        <w:spacing w:line="264" w:lineRule="auto"/>
        <w:jc w:val="center"/>
      </w:pPr>
      <w:bookmarkStart w:id="706" w:name="_Toc329296373"/>
      <w:r>
        <w:t>Schedule 3a</w:t>
      </w:r>
      <w:r>
        <w:tab/>
      </w:r>
      <w:r>
        <w:tab/>
      </w:r>
      <w:r w:rsidR="00990E25">
        <w:t xml:space="preserve">Report on </w:t>
      </w:r>
      <w:r>
        <w:t>Term Credit Spread Differential Allowance</w:t>
      </w:r>
      <w:bookmarkEnd w:id="705"/>
      <w:bookmarkEnd w:id="706"/>
    </w:p>
    <w:p w:rsidR="00AB2FA8" w:rsidRDefault="00EB3ACC" w:rsidP="00232FD5">
      <w:pPr>
        <w:pStyle w:val="BodyText"/>
        <w:jc w:val="center"/>
      </w:pPr>
      <w:r>
        <w:rPr>
          <w:noProof/>
          <w:lang w:eastAsia="en-NZ"/>
        </w:rPr>
        <w:drawing>
          <wp:anchor distT="0" distB="0" distL="114300" distR="114300" simplePos="0" relativeHeight="251715584" behindDoc="0" locked="0" layoutInCell="1" allowOverlap="1">
            <wp:simplePos x="0" y="0"/>
            <wp:positionH relativeFrom="column">
              <wp:posOffset>-983615</wp:posOffset>
            </wp:positionH>
            <wp:positionV relativeFrom="paragraph">
              <wp:posOffset>2070735</wp:posOffset>
            </wp:positionV>
            <wp:extent cx="7550150" cy="3735070"/>
            <wp:effectExtent l="0" t="1885950" r="0" b="190373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srcRect/>
                    <a:stretch>
                      <a:fillRect/>
                    </a:stretch>
                  </pic:blipFill>
                  <pic:spPr bwMode="auto">
                    <a:xfrm rot="16200000">
                      <a:off x="0" y="0"/>
                      <a:ext cx="7550150" cy="3735070"/>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4D1973" w:rsidP="00AB2FA8">
      <w:pPr>
        <w:pStyle w:val="Heading1"/>
        <w:spacing w:line="264" w:lineRule="auto"/>
        <w:jc w:val="center"/>
      </w:pPr>
      <w:bookmarkStart w:id="707" w:name="_Toc328819661"/>
      <w:r>
        <w:rPr>
          <w:noProof/>
          <w:lang w:eastAsia="en-NZ"/>
        </w:rPr>
        <w:drawing>
          <wp:anchor distT="0" distB="0" distL="114300" distR="114300" simplePos="0" relativeHeight="251672576" behindDoc="0" locked="0" layoutInCell="1" allowOverlap="1">
            <wp:simplePos x="0" y="0"/>
            <wp:positionH relativeFrom="column">
              <wp:posOffset>-299720</wp:posOffset>
            </wp:positionH>
            <wp:positionV relativeFrom="paragraph">
              <wp:posOffset>361315</wp:posOffset>
            </wp:positionV>
            <wp:extent cx="6331585" cy="7868920"/>
            <wp:effectExtent l="1905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cstate="print"/>
                    <a:srcRect/>
                    <a:stretch>
                      <a:fillRect/>
                    </a:stretch>
                  </pic:blipFill>
                  <pic:spPr bwMode="auto">
                    <a:xfrm>
                      <a:off x="0" y="0"/>
                      <a:ext cx="6331585" cy="7868920"/>
                    </a:xfrm>
                    <a:prstGeom prst="rect">
                      <a:avLst/>
                    </a:prstGeom>
                    <a:noFill/>
                    <a:ln w="9525">
                      <a:noFill/>
                      <a:miter lim="800000"/>
                      <a:headEnd/>
                      <a:tailEnd/>
                    </a:ln>
                  </pic:spPr>
                </pic:pic>
              </a:graphicData>
            </a:graphic>
          </wp:anchor>
        </w:drawing>
      </w:r>
      <w:bookmarkStart w:id="708" w:name="_Toc329296374"/>
      <w:r>
        <w:t>Schedule 4</w:t>
      </w:r>
      <w:r>
        <w:tab/>
      </w:r>
      <w:r w:rsidR="00AB2FA8">
        <w:t>Report on Value of the Regulatory Asset Base (Rolled Forward)</w:t>
      </w:r>
      <w:bookmarkEnd w:id="707"/>
      <w:bookmarkEnd w:id="708"/>
    </w:p>
    <w:p w:rsidR="00E5128B" w:rsidRDefault="00E5128B">
      <w:r>
        <w:br w:type="page"/>
      </w:r>
    </w:p>
    <w:p w:rsidR="00AB2FA8" w:rsidRDefault="004D1973" w:rsidP="00AB2FA8">
      <w:pPr>
        <w:pStyle w:val="Singlespacedparagraph"/>
      </w:pPr>
      <w:r>
        <w:rPr>
          <w:noProof/>
          <w:lang w:eastAsia="en-NZ"/>
        </w:rPr>
        <w:drawing>
          <wp:anchor distT="0" distB="0" distL="114300" distR="114300" simplePos="0" relativeHeight="251673600" behindDoc="0" locked="0" layoutInCell="1" allowOverlap="1">
            <wp:simplePos x="0" y="0"/>
            <wp:positionH relativeFrom="column">
              <wp:posOffset>-92075</wp:posOffset>
            </wp:positionH>
            <wp:positionV relativeFrom="paragraph">
              <wp:posOffset>-6985</wp:posOffset>
            </wp:positionV>
            <wp:extent cx="5932170" cy="6996430"/>
            <wp:effectExtent l="1905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cstate="print"/>
                    <a:srcRect/>
                    <a:stretch>
                      <a:fillRect/>
                    </a:stretch>
                  </pic:blipFill>
                  <pic:spPr bwMode="auto">
                    <a:xfrm>
                      <a:off x="0" y="0"/>
                      <a:ext cx="5932170" cy="6996430"/>
                    </a:xfrm>
                    <a:prstGeom prst="rect">
                      <a:avLst/>
                    </a:prstGeom>
                    <a:noFill/>
                    <a:ln w="9525">
                      <a:noFill/>
                      <a:miter lim="800000"/>
                      <a:headEnd/>
                      <a:tailEnd/>
                    </a:ln>
                  </pic:spPr>
                </pic:pic>
              </a:graphicData>
            </a:graphic>
          </wp:anchor>
        </w:drawing>
      </w:r>
    </w:p>
    <w:p w:rsidR="00AB2FA8" w:rsidRDefault="00A61CC0" w:rsidP="00AB2FA8">
      <w:pPr>
        <w:pStyle w:val="Singlespacedparagraph"/>
      </w:pPr>
      <w:r w:rsidRPr="00A61CC0">
        <w:rPr>
          <w:noProof/>
          <w:lang w:eastAsia="en-NZ"/>
        </w:rPr>
        <w:drawing>
          <wp:anchor distT="0" distB="0" distL="114300" distR="114300" simplePos="0" relativeHeight="251667456" behindDoc="0" locked="0" layoutInCell="1" allowOverlap="1">
            <wp:simplePos x="0" y="0"/>
            <wp:positionH relativeFrom="column">
              <wp:posOffset>-1191260</wp:posOffset>
            </wp:positionH>
            <wp:positionV relativeFrom="paragraph">
              <wp:posOffset>2804795</wp:posOffset>
            </wp:positionV>
            <wp:extent cx="9213215" cy="3364865"/>
            <wp:effectExtent l="0" t="2914650" r="0" b="2902585"/>
            <wp:wrapSquare wrapText="bothSides"/>
            <wp:docPr id="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srcRect/>
                    <a:stretch>
                      <a:fillRect/>
                    </a:stretch>
                  </pic:blipFill>
                  <pic:spPr bwMode="auto">
                    <a:xfrm rot="16200000">
                      <a:off x="0" y="0"/>
                      <a:ext cx="9213215" cy="3364865"/>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09" w:name="_Toc328819662"/>
      <w:bookmarkStart w:id="710" w:name="_Toc329296375"/>
      <w:r>
        <w:t>Schedule 4a</w:t>
      </w:r>
      <w:r>
        <w:tab/>
      </w:r>
      <w:r>
        <w:tab/>
        <w:t>Report on Asset Allocations</w:t>
      </w:r>
      <w:bookmarkEnd w:id="709"/>
      <w:bookmarkEnd w:id="710"/>
    </w:p>
    <w:p w:rsidR="00AB2FA8" w:rsidRDefault="00E5128B" w:rsidP="00AB2FA8">
      <w:pPr>
        <w:pStyle w:val="Singlespacedparagraph"/>
      </w:pPr>
      <w:r>
        <w:rPr>
          <w:noProof/>
          <w:lang w:eastAsia="en-NZ"/>
        </w:rPr>
        <w:drawing>
          <wp:anchor distT="0" distB="0" distL="114300" distR="114300" simplePos="0" relativeHeight="251668480" behindDoc="0" locked="0" layoutInCell="1" allowOverlap="1">
            <wp:simplePos x="0" y="0"/>
            <wp:positionH relativeFrom="column">
              <wp:posOffset>-216535</wp:posOffset>
            </wp:positionH>
            <wp:positionV relativeFrom="paragraph">
              <wp:posOffset>212090</wp:posOffset>
            </wp:positionV>
            <wp:extent cx="6210935" cy="6580505"/>
            <wp:effectExtent l="1905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cstate="print"/>
                    <a:srcRect/>
                    <a:stretch>
                      <a:fillRect/>
                    </a:stretch>
                  </pic:blipFill>
                  <pic:spPr bwMode="auto">
                    <a:xfrm>
                      <a:off x="0" y="0"/>
                      <a:ext cx="6210935" cy="6580505"/>
                    </a:xfrm>
                    <a:prstGeom prst="rect">
                      <a:avLst/>
                    </a:prstGeom>
                    <a:noFill/>
                    <a:ln w="9525">
                      <a:noFill/>
                      <a:miter lim="800000"/>
                      <a:headEnd/>
                      <a:tailEnd/>
                    </a:ln>
                  </pic:spPr>
                </pic:pic>
              </a:graphicData>
            </a:graphic>
          </wp:anchor>
        </w:drawing>
      </w:r>
    </w:p>
    <w:p w:rsidR="00AB2FA8" w:rsidRDefault="0089204C" w:rsidP="00AB2FA8">
      <w:r w:rsidRPr="0089204C">
        <w:rPr>
          <w:noProof/>
          <w:lang w:eastAsia="en-NZ"/>
        </w:rPr>
        <w:drawing>
          <wp:anchor distT="0" distB="0" distL="114300" distR="114300" simplePos="0" relativeHeight="251669504" behindDoc="0" locked="0" layoutInCell="1" allowOverlap="1">
            <wp:simplePos x="0" y="0"/>
            <wp:positionH relativeFrom="column">
              <wp:posOffset>-729615</wp:posOffset>
            </wp:positionH>
            <wp:positionV relativeFrom="paragraph">
              <wp:posOffset>1335405</wp:posOffset>
            </wp:positionV>
            <wp:extent cx="7817485" cy="5453380"/>
            <wp:effectExtent l="0" t="1162050" r="0" b="117602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srcRect/>
                    <a:stretch>
                      <a:fillRect/>
                    </a:stretch>
                  </pic:blipFill>
                  <pic:spPr bwMode="auto">
                    <a:xfrm rot="16200000">
                      <a:off x="0" y="0"/>
                      <a:ext cx="7817485" cy="5453380"/>
                    </a:xfrm>
                    <a:prstGeom prst="rect">
                      <a:avLst/>
                    </a:prstGeom>
                    <a:noFill/>
                    <a:ln w="9525">
                      <a:noFill/>
                      <a:miter lim="800000"/>
                      <a:headEnd/>
                      <a:tailEnd/>
                    </a:ln>
                  </pic:spPr>
                </pic:pic>
              </a:graphicData>
            </a:graphic>
          </wp:anchor>
        </w:drawing>
      </w:r>
    </w:p>
    <w:p w:rsidR="0089204C" w:rsidRDefault="0089204C" w:rsidP="00AB2FA8">
      <w:pPr>
        <w:sectPr w:rsidR="0089204C">
          <w:pgSz w:w="11907" w:h="16840"/>
          <w:pgMar w:top="1440" w:right="1440" w:bottom="1440" w:left="1440" w:header="1134" w:footer="431" w:gutter="0"/>
          <w:cols w:space="720"/>
        </w:sectPr>
      </w:pPr>
    </w:p>
    <w:p w:rsidR="00AB2FA8" w:rsidRDefault="00BB7E0B" w:rsidP="00AB2FA8">
      <w:pPr>
        <w:pStyle w:val="Heading1"/>
        <w:spacing w:line="264" w:lineRule="auto"/>
        <w:jc w:val="center"/>
      </w:pPr>
      <w:bookmarkStart w:id="711" w:name="_Toc328819663"/>
      <w:r>
        <w:rPr>
          <w:noProof/>
          <w:lang w:eastAsia="en-NZ"/>
        </w:rPr>
        <w:drawing>
          <wp:anchor distT="0" distB="0" distL="114300" distR="114300" simplePos="0" relativeHeight="251674624" behindDoc="0" locked="0" layoutInCell="1" allowOverlap="1">
            <wp:simplePos x="0" y="0"/>
            <wp:positionH relativeFrom="column">
              <wp:posOffset>-1149350</wp:posOffset>
            </wp:positionH>
            <wp:positionV relativeFrom="paragraph">
              <wp:posOffset>1779270</wp:posOffset>
            </wp:positionV>
            <wp:extent cx="8035290" cy="5210810"/>
            <wp:effectExtent l="0" t="1390650" r="0" b="141859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srcRect/>
                    <a:stretch>
                      <a:fillRect/>
                    </a:stretch>
                  </pic:blipFill>
                  <pic:spPr bwMode="auto">
                    <a:xfrm rot="16200000">
                      <a:off x="0" y="0"/>
                      <a:ext cx="8035290" cy="5210810"/>
                    </a:xfrm>
                    <a:prstGeom prst="rect">
                      <a:avLst/>
                    </a:prstGeom>
                    <a:noFill/>
                    <a:ln w="9525">
                      <a:noFill/>
                      <a:miter lim="800000"/>
                      <a:headEnd/>
                      <a:tailEnd/>
                    </a:ln>
                  </pic:spPr>
                </pic:pic>
              </a:graphicData>
            </a:graphic>
          </wp:anchor>
        </w:drawing>
      </w:r>
      <w:bookmarkStart w:id="712" w:name="_Toc329296376"/>
      <w:r w:rsidR="00AB2FA8">
        <w:t>Schedule 4b</w:t>
      </w:r>
      <w:r w:rsidR="00AB2FA8">
        <w:tab/>
      </w:r>
      <w:r w:rsidR="00AB2FA8">
        <w:tab/>
        <w:t>Report Supporting Asset Allocations</w:t>
      </w:r>
      <w:bookmarkEnd w:id="711"/>
      <w:bookmarkEnd w:id="712"/>
    </w:p>
    <w:p w:rsidR="00AB2FA8" w:rsidRDefault="00BB7E0B" w:rsidP="00AB2FA8">
      <w:pPr>
        <w:pStyle w:val="Singlespacedparagraph"/>
      </w:pPr>
      <w:r w:rsidRPr="00BB7E0B">
        <w:rPr>
          <w:noProof/>
          <w:lang w:eastAsia="en-NZ"/>
        </w:rPr>
        <w:drawing>
          <wp:anchor distT="0" distB="0" distL="114300" distR="114300" simplePos="0" relativeHeight="251675648" behindDoc="0" locked="0" layoutInCell="1" allowOverlap="1">
            <wp:simplePos x="0" y="0"/>
            <wp:positionH relativeFrom="column">
              <wp:posOffset>-501015</wp:posOffset>
            </wp:positionH>
            <wp:positionV relativeFrom="paragraph">
              <wp:posOffset>1816100</wp:posOffset>
            </wp:positionV>
            <wp:extent cx="8260715" cy="5294630"/>
            <wp:effectExtent l="0" t="1466850" r="0" b="148717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6" cstate="print"/>
                    <a:srcRect/>
                    <a:stretch>
                      <a:fillRect/>
                    </a:stretch>
                  </pic:blipFill>
                  <pic:spPr bwMode="auto">
                    <a:xfrm rot="16200000">
                      <a:off x="0" y="0"/>
                      <a:ext cx="8260715" cy="5294630"/>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13" w:name="_Toc328819664"/>
      <w:bookmarkStart w:id="714" w:name="_Toc329296377"/>
      <w:r>
        <w:t>Schedule 4c</w:t>
      </w:r>
      <w:r>
        <w:tab/>
      </w:r>
      <w:r>
        <w:tab/>
        <w:t xml:space="preserve">Report on </w:t>
      </w:r>
      <w:bookmarkEnd w:id="713"/>
      <w:r w:rsidR="00990E25">
        <w:t>Transitional Financial Information</w:t>
      </w:r>
      <w:bookmarkEnd w:id="714"/>
    </w:p>
    <w:p w:rsidR="00AB2FA8" w:rsidRDefault="00AB2FA8" w:rsidP="00AB2FA8">
      <w:pPr>
        <w:pStyle w:val="Singlespacedparagraph"/>
      </w:pPr>
    </w:p>
    <w:p w:rsidR="00AB2FA8" w:rsidRDefault="00E5128B" w:rsidP="00AB2FA8">
      <w:pPr>
        <w:pStyle w:val="Singlespacedparagraph"/>
      </w:pPr>
      <w:r>
        <w:rPr>
          <w:noProof/>
          <w:lang w:eastAsia="en-NZ"/>
        </w:rPr>
        <w:drawing>
          <wp:anchor distT="0" distB="0" distL="114300" distR="114300" simplePos="0" relativeHeight="251679744" behindDoc="0" locked="0" layoutInCell="1" allowOverlap="1">
            <wp:simplePos x="0" y="0"/>
            <wp:positionH relativeFrom="column">
              <wp:posOffset>60325</wp:posOffset>
            </wp:positionH>
            <wp:positionV relativeFrom="paragraph">
              <wp:posOffset>206375</wp:posOffset>
            </wp:positionV>
            <wp:extent cx="5758180" cy="8021320"/>
            <wp:effectExtent l="19050" t="0" r="0" b="0"/>
            <wp:wrapSquare wrapText="bothSides"/>
            <wp:docPr id="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7" cstate="print"/>
                    <a:srcRect/>
                    <a:stretch>
                      <a:fillRect/>
                    </a:stretch>
                  </pic:blipFill>
                  <pic:spPr bwMode="auto">
                    <a:xfrm>
                      <a:off x="0" y="0"/>
                      <a:ext cx="5758180" cy="8021320"/>
                    </a:xfrm>
                    <a:prstGeom prst="rect">
                      <a:avLst/>
                    </a:prstGeom>
                    <a:noFill/>
                    <a:ln w="9525">
                      <a:noFill/>
                      <a:miter lim="800000"/>
                      <a:headEnd/>
                      <a:tailEnd/>
                    </a:ln>
                  </pic:spPr>
                </pic:pic>
              </a:graphicData>
            </a:graphic>
          </wp:anchor>
        </w:drawing>
      </w:r>
    </w:p>
    <w:p w:rsidR="00385171" w:rsidRDefault="00385171">
      <w:r w:rsidRPr="00385171">
        <w:rPr>
          <w:noProof/>
          <w:lang w:eastAsia="en-NZ"/>
        </w:rPr>
        <w:drawing>
          <wp:anchor distT="0" distB="0" distL="114300" distR="114300" simplePos="0" relativeHeight="251681792" behindDoc="0" locked="0" layoutInCell="1" allowOverlap="1">
            <wp:simplePos x="0" y="0"/>
            <wp:positionH relativeFrom="column">
              <wp:posOffset>42545</wp:posOffset>
            </wp:positionH>
            <wp:positionV relativeFrom="paragraph">
              <wp:posOffset>333375</wp:posOffset>
            </wp:positionV>
            <wp:extent cx="6090285" cy="7391400"/>
            <wp:effectExtent l="19050" t="0" r="5715" b="0"/>
            <wp:wrapSquare wrapText="bothSides"/>
            <wp:docPr id="1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cstate="print"/>
                    <a:srcRect/>
                    <a:stretch>
                      <a:fillRect/>
                    </a:stretch>
                  </pic:blipFill>
                  <pic:spPr bwMode="auto">
                    <a:xfrm>
                      <a:off x="0" y="0"/>
                      <a:ext cx="6090285" cy="7391400"/>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15" w:name="_Toc328819666"/>
      <w:bookmarkStart w:id="716" w:name="_Toc329296378"/>
      <w:r>
        <w:t>Schedule 5</w:t>
      </w:r>
      <w:r>
        <w:tab/>
      </w:r>
      <w:r>
        <w:tab/>
        <w:t>Report on Regulatory Profit</w:t>
      </w:r>
      <w:bookmarkEnd w:id="715"/>
      <w:bookmarkEnd w:id="716"/>
    </w:p>
    <w:p w:rsidR="00AB2FA8" w:rsidRDefault="00AB2FA8" w:rsidP="00AB2FA8">
      <w:pPr>
        <w:pStyle w:val="Singlespacedparagraph"/>
      </w:pPr>
    </w:p>
    <w:p w:rsidR="00385171" w:rsidRDefault="00E5128B">
      <w:r>
        <w:rPr>
          <w:noProof/>
          <w:lang w:eastAsia="en-NZ"/>
        </w:rPr>
        <w:drawing>
          <wp:anchor distT="0" distB="0" distL="114300" distR="114300" simplePos="0" relativeHeight="251682816" behindDoc="0" locked="0" layoutInCell="1" allowOverlap="1">
            <wp:simplePos x="0" y="0"/>
            <wp:positionH relativeFrom="column">
              <wp:posOffset>-216535</wp:posOffset>
            </wp:positionH>
            <wp:positionV relativeFrom="paragraph">
              <wp:posOffset>400685</wp:posOffset>
            </wp:positionV>
            <wp:extent cx="6281420" cy="6358890"/>
            <wp:effectExtent l="19050" t="0" r="508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cstate="print"/>
                    <a:srcRect/>
                    <a:stretch>
                      <a:fillRect/>
                    </a:stretch>
                  </pic:blipFill>
                  <pic:spPr bwMode="auto">
                    <a:xfrm>
                      <a:off x="0" y="0"/>
                      <a:ext cx="6281420" cy="6358890"/>
                    </a:xfrm>
                    <a:prstGeom prst="rect">
                      <a:avLst/>
                    </a:prstGeom>
                    <a:noFill/>
                    <a:ln w="9525">
                      <a:noFill/>
                      <a:miter lim="800000"/>
                      <a:headEnd/>
                      <a:tailEnd/>
                    </a:ln>
                  </pic:spPr>
                </pic:pic>
              </a:graphicData>
            </a:graphic>
          </wp:anchor>
        </w:drawing>
      </w:r>
      <w:r w:rsidR="00385171">
        <w:br w:type="page"/>
      </w:r>
    </w:p>
    <w:p w:rsidR="00AB2FA8" w:rsidRDefault="00385171" w:rsidP="00AB2FA8">
      <w:pPr>
        <w:pStyle w:val="Singlespacedparagraph"/>
      </w:pPr>
      <w:r w:rsidRPr="00385171">
        <w:rPr>
          <w:noProof/>
          <w:lang w:eastAsia="en-NZ"/>
        </w:rPr>
        <w:drawing>
          <wp:anchor distT="0" distB="0" distL="114300" distR="114300" simplePos="0" relativeHeight="251683840" behindDoc="0" locked="0" layoutInCell="1" allowOverlap="1">
            <wp:simplePos x="0" y="0"/>
            <wp:positionH relativeFrom="column">
              <wp:posOffset>32385</wp:posOffset>
            </wp:positionH>
            <wp:positionV relativeFrom="paragraph">
              <wp:posOffset>361315</wp:posOffset>
            </wp:positionV>
            <wp:extent cx="5882640" cy="7010400"/>
            <wp:effectExtent l="19050" t="0" r="3810"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0" cstate="print"/>
                    <a:srcRect/>
                    <a:stretch>
                      <a:fillRect/>
                    </a:stretch>
                  </pic:blipFill>
                  <pic:spPr bwMode="auto">
                    <a:xfrm>
                      <a:off x="0" y="0"/>
                      <a:ext cx="5882640" cy="7010400"/>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17" w:name="_Toc328819667"/>
      <w:bookmarkStart w:id="718" w:name="_Toc329296379"/>
      <w:r>
        <w:t>Schedule 5a</w:t>
      </w:r>
      <w:r>
        <w:tab/>
      </w:r>
      <w:r>
        <w:tab/>
        <w:t>Report on Regulatory Tax Allowance</w:t>
      </w:r>
      <w:bookmarkEnd w:id="717"/>
      <w:bookmarkEnd w:id="718"/>
    </w:p>
    <w:p w:rsidR="00AB2FA8" w:rsidRDefault="00385171" w:rsidP="00AB2FA8">
      <w:pPr>
        <w:pStyle w:val="Singlespacedparagraph"/>
      </w:pPr>
      <w:r w:rsidRPr="00385171">
        <w:rPr>
          <w:noProof/>
          <w:lang w:eastAsia="en-NZ"/>
        </w:rPr>
        <w:drawing>
          <wp:anchor distT="0" distB="0" distL="114300" distR="114300" simplePos="0" relativeHeight="251684864" behindDoc="0" locked="0" layoutInCell="1" allowOverlap="1">
            <wp:simplePos x="0" y="0"/>
            <wp:positionH relativeFrom="column">
              <wp:posOffset>390525</wp:posOffset>
            </wp:positionH>
            <wp:positionV relativeFrom="paragraph">
              <wp:posOffset>146685</wp:posOffset>
            </wp:positionV>
            <wp:extent cx="5732145" cy="8543925"/>
            <wp:effectExtent l="19050" t="0" r="1905"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1" cstate="print"/>
                    <a:srcRect/>
                    <a:stretch>
                      <a:fillRect/>
                    </a:stretch>
                  </pic:blipFill>
                  <pic:spPr bwMode="auto">
                    <a:xfrm>
                      <a:off x="0" y="0"/>
                      <a:ext cx="5732145" cy="8543925"/>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385171" w:rsidP="00AB2FA8">
      <w:pPr>
        <w:pStyle w:val="Heading1"/>
        <w:spacing w:line="264" w:lineRule="auto"/>
        <w:jc w:val="center"/>
      </w:pPr>
      <w:bookmarkStart w:id="719" w:name="_Toc328819668"/>
      <w:r>
        <w:rPr>
          <w:noProof/>
          <w:lang w:eastAsia="en-NZ"/>
        </w:rPr>
        <w:drawing>
          <wp:anchor distT="0" distB="0" distL="114300" distR="114300" simplePos="0" relativeHeight="251685888" behindDoc="0" locked="0" layoutInCell="1" allowOverlap="1">
            <wp:simplePos x="0" y="0"/>
            <wp:positionH relativeFrom="column">
              <wp:posOffset>143510</wp:posOffset>
            </wp:positionH>
            <wp:positionV relativeFrom="paragraph">
              <wp:posOffset>610235</wp:posOffset>
            </wp:positionV>
            <wp:extent cx="6104890" cy="6981825"/>
            <wp:effectExtent l="1905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cstate="print"/>
                    <a:srcRect/>
                    <a:stretch>
                      <a:fillRect/>
                    </a:stretch>
                  </pic:blipFill>
                  <pic:spPr bwMode="auto">
                    <a:xfrm>
                      <a:off x="0" y="0"/>
                      <a:ext cx="6104890" cy="6981825"/>
                    </a:xfrm>
                    <a:prstGeom prst="rect">
                      <a:avLst/>
                    </a:prstGeom>
                    <a:noFill/>
                    <a:ln w="9525">
                      <a:noFill/>
                      <a:miter lim="800000"/>
                      <a:headEnd/>
                      <a:tailEnd/>
                    </a:ln>
                  </pic:spPr>
                </pic:pic>
              </a:graphicData>
            </a:graphic>
          </wp:anchor>
        </w:drawing>
      </w:r>
      <w:bookmarkStart w:id="720" w:name="_Toc329296380"/>
      <w:r w:rsidR="00AB2FA8">
        <w:t>Schedule 5b</w:t>
      </w:r>
      <w:r w:rsidR="00AB2FA8">
        <w:tab/>
      </w:r>
      <w:r w:rsidR="00AB2FA8">
        <w:tab/>
        <w:t>Report on Related Party Transactions</w:t>
      </w:r>
      <w:bookmarkEnd w:id="719"/>
      <w:bookmarkEnd w:id="720"/>
    </w:p>
    <w:p w:rsidR="00AB2FA8" w:rsidRDefault="00AB2FA8" w:rsidP="00AB2FA8">
      <w:pPr>
        <w:pStyle w:val="Singlespacedparagraph"/>
      </w:pPr>
    </w:p>
    <w:p w:rsidR="00AB2FA8" w:rsidRDefault="00AB2FA8" w:rsidP="00AB2FA8">
      <w:pPr>
        <w:pStyle w:val="Singlespacedparagraph"/>
      </w:pP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21" w:name="_Toc328819669"/>
      <w:bookmarkStart w:id="722" w:name="_Toc329296381"/>
      <w:r>
        <w:t>Schedule 5c</w:t>
      </w:r>
      <w:r>
        <w:tab/>
      </w:r>
      <w:r>
        <w:tab/>
        <w:t>Report on Cost Allocations</w:t>
      </w:r>
      <w:bookmarkEnd w:id="721"/>
      <w:bookmarkEnd w:id="722"/>
    </w:p>
    <w:p w:rsidR="00AB2FA8" w:rsidRDefault="00AB2FA8" w:rsidP="00AB2FA8">
      <w:pPr>
        <w:pStyle w:val="Singlespacedparagraph"/>
      </w:pPr>
    </w:p>
    <w:p w:rsidR="00385171" w:rsidRDefault="00E5128B">
      <w:r>
        <w:rPr>
          <w:noProof/>
          <w:lang w:eastAsia="en-NZ"/>
        </w:rPr>
        <w:drawing>
          <wp:anchor distT="0" distB="0" distL="114300" distR="114300" simplePos="0" relativeHeight="251686912" behindDoc="0" locked="0" layoutInCell="1" allowOverlap="1">
            <wp:simplePos x="0" y="0"/>
            <wp:positionH relativeFrom="column">
              <wp:posOffset>19050</wp:posOffset>
            </wp:positionH>
            <wp:positionV relativeFrom="paragraph">
              <wp:posOffset>165100</wp:posOffset>
            </wp:positionV>
            <wp:extent cx="5914390" cy="5694045"/>
            <wp:effectExtent l="19050" t="0" r="0"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cstate="print"/>
                    <a:srcRect/>
                    <a:stretch>
                      <a:fillRect/>
                    </a:stretch>
                  </pic:blipFill>
                  <pic:spPr bwMode="auto">
                    <a:xfrm>
                      <a:off x="0" y="0"/>
                      <a:ext cx="5914390" cy="5694045"/>
                    </a:xfrm>
                    <a:prstGeom prst="rect">
                      <a:avLst/>
                    </a:prstGeom>
                    <a:noFill/>
                    <a:ln w="9525">
                      <a:noFill/>
                      <a:miter lim="800000"/>
                      <a:headEnd/>
                      <a:tailEnd/>
                    </a:ln>
                  </pic:spPr>
                </pic:pic>
              </a:graphicData>
            </a:graphic>
          </wp:anchor>
        </w:drawing>
      </w:r>
      <w:r w:rsidR="00385171">
        <w:br w:type="page"/>
      </w:r>
    </w:p>
    <w:p w:rsidR="00AB2FA8" w:rsidRDefault="00385171" w:rsidP="00AB2FA8">
      <w:pPr>
        <w:sectPr w:rsidR="00AB2FA8">
          <w:pgSz w:w="11907" w:h="16840"/>
          <w:pgMar w:top="1440" w:right="1440" w:bottom="1440" w:left="1440" w:header="1134" w:footer="431" w:gutter="0"/>
          <w:cols w:space="720"/>
        </w:sectPr>
      </w:pPr>
      <w:r w:rsidRPr="00385171">
        <w:rPr>
          <w:noProof/>
          <w:lang w:eastAsia="en-NZ"/>
        </w:rPr>
        <w:drawing>
          <wp:anchor distT="0" distB="0" distL="114300" distR="114300" simplePos="0" relativeHeight="251687936" behindDoc="0" locked="0" layoutInCell="1" allowOverlap="1">
            <wp:simplePos x="0" y="0"/>
            <wp:positionH relativeFrom="column">
              <wp:posOffset>-168275</wp:posOffset>
            </wp:positionH>
            <wp:positionV relativeFrom="paragraph">
              <wp:posOffset>1040130</wp:posOffset>
            </wp:positionV>
            <wp:extent cx="6440805" cy="6818630"/>
            <wp:effectExtent l="19050" t="0" r="0" b="0"/>
            <wp:wrapSquare wrapText="bothSides"/>
            <wp:docPr id="1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cstate="print"/>
                    <a:srcRect/>
                    <a:stretch>
                      <a:fillRect/>
                    </a:stretch>
                  </pic:blipFill>
                  <pic:spPr bwMode="auto">
                    <a:xfrm>
                      <a:off x="0" y="0"/>
                      <a:ext cx="6440805" cy="6818630"/>
                    </a:xfrm>
                    <a:prstGeom prst="rect">
                      <a:avLst/>
                    </a:prstGeom>
                    <a:noFill/>
                    <a:ln w="9525">
                      <a:noFill/>
                      <a:miter lim="800000"/>
                      <a:headEnd/>
                      <a:tailEnd/>
                    </a:ln>
                  </pic:spPr>
                </pic:pic>
              </a:graphicData>
            </a:graphic>
          </wp:anchor>
        </w:drawing>
      </w:r>
    </w:p>
    <w:p w:rsidR="00AB2FA8" w:rsidRDefault="00FF4E0F" w:rsidP="00AB2FA8">
      <w:pPr>
        <w:pStyle w:val="Heading1"/>
        <w:spacing w:line="264" w:lineRule="auto"/>
        <w:jc w:val="center"/>
      </w:pPr>
      <w:bookmarkStart w:id="723" w:name="_Toc328819670"/>
      <w:r>
        <w:rPr>
          <w:noProof/>
          <w:lang w:eastAsia="en-NZ"/>
        </w:rPr>
        <w:drawing>
          <wp:anchor distT="0" distB="0" distL="114300" distR="114300" simplePos="0" relativeHeight="251688960" behindDoc="0" locked="0" layoutInCell="1" allowOverlap="1">
            <wp:simplePos x="0" y="0"/>
            <wp:positionH relativeFrom="column">
              <wp:posOffset>-914400</wp:posOffset>
            </wp:positionH>
            <wp:positionV relativeFrom="paragraph">
              <wp:posOffset>2242820</wp:posOffset>
            </wp:positionV>
            <wp:extent cx="7943850" cy="4286250"/>
            <wp:effectExtent l="0" t="1809750" r="0" b="182880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cstate="print"/>
                    <a:srcRect/>
                    <a:stretch>
                      <a:fillRect/>
                    </a:stretch>
                  </pic:blipFill>
                  <pic:spPr bwMode="auto">
                    <a:xfrm rot="16200000">
                      <a:off x="0" y="0"/>
                      <a:ext cx="7943850" cy="4286250"/>
                    </a:xfrm>
                    <a:prstGeom prst="rect">
                      <a:avLst/>
                    </a:prstGeom>
                    <a:noFill/>
                    <a:ln w="9525">
                      <a:noFill/>
                      <a:miter lim="800000"/>
                      <a:headEnd/>
                      <a:tailEnd/>
                    </a:ln>
                  </pic:spPr>
                </pic:pic>
              </a:graphicData>
            </a:graphic>
          </wp:anchor>
        </w:drawing>
      </w:r>
      <w:bookmarkStart w:id="724" w:name="_Toc329296382"/>
      <w:r w:rsidR="00AB2FA8">
        <w:t>Schedule 5d</w:t>
      </w:r>
      <w:r w:rsidR="00AB2FA8">
        <w:tab/>
      </w:r>
      <w:r w:rsidR="00AB2FA8">
        <w:tab/>
        <w:t>Report Supporting Cost Allocations</w:t>
      </w:r>
      <w:bookmarkEnd w:id="723"/>
      <w:bookmarkEnd w:id="724"/>
    </w:p>
    <w:p w:rsidR="00442D24" w:rsidRDefault="00442D24">
      <w:r>
        <w:br w:type="page"/>
      </w:r>
    </w:p>
    <w:p w:rsidR="00442D24" w:rsidRDefault="00442D24" w:rsidP="005B5E15">
      <w:pPr>
        <w:pStyle w:val="Singlespacedparagraph"/>
        <w:sectPr w:rsidR="00442D24">
          <w:pgSz w:w="11907" w:h="16840"/>
          <w:pgMar w:top="1440" w:right="1440" w:bottom="1440" w:left="1440" w:header="1134" w:footer="431" w:gutter="0"/>
          <w:cols w:space="720"/>
        </w:sectPr>
      </w:pPr>
      <w:r w:rsidRPr="00442D24">
        <w:rPr>
          <w:noProof/>
          <w:lang w:eastAsia="en-NZ"/>
        </w:rPr>
        <w:drawing>
          <wp:anchor distT="0" distB="0" distL="114300" distR="114300" simplePos="0" relativeHeight="251726848" behindDoc="0" locked="0" layoutInCell="1" allowOverlap="1">
            <wp:simplePos x="0" y="0"/>
            <wp:positionH relativeFrom="column">
              <wp:posOffset>-914400</wp:posOffset>
            </wp:positionH>
            <wp:positionV relativeFrom="paragraph">
              <wp:posOffset>1539875</wp:posOffset>
            </wp:positionV>
            <wp:extent cx="8267700" cy="5464175"/>
            <wp:effectExtent l="0" t="1390650" r="0" b="1393825"/>
            <wp:wrapSquare wrapText="bothSides"/>
            <wp:docPr id="2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srcRect/>
                    <a:stretch>
                      <a:fillRect/>
                    </a:stretch>
                  </pic:blipFill>
                  <pic:spPr bwMode="auto">
                    <a:xfrm rot="16200000">
                      <a:off x="0" y="0"/>
                      <a:ext cx="8267700" cy="5464175"/>
                    </a:xfrm>
                    <a:prstGeom prst="rect">
                      <a:avLst/>
                    </a:prstGeom>
                    <a:noFill/>
                    <a:ln w="9525">
                      <a:noFill/>
                      <a:miter lim="800000"/>
                      <a:headEnd/>
                      <a:tailEnd/>
                    </a:ln>
                  </pic:spPr>
                </pic:pic>
              </a:graphicData>
            </a:graphic>
          </wp:anchor>
        </w:drawing>
      </w:r>
    </w:p>
    <w:p w:rsidR="00AB2FA8" w:rsidRDefault="00AB2FA8" w:rsidP="00AB2FA8">
      <w:pPr>
        <w:pStyle w:val="Heading1"/>
        <w:spacing w:line="264" w:lineRule="auto"/>
        <w:jc w:val="center"/>
      </w:pPr>
      <w:bookmarkStart w:id="725" w:name="_Toc328819671"/>
      <w:bookmarkStart w:id="726" w:name="_Toc329296383"/>
      <w:r>
        <w:t>Schedule 6</w:t>
      </w:r>
      <w:r>
        <w:tab/>
      </w:r>
      <w:r>
        <w:tab/>
        <w:t>Report on Capital Expenditure for the Disclosure Year</w:t>
      </w:r>
      <w:bookmarkEnd w:id="725"/>
      <w:bookmarkEnd w:id="726"/>
    </w:p>
    <w:p w:rsidR="005B5E15" w:rsidRDefault="00E5128B">
      <w:r>
        <w:rPr>
          <w:noProof/>
          <w:lang w:eastAsia="en-NZ"/>
        </w:rPr>
        <w:drawing>
          <wp:anchor distT="0" distB="0" distL="114300" distR="114300" simplePos="0" relativeHeight="251691008" behindDoc="0" locked="0" layoutInCell="1" allowOverlap="1">
            <wp:simplePos x="0" y="0"/>
            <wp:positionH relativeFrom="column">
              <wp:posOffset>401320</wp:posOffset>
            </wp:positionH>
            <wp:positionV relativeFrom="paragraph">
              <wp:posOffset>729615</wp:posOffset>
            </wp:positionV>
            <wp:extent cx="5036185" cy="6534150"/>
            <wp:effectExtent l="1905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srcRect/>
                    <a:stretch>
                      <a:fillRect/>
                    </a:stretch>
                  </pic:blipFill>
                  <pic:spPr bwMode="auto">
                    <a:xfrm>
                      <a:off x="0" y="0"/>
                      <a:ext cx="5036185" cy="6534150"/>
                    </a:xfrm>
                    <a:prstGeom prst="rect">
                      <a:avLst/>
                    </a:prstGeom>
                    <a:noFill/>
                    <a:ln w="9525">
                      <a:noFill/>
                      <a:miter lim="800000"/>
                      <a:headEnd/>
                      <a:tailEnd/>
                    </a:ln>
                  </pic:spPr>
                </pic:pic>
              </a:graphicData>
            </a:graphic>
          </wp:anchor>
        </w:drawing>
      </w:r>
      <w:r w:rsidR="005B5E15">
        <w:br w:type="page"/>
      </w:r>
    </w:p>
    <w:p w:rsidR="00490D1B" w:rsidRDefault="00490D1B" w:rsidP="00AB2FA8">
      <w:r w:rsidRPr="00490D1B">
        <w:rPr>
          <w:noProof/>
          <w:lang w:eastAsia="en-NZ"/>
        </w:rPr>
        <w:drawing>
          <wp:anchor distT="0" distB="0" distL="114300" distR="114300" simplePos="0" relativeHeight="251729920" behindDoc="0" locked="0" layoutInCell="1" allowOverlap="1">
            <wp:simplePos x="0" y="0"/>
            <wp:positionH relativeFrom="column">
              <wp:posOffset>-133350</wp:posOffset>
            </wp:positionH>
            <wp:positionV relativeFrom="paragraph">
              <wp:posOffset>25400</wp:posOffset>
            </wp:positionV>
            <wp:extent cx="6036310" cy="7934325"/>
            <wp:effectExtent l="19050" t="0" r="254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cstate="print"/>
                    <a:srcRect/>
                    <a:stretch>
                      <a:fillRect/>
                    </a:stretch>
                  </pic:blipFill>
                  <pic:spPr bwMode="auto">
                    <a:xfrm>
                      <a:off x="0" y="0"/>
                      <a:ext cx="6036310" cy="7934325"/>
                    </a:xfrm>
                    <a:prstGeom prst="rect">
                      <a:avLst/>
                    </a:prstGeom>
                    <a:noFill/>
                    <a:ln w="9525">
                      <a:noFill/>
                      <a:miter lim="800000"/>
                      <a:headEnd/>
                      <a:tailEnd/>
                    </a:ln>
                  </pic:spPr>
                </pic:pic>
              </a:graphicData>
            </a:graphic>
          </wp:anchor>
        </w:drawing>
      </w:r>
    </w:p>
    <w:p w:rsidR="00490D1B" w:rsidRDefault="00490D1B">
      <w:r>
        <w:br w:type="page"/>
      </w:r>
    </w:p>
    <w:p w:rsidR="00AB2FA8" w:rsidRDefault="005B5E15" w:rsidP="00AB2FA8">
      <w:r w:rsidRPr="005B5E15">
        <w:rPr>
          <w:noProof/>
          <w:lang w:eastAsia="en-NZ"/>
        </w:rPr>
        <w:drawing>
          <wp:anchor distT="0" distB="0" distL="114300" distR="114300" simplePos="0" relativeHeight="251692032" behindDoc="0" locked="0" layoutInCell="1" allowOverlap="1">
            <wp:simplePos x="0" y="0"/>
            <wp:positionH relativeFrom="column">
              <wp:posOffset>-189230</wp:posOffset>
            </wp:positionH>
            <wp:positionV relativeFrom="paragraph">
              <wp:posOffset>635</wp:posOffset>
            </wp:positionV>
            <wp:extent cx="6187440" cy="8630920"/>
            <wp:effectExtent l="19050" t="0" r="381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cstate="print"/>
                    <a:srcRect/>
                    <a:stretch>
                      <a:fillRect/>
                    </a:stretch>
                  </pic:blipFill>
                  <pic:spPr bwMode="auto">
                    <a:xfrm>
                      <a:off x="0" y="0"/>
                      <a:ext cx="6187440" cy="8630920"/>
                    </a:xfrm>
                    <a:prstGeom prst="rect">
                      <a:avLst/>
                    </a:prstGeom>
                    <a:noFill/>
                    <a:ln w="9525">
                      <a:noFill/>
                      <a:miter lim="800000"/>
                      <a:headEnd/>
                      <a:tailEnd/>
                    </a:ln>
                  </pic:spPr>
                </pic:pic>
              </a:graphicData>
            </a:graphic>
          </wp:anchor>
        </w:drawing>
      </w:r>
    </w:p>
    <w:p w:rsidR="005B5E15" w:rsidRDefault="005B5E15" w:rsidP="00AB2FA8">
      <w:pPr>
        <w:sectPr w:rsidR="005B5E15">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27" w:name="_Toc328819672"/>
      <w:bookmarkStart w:id="728" w:name="_Toc329296384"/>
      <w:r>
        <w:t>Schedule 7</w:t>
      </w:r>
      <w:r>
        <w:tab/>
        <w:t>Report on Operational Expenditure for the Disclosure Year</w:t>
      </w:r>
      <w:bookmarkEnd w:id="727"/>
      <w:bookmarkEnd w:id="728"/>
    </w:p>
    <w:p w:rsidR="00AB2FA8" w:rsidRDefault="00AB2FA8" w:rsidP="00AB2FA8">
      <w:pPr>
        <w:pStyle w:val="Singlespacedparagraph"/>
      </w:pPr>
    </w:p>
    <w:p w:rsidR="00AB2FA8" w:rsidRDefault="00A56CE5" w:rsidP="00AB2FA8">
      <w:pPr>
        <w:pStyle w:val="Singlespacedparagraph"/>
      </w:pPr>
      <w:r>
        <w:rPr>
          <w:noProof/>
          <w:lang w:eastAsia="en-NZ"/>
        </w:rPr>
        <w:drawing>
          <wp:anchor distT="0" distB="0" distL="114300" distR="114300" simplePos="0" relativeHeight="251693056" behindDoc="0" locked="0" layoutInCell="1" allowOverlap="1">
            <wp:simplePos x="0" y="0"/>
            <wp:positionH relativeFrom="column">
              <wp:posOffset>88265</wp:posOffset>
            </wp:positionH>
            <wp:positionV relativeFrom="paragraph">
              <wp:posOffset>-4445</wp:posOffset>
            </wp:positionV>
            <wp:extent cx="5619750" cy="4225290"/>
            <wp:effectExtent l="1905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0" cstate="print"/>
                    <a:srcRect/>
                    <a:stretch>
                      <a:fillRect/>
                    </a:stretch>
                  </pic:blipFill>
                  <pic:spPr bwMode="auto">
                    <a:xfrm>
                      <a:off x="0" y="0"/>
                      <a:ext cx="5619750" cy="4225290"/>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29" w:name="_Toc328819673"/>
      <w:bookmarkStart w:id="730" w:name="_Toc329296385"/>
      <w:r>
        <w:t>Schedule 8a</w:t>
      </w:r>
      <w:r>
        <w:tab/>
      </w:r>
      <w:r>
        <w:tab/>
        <w:t>Report on Billed Quantities and Line Charge Revenue (by Type of Charge)</w:t>
      </w:r>
      <w:bookmarkEnd w:id="729"/>
      <w:bookmarkEnd w:id="730"/>
    </w:p>
    <w:p w:rsidR="00D10947" w:rsidRDefault="00D10947" w:rsidP="00A56CE5">
      <w:pPr>
        <w:pStyle w:val="Singlespacedparagraph"/>
      </w:pPr>
      <w:r>
        <w:rPr>
          <w:noProof/>
          <w:lang w:eastAsia="en-NZ"/>
        </w:rPr>
        <w:drawing>
          <wp:anchor distT="0" distB="0" distL="114300" distR="114300" simplePos="0" relativeHeight="251694080" behindDoc="0" locked="0" layoutInCell="1" allowOverlap="1">
            <wp:simplePos x="0" y="0"/>
            <wp:positionH relativeFrom="column">
              <wp:posOffset>-685800</wp:posOffset>
            </wp:positionH>
            <wp:positionV relativeFrom="paragraph">
              <wp:posOffset>2241550</wp:posOffset>
            </wp:positionV>
            <wp:extent cx="8096250" cy="4169410"/>
            <wp:effectExtent l="0" t="1943100" r="0" b="194564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srcRect/>
                    <a:stretch>
                      <a:fillRect/>
                    </a:stretch>
                  </pic:blipFill>
                  <pic:spPr bwMode="auto">
                    <a:xfrm rot="16200000">
                      <a:off x="0" y="0"/>
                      <a:ext cx="8096250" cy="4169410"/>
                    </a:xfrm>
                    <a:prstGeom prst="rect">
                      <a:avLst/>
                    </a:prstGeom>
                    <a:noFill/>
                    <a:ln w="9525">
                      <a:noFill/>
                      <a:miter lim="800000"/>
                      <a:headEnd/>
                      <a:tailEnd/>
                    </a:ln>
                  </pic:spPr>
                </pic:pic>
              </a:graphicData>
            </a:graphic>
          </wp:anchor>
        </w:drawing>
      </w:r>
      <w:r>
        <w:br w:type="page"/>
      </w:r>
    </w:p>
    <w:p w:rsidR="00AB2FA8" w:rsidRDefault="00D10947" w:rsidP="00AB2FA8">
      <w:pPr>
        <w:sectPr w:rsidR="00AB2FA8">
          <w:pgSz w:w="11907" w:h="16840"/>
          <w:pgMar w:top="1440" w:right="1440" w:bottom="1440" w:left="1440" w:header="1134" w:footer="431" w:gutter="0"/>
          <w:cols w:space="720"/>
        </w:sectPr>
      </w:pPr>
      <w:r w:rsidRPr="00D10947">
        <w:rPr>
          <w:noProof/>
          <w:lang w:eastAsia="en-NZ"/>
        </w:rPr>
        <w:drawing>
          <wp:anchor distT="0" distB="0" distL="114300" distR="114300" simplePos="0" relativeHeight="251695104" behindDoc="0" locked="0" layoutInCell="1" allowOverlap="1">
            <wp:simplePos x="0" y="0"/>
            <wp:positionH relativeFrom="column">
              <wp:posOffset>-1315720</wp:posOffset>
            </wp:positionH>
            <wp:positionV relativeFrom="paragraph">
              <wp:posOffset>2501900</wp:posOffset>
            </wp:positionV>
            <wp:extent cx="8894445" cy="3971925"/>
            <wp:effectExtent l="0" t="2438400" r="0" b="2447925"/>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cstate="print"/>
                    <a:srcRect/>
                    <a:stretch>
                      <a:fillRect/>
                    </a:stretch>
                  </pic:blipFill>
                  <pic:spPr bwMode="auto">
                    <a:xfrm rot="16200000">
                      <a:off x="0" y="0"/>
                      <a:ext cx="8894445" cy="3971925"/>
                    </a:xfrm>
                    <a:prstGeom prst="rect">
                      <a:avLst/>
                    </a:prstGeom>
                    <a:noFill/>
                    <a:ln w="9525">
                      <a:noFill/>
                      <a:miter lim="800000"/>
                      <a:headEnd/>
                      <a:tailEnd/>
                    </a:ln>
                  </pic:spPr>
                </pic:pic>
              </a:graphicData>
            </a:graphic>
          </wp:anchor>
        </w:drawing>
      </w:r>
    </w:p>
    <w:p w:rsidR="00AB2FA8" w:rsidRDefault="00D10947" w:rsidP="00AB2FA8">
      <w:pPr>
        <w:pStyle w:val="Heading1"/>
        <w:spacing w:line="264" w:lineRule="auto"/>
        <w:jc w:val="center"/>
      </w:pPr>
      <w:bookmarkStart w:id="731" w:name="_Toc328819674"/>
      <w:r>
        <w:rPr>
          <w:noProof/>
          <w:lang w:eastAsia="en-NZ"/>
        </w:rPr>
        <w:drawing>
          <wp:anchor distT="0" distB="0" distL="114300" distR="114300" simplePos="0" relativeHeight="251696128" behindDoc="0" locked="0" layoutInCell="1" allowOverlap="1">
            <wp:simplePos x="0" y="0"/>
            <wp:positionH relativeFrom="column">
              <wp:posOffset>-596265</wp:posOffset>
            </wp:positionH>
            <wp:positionV relativeFrom="paragraph">
              <wp:posOffset>1737995</wp:posOffset>
            </wp:positionV>
            <wp:extent cx="7439660" cy="5739130"/>
            <wp:effectExtent l="0" t="838200" r="0" b="85217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3" cstate="print"/>
                    <a:srcRect/>
                    <a:stretch>
                      <a:fillRect/>
                    </a:stretch>
                  </pic:blipFill>
                  <pic:spPr bwMode="auto">
                    <a:xfrm rot="16200000">
                      <a:off x="0" y="0"/>
                      <a:ext cx="7439660" cy="5739130"/>
                    </a:xfrm>
                    <a:prstGeom prst="rect">
                      <a:avLst/>
                    </a:prstGeom>
                    <a:noFill/>
                    <a:ln w="9525">
                      <a:noFill/>
                      <a:miter lim="800000"/>
                      <a:headEnd/>
                      <a:tailEnd/>
                    </a:ln>
                  </pic:spPr>
                </pic:pic>
              </a:graphicData>
            </a:graphic>
          </wp:anchor>
        </w:drawing>
      </w:r>
      <w:bookmarkStart w:id="732" w:name="_Toc329296386"/>
      <w:r w:rsidR="00AB2FA8">
        <w:t>Schedule 8b</w:t>
      </w:r>
      <w:r w:rsidR="00AB2FA8">
        <w:tab/>
      </w:r>
      <w:r w:rsidR="00AB2FA8">
        <w:tab/>
        <w:t>Report on Billed Quantities and Line Charge Revenue (by Consumer Type)</w:t>
      </w:r>
      <w:bookmarkEnd w:id="731"/>
      <w:bookmarkEnd w:id="732"/>
    </w:p>
    <w:p w:rsidR="00A56CE5" w:rsidRDefault="00A56CE5">
      <w:r>
        <w:br w:type="page"/>
      </w:r>
    </w:p>
    <w:p w:rsidR="00B81BC2" w:rsidRDefault="00B81BC2"/>
    <w:p w:rsidR="00B81BC2" w:rsidRDefault="00EB3ACC">
      <w:r>
        <w:rPr>
          <w:noProof/>
          <w:lang w:eastAsia="en-NZ"/>
        </w:rPr>
        <w:drawing>
          <wp:anchor distT="0" distB="0" distL="114300" distR="114300" simplePos="0" relativeHeight="251730944" behindDoc="0" locked="0" layoutInCell="1" allowOverlap="1">
            <wp:simplePos x="0" y="0"/>
            <wp:positionH relativeFrom="column">
              <wp:posOffset>-1052830</wp:posOffset>
            </wp:positionH>
            <wp:positionV relativeFrom="paragraph">
              <wp:posOffset>1636395</wp:posOffset>
            </wp:positionV>
            <wp:extent cx="8049260" cy="5430520"/>
            <wp:effectExtent l="0" t="1295400" r="0" b="129413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cstate="print"/>
                    <a:srcRect/>
                    <a:stretch>
                      <a:fillRect/>
                    </a:stretch>
                  </pic:blipFill>
                  <pic:spPr bwMode="auto">
                    <a:xfrm rot="16200000">
                      <a:off x="0" y="0"/>
                      <a:ext cx="8049260" cy="5430520"/>
                    </a:xfrm>
                    <a:prstGeom prst="rect">
                      <a:avLst/>
                    </a:prstGeom>
                    <a:noFill/>
                    <a:ln w="9525">
                      <a:noFill/>
                      <a:miter lim="800000"/>
                      <a:headEnd/>
                      <a:tailEnd/>
                    </a:ln>
                  </pic:spPr>
                </pic:pic>
              </a:graphicData>
            </a:graphic>
          </wp:anchor>
        </w:drawing>
      </w:r>
      <w:r w:rsidR="00B81BC2">
        <w:br w:type="page"/>
      </w:r>
    </w:p>
    <w:p w:rsidR="00D10947" w:rsidRDefault="00D10947">
      <w:r>
        <w:rPr>
          <w:noProof/>
          <w:lang w:eastAsia="en-NZ"/>
        </w:rPr>
        <w:drawing>
          <wp:anchor distT="0" distB="0" distL="114300" distR="114300" simplePos="0" relativeHeight="251698176" behindDoc="0" locked="0" layoutInCell="1" allowOverlap="1">
            <wp:simplePos x="0" y="0"/>
            <wp:positionH relativeFrom="column">
              <wp:posOffset>-1510030</wp:posOffset>
            </wp:positionH>
            <wp:positionV relativeFrom="paragraph">
              <wp:posOffset>1538605</wp:posOffset>
            </wp:positionV>
            <wp:extent cx="8368030" cy="5563870"/>
            <wp:effectExtent l="0" t="1390650" r="0" b="138938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5" cstate="print"/>
                    <a:srcRect/>
                    <a:stretch>
                      <a:fillRect/>
                    </a:stretch>
                  </pic:blipFill>
                  <pic:spPr bwMode="auto">
                    <a:xfrm rot="16200000">
                      <a:off x="0" y="0"/>
                      <a:ext cx="8368030" cy="5563870"/>
                    </a:xfrm>
                    <a:prstGeom prst="rect">
                      <a:avLst/>
                    </a:prstGeom>
                    <a:noFill/>
                    <a:ln w="9525">
                      <a:noFill/>
                      <a:miter lim="800000"/>
                      <a:headEnd/>
                      <a:tailEnd/>
                    </a:ln>
                  </pic:spPr>
                </pic:pic>
              </a:graphicData>
            </a:graphic>
          </wp:anchor>
        </w:drawing>
      </w:r>
    </w:p>
    <w:p w:rsidR="00990E25" w:rsidRDefault="00990E25" w:rsidP="00AB2FA8">
      <w:pPr>
        <w:pStyle w:val="Singlespacedparagraph"/>
        <w:sectPr w:rsidR="00990E25">
          <w:pgSz w:w="11907" w:h="16840"/>
          <w:pgMar w:top="1440" w:right="1440" w:bottom="1440" w:left="1440" w:header="1134" w:footer="431" w:gutter="0"/>
          <w:cols w:space="720"/>
        </w:sectPr>
      </w:pPr>
    </w:p>
    <w:p w:rsidR="00D10947" w:rsidRDefault="00D10947" w:rsidP="00D10947">
      <w:pPr>
        <w:pStyle w:val="Heading1"/>
        <w:spacing w:line="264" w:lineRule="auto"/>
        <w:jc w:val="center"/>
      </w:pPr>
      <w:bookmarkStart w:id="733" w:name="_Toc328819675"/>
      <w:r>
        <w:rPr>
          <w:noProof/>
          <w:lang w:eastAsia="en-NZ"/>
        </w:rPr>
        <w:drawing>
          <wp:anchor distT="0" distB="0" distL="114300" distR="114300" simplePos="0" relativeHeight="251699200" behindDoc="0" locked="0" layoutInCell="1" allowOverlap="1">
            <wp:simplePos x="0" y="0"/>
            <wp:positionH relativeFrom="column">
              <wp:posOffset>-895350</wp:posOffset>
            </wp:positionH>
            <wp:positionV relativeFrom="paragraph">
              <wp:posOffset>2023745</wp:posOffset>
            </wp:positionV>
            <wp:extent cx="8496300" cy="5334000"/>
            <wp:effectExtent l="0" t="1562100" r="0" b="158115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6" cstate="print"/>
                    <a:srcRect/>
                    <a:stretch>
                      <a:fillRect/>
                    </a:stretch>
                  </pic:blipFill>
                  <pic:spPr bwMode="auto">
                    <a:xfrm rot="16200000">
                      <a:off x="0" y="0"/>
                      <a:ext cx="8496300" cy="5334000"/>
                    </a:xfrm>
                    <a:prstGeom prst="rect">
                      <a:avLst/>
                    </a:prstGeom>
                    <a:noFill/>
                    <a:ln w="9525">
                      <a:noFill/>
                      <a:miter lim="800000"/>
                      <a:headEnd/>
                      <a:tailEnd/>
                    </a:ln>
                  </pic:spPr>
                </pic:pic>
              </a:graphicData>
            </a:graphic>
          </wp:anchor>
        </w:drawing>
      </w:r>
      <w:bookmarkStart w:id="734" w:name="_Toc329296387"/>
      <w:r w:rsidR="00AB2FA8">
        <w:t>Schedule 9a</w:t>
      </w:r>
      <w:r w:rsidR="00AB2FA8">
        <w:tab/>
      </w:r>
      <w:r w:rsidR="00AB2FA8">
        <w:tab/>
        <w:t>Asset Register</w:t>
      </w:r>
      <w:bookmarkEnd w:id="733"/>
      <w:bookmarkEnd w:id="734"/>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35" w:name="_Toc328819676"/>
      <w:bookmarkStart w:id="736" w:name="_Toc329296388"/>
      <w:r>
        <w:t>Schedule 9b</w:t>
      </w:r>
      <w:r>
        <w:tab/>
      </w:r>
      <w:r>
        <w:tab/>
        <w:t>Asset Age Profile</w:t>
      </w:r>
      <w:bookmarkEnd w:id="735"/>
      <w:bookmarkEnd w:id="736"/>
    </w:p>
    <w:p w:rsidR="00AB2FA8" w:rsidRDefault="003E08F5" w:rsidP="00AB2FA8">
      <w:pPr>
        <w:pStyle w:val="Singlespacedparagraph"/>
      </w:pPr>
      <w:r>
        <w:rPr>
          <w:noProof/>
          <w:lang w:eastAsia="en-NZ"/>
        </w:rPr>
        <w:drawing>
          <wp:anchor distT="0" distB="0" distL="114300" distR="114300" simplePos="0" relativeHeight="251700224" behindDoc="0" locked="0" layoutInCell="1" allowOverlap="1">
            <wp:simplePos x="0" y="0"/>
            <wp:positionH relativeFrom="column">
              <wp:posOffset>-1672590</wp:posOffset>
            </wp:positionH>
            <wp:positionV relativeFrom="paragraph">
              <wp:posOffset>4395470</wp:posOffset>
            </wp:positionV>
            <wp:extent cx="12139930" cy="3785870"/>
            <wp:effectExtent l="0" t="4152900" r="0" b="417703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7" cstate="print"/>
                    <a:srcRect/>
                    <a:stretch>
                      <a:fillRect/>
                    </a:stretch>
                  </pic:blipFill>
                  <pic:spPr bwMode="auto">
                    <a:xfrm rot="16200000">
                      <a:off x="0" y="0"/>
                      <a:ext cx="12139930" cy="3785870"/>
                    </a:xfrm>
                    <a:prstGeom prst="rect">
                      <a:avLst/>
                    </a:prstGeom>
                    <a:noFill/>
                    <a:ln w="9525">
                      <a:noFill/>
                      <a:miter lim="800000"/>
                      <a:headEnd/>
                      <a:tailEnd/>
                    </a:ln>
                  </pic:spPr>
                </pic:pic>
              </a:graphicData>
            </a:graphic>
          </wp:anchor>
        </w:drawing>
      </w:r>
    </w:p>
    <w:p w:rsidR="00AB2FA8" w:rsidRDefault="00AB2FA8" w:rsidP="00AB2FA8">
      <w:pPr>
        <w:sectPr w:rsidR="00AB2FA8" w:rsidSect="003E08F5">
          <w:pgSz w:w="16839" w:h="23814" w:code="8"/>
          <w:pgMar w:top="1440" w:right="1440" w:bottom="1440" w:left="1440" w:header="1134" w:footer="431" w:gutter="0"/>
          <w:cols w:space="720"/>
          <w:docGrid w:linePitch="326"/>
        </w:sectPr>
      </w:pPr>
    </w:p>
    <w:p w:rsidR="00AB2FA8" w:rsidRDefault="003E08F5" w:rsidP="003E08F5">
      <w:pPr>
        <w:pStyle w:val="Heading1"/>
        <w:spacing w:line="264" w:lineRule="auto"/>
        <w:jc w:val="center"/>
        <w:sectPr w:rsidR="00AB2FA8">
          <w:pgSz w:w="11907" w:h="16840"/>
          <w:pgMar w:top="1440" w:right="1440" w:bottom="1440" w:left="1440" w:header="1134" w:footer="431" w:gutter="0"/>
          <w:cols w:space="720"/>
        </w:sectPr>
      </w:pPr>
      <w:bookmarkStart w:id="737" w:name="_Toc328819677"/>
      <w:r>
        <w:rPr>
          <w:noProof/>
          <w:lang w:eastAsia="en-NZ"/>
        </w:rPr>
        <w:drawing>
          <wp:anchor distT="0" distB="0" distL="114300" distR="114300" simplePos="0" relativeHeight="251703296" behindDoc="0" locked="0" layoutInCell="1" allowOverlap="1">
            <wp:simplePos x="0" y="0"/>
            <wp:positionH relativeFrom="column">
              <wp:posOffset>-1089025</wp:posOffset>
            </wp:positionH>
            <wp:positionV relativeFrom="paragraph">
              <wp:posOffset>2668270</wp:posOffset>
            </wp:positionV>
            <wp:extent cx="8657590" cy="4050030"/>
            <wp:effectExtent l="0" t="2286000" r="0" b="2312670"/>
            <wp:wrapSquare wrapText="bothSides"/>
            <wp:docPr id="1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8" cstate="print"/>
                    <a:srcRect/>
                    <a:stretch>
                      <a:fillRect/>
                    </a:stretch>
                  </pic:blipFill>
                  <pic:spPr bwMode="auto">
                    <a:xfrm rot="16200000">
                      <a:off x="0" y="0"/>
                      <a:ext cx="8657590" cy="4050030"/>
                    </a:xfrm>
                    <a:prstGeom prst="rect">
                      <a:avLst/>
                    </a:prstGeom>
                    <a:noFill/>
                    <a:ln w="9525">
                      <a:noFill/>
                      <a:miter lim="800000"/>
                      <a:headEnd/>
                      <a:tailEnd/>
                    </a:ln>
                  </pic:spPr>
                </pic:pic>
              </a:graphicData>
            </a:graphic>
          </wp:anchor>
        </w:drawing>
      </w:r>
      <w:bookmarkStart w:id="738" w:name="_Toc329296389"/>
      <w:r w:rsidR="00AB2FA8">
        <w:t>Schedule 9c</w:t>
      </w:r>
      <w:r w:rsidR="00AB2FA8">
        <w:tab/>
      </w:r>
      <w:r w:rsidR="00AB2FA8">
        <w:tab/>
        <w:t xml:space="preserve">Report on </w:t>
      </w:r>
      <w:bookmarkEnd w:id="737"/>
      <w:r w:rsidR="00990E25">
        <w:t>Pipeline Data</w:t>
      </w:r>
      <w:bookmarkEnd w:id="738"/>
    </w:p>
    <w:p w:rsidR="00AB2FA8" w:rsidRDefault="00AB2FA8" w:rsidP="00AB2FA8">
      <w:pPr>
        <w:pStyle w:val="Heading1"/>
        <w:spacing w:line="264" w:lineRule="auto"/>
        <w:jc w:val="center"/>
      </w:pPr>
      <w:bookmarkStart w:id="739" w:name="_Toc328819679"/>
      <w:bookmarkStart w:id="740" w:name="_Toc329296390"/>
      <w:r>
        <w:t>Schedule 9</w:t>
      </w:r>
      <w:r w:rsidR="00990E25">
        <w:t>d</w:t>
      </w:r>
      <w:r w:rsidR="00990E25">
        <w:tab/>
      </w:r>
      <w:r>
        <w:tab/>
        <w:t>Report on Demand</w:t>
      </w:r>
      <w:bookmarkEnd w:id="739"/>
      <w:bookmarkEnd w:id="740"/>
    </w:p>
    <w:p w:rsidR="00AB2FA8" w:rsidRDefault="00A56CE5" w:rsidP="00AB2FA8">
      <w:pPr>
        <w:pStyle w:val="Singlespacedparagraph"/>
      </w:pPr>
      <w:r>
        <w:rPr>
          <w:noProof/>
          <w:lang w:eastAsia="en-NZ"/>
        </w:rPr>
        <w:drawing>
          <wp:anchor distT="0" distB="0" distL="114300" distR="114300" simplePos="0" relativeHeight="251704320" behindDoc="0" locked="0" layoutInCell="1" allowOverlap="1">
            <wp:simplePos x="0" y="0"/>
            <wp:positionH relativeFrom="column">
              <wp:posOffset>-205105</wp:posOffset>
            </wp:positionH>
            <wp:positionV relativeFrom="paragraph">
              <wp:posOffset>356235</wp:posOffset>
            </wp:positionV>
            <wp:extent cx="6272530" cy="6830695"/>
            <wp:effectExtent l="19050" t="0" r="0" b="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9" cstate="print"/>
                    <a:srcRect/>
                    <a:stretch>
                      <a:fillRect/>
                    </a:stretch>
                  </pic:blipFill>
                  <pic:spPr bwMode="auto">
                    <a:xfrm>
                      <a:off x="0" y="0"/>
                      <a:ext cx="6272530" cy="6830695"/>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41" w:name="_Toc328819680"/>
      <w:bookmarkStart w:id="742" w:name="_Toc329296391"/>
      <w:r>
        <w:t>Schedule 10</w:t>
      </w:r>
      <w:r>
        <w:tab/>
      </w:r>
      <w:r>
        <w:tab/>
        <w:t xml:space="preserve">Report on </w:t>
      </w:r>
      <w:r w:rsidR="00990E25">
        <w:t xml:space="preserve">Network </w:t>
      </w:r>
      <w:r>
        <w:t>Reliability</w:t>
      </w:r>
      <w:bookmarkEnd w:id="741"/>
      <w:r w:rsidR="00990E25">
        <w:t xml:space="preserve"> and Interruptions</w:t>
      </w:r>
      <w:bookmarkEnd w:id="742"/>
    </w:p>
    <w:p w:rsidR="00AB2FA8" w:rsidRDefault="006279EB" w:rsidP="00AB2FA8">
      <w:pPr>
        <w:pStyle w:val="Singlespacedparagraph"/>
      </w:pPr>
      <w:r>
        <w:rPr>
          <w:noProof/>
          <w:lang w:eastAsia="en-NZ"/>
        </w:rPr>
        <w:drawing>
          <wp:anchor distT="0" distB="0" distL="114300" distR="114300" simplePos="0" relativeHeight="251705344" behindDoc="0" locked="0" layoutInCell="1" allowOverlap="1">
            <wp:simplePos x="0" y="0"/>
            <wp:positionH relativeFrom="column">
              <wp:posOffset>-182880</wp:posOffset>
            </wp:positionH>
            <wp:positionV relativeFrom="paragraph">
              <wp:posOffset>766445</wp:posOffset>
            </wp:positionV>
            <wp:extent cx="6416040" cy="6968490"/>
            <wp:effectExtent l="19050" t="0" r="381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0" cstate="print"/>
                    <a:srcRect/>
                    <a:stretch>
                      <a:fillRect/>
                    </a:stretch>
                  </pic:blipFill>
                  <pic:spPr bwMode="auto">
                    <a:xfrm>
                      <a:off x="0" y="0"/>
                      <a:ext cx="6416040" cy="6968490"/>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43" w:name="_Toc328819681"/>
      <w:bookmarkStart w:id="744" w:name="_Toc329296392"/>
      <w:r>
        <w:t>Schedule 10a</w:t>
      </w:r>
      <w:r>
        <w:tab/>
        <w:t xml:space="preserve">Report on Network </w:t>
      </w:r>
      <w:bookmarkEnd w:id="743"/>
      <w:r w:rsidR="00990E25">
        <w:t>Integrity</w:t>
      </w:r>
      <w:bookmarkEnd w:id="744"/>
    </w:p>
    <w:p w:rsidR="00AB2FA8" w:rsidRDefault="006279EB" w:rsidP="00AB2FA8">
      <w:pPr>
        <w:pStyle w:val="Singlespacedparagraph"/>
      </w:pPr>
      <w:r>
        <w:rPr>
          <w:noProof/>
          <w:lang w:eastAsia="en-NZ"/>
        </w:rPr>
        <w:drawing>
          <wp:anchor distT="0" distB="0" distL="114300" distR="114300" simplePos="0" relativeHeight="251706368" behindDoc="0" locked="0" layoutInCell="1" allowOverlap="1">
            <wp:simplePos x="0" y="0"/>
            <wp:positionH relativeFrom="column">
              <wp:posOffset>-622935</wp:posOffset>
            </wp:positionH>
            <wp:positionV relativeFrom="paragraph">
              <wp:posOffset>2304415</wp:posOffset>
            </wp:positionV>
            <wp:extent cx="7995920" cy="4198620"/>
            <wp:effectExtent l="0" t="1885950" r="0" b="189738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1" cstate="print"/>
                    <a:srcRect/>
                    <a:stretch>
                      <a:fillRect/>
                    </a:stretch>
                  </pic:blipFill>
                  <pic:spPr bwMode="auto">
                    <a:xfrm rot="16200000">
                      <a:off x="0" y="0"/>
                      <a:ext cx="7995920" cy="4198620"/>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45" w:name="_Toc328819682"/>
      <w:bookmarkStart w:id="746" w:name="_Toc329296393"/>
      <w:r>
        <w:t>Schedule 11a</w:t>
      </w:r>
      <w:r>
        <w:tab/>
        <w:t>Report on Forecast Capital Expenditure</w:t>
      </w:r>
      <w:bookmarkEnd w:id="745"/>
      <w:bookmarkEnd w:id="746"/>
    </w:p>
    <w:p w:rsidR="00AB2FA8" w:rsidRDefault="006279EB" w:rsidP="00AB2FA8">
      <w:pPr>
        <w:pStyle w:val="Singlespacedparagraph"/>
      </w:pPr>
      <w:r>
        <w:rPr>
          <w:noProof/>
          <w:lang w:eastAsia="en-NZ"/>
        </w:rPr>
        <w:drawing>
          <wp:anchor distT="0" distB="0" distL="114300" distR="114300" simplePos="0" relativeHeight="251707392" behindDoc="0" locked="0" layoutInCell="1" allowOverlap="1">
            <wp:simplePos x="0" y="0"/>
            <wp:positionH relativeFrom="column">
              <wp:posOffset>-1011555</wp:posOffset>
            </wp:positionH>
            <wp:positionV relativeFrom="paragraph">
              <wp:posOffset>2490470</wp:posOffset>
            </wp:positionV>
            <wp:extent cx="8482330" cy="3921760"/>
            <wp:effectExtent l="0" t="2266950" r="0" b="228854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2" cstate="print"/>
                    <a:srcRect/>
                    <a:stretch>
                      <a:fillRect/>
                    </a:stretch>
                  </pic:blipFill>
                  <pic:spPr bwMode="auto">
                    <a:xfrm rot="16200000">
                      <a:off x="0" y="0"/>
                      <a:ext cx="8482330" cy="3921760"/>
                    </a:xfrm>
                    <a:prstGeom prst="rect">
                      <a:avLst/>
                    </a:prstGeom>
                    <a:noFill/>
                    <a:ln w="9525">
                      <a:noFill/>
                      <a:miter lim="800000"/>
                      <a:headEnd/>
                      <a:tailEnd/>
                    </a:ln>
                  </pic:spPr>
                </pic:pic>
              </a:graphicData>
            </a:graphic>
          </wp:anchor>
        </w:drawing>
      </w:r>
    </w:p>
    <w:p w:rsidR="006279EB" w:rsidRDefault="006279EB">
      <w:r>
        <w:rPr>
          <w:noProof/>
          <w:lang w:eastAsia="en-NZ"/>
        </w:rPr>
        <w:drawing>
          <wp:anchor distT="0" distB="0" distL="114300" distR="114300" simplePos="0" relativeHeight="251708416" behindDoc="0" locked="0" layoutInCell="1" allowOverlap="1">
            <wp:simplePos x="0" y="0"/>
            <wp:positionH relativeFrom="column">
              <wp:posOffset>-953135</wp:posOffset>
            </wp:positionH>
            <wp:positionV relativeFrom="paragraph">
              <wp:posOffset>2181860</wp:posOffset>
            </wp:positionV>
            <wp:extent cx="8793480" cy="4129405"/>
            <wp:effectExtent l="0" t="2305050" r="0" b="2328545"/>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3" cstate="print"/>
                    <a:srcRect/>
                    <a:stretch>
                      <a:fillRect/>
                    </a:stretch>
                  </pic:blipFill>
                  <pic:spPr bwMode="auto">
                    <a:xfrm rot="16200000">
                      <a:off x="0" y="0"/>
                      <a:ext cx="8793480" cy="4129405"/>
                    </a:xfrm>
                    <a:prstGeom prst="rect">
                      <a:avLst/>
                    </a:prstGeom>
                    <a:noFill/>
                    <a:ln w="9525">
                      <a:noFill/>
                      <a:miter lim="800000"/>
                      <a:headEnd/>
                      <a:tailEnd/>
                    </a:ln>
                  </pic:spPr>
                </pic:pic>
              </a:graphicData>
            </a:graphic>
          </wp:anchor>
        </w:drawing>
      </w:r>
      <w:r>
        <w:br w:type="page"/>
      </w:r>
    </w:p>
    <w:p w:rsidR="006279EB" w:rsidRDefault="006279EB">
      <w:r w:rsidRPr="006279EB">
        <w:rPr>
          <w:noProof/>
          <w:lang w:eastAsia="en-NZ"/>
        </w:rPr>
        <w:drawing>
          <wp:anchor distT="0" distB="0" distL="114300" distR="114300" simplePos="0" relativeHeight="251709440" behindDoc="0" locked="0" layoutInCell="1" allowOverlap="1">
            <wp:simplePos x="0" y="0"/>
            <wp:positionH relativeFrom="column">
              <wp:posOffset>-147320</wp:posOffset>
            </wp:positionH>
            <wp:positionV relativeFrom="paragraph">
              <wp:posOffset>402590</wp:posOffset>
            </wp:positionV>
            <wp:extent cx="6256655" cy="5430520"/>
            <wp:effectExtent l="19050" t="0" r="0" b="0"/>
            <wp:wrapSquare wrapText="bothSides"/>
            <wp:docPr id="1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4" cstate="print"/>
                    <a:srcRect/>
                    <a:stretch>
                      <a:fillRect/>
                    </a:stretch>
                  </pic:blipFill>
                  <pic:spPr bwMode="auto">
                    <a:xfrm>
                      <a:off x="0" y="0"/>
                      <a:ext cx="6256655" cy="5430520"/>
                    </a:xfrm>
                    <a:prstGeom prst="rect">
                      <a:avLst/>
                    </a:prstGeom>
                    <a:noFill/>
                    <a:ln w="9525">
                      <a:noFill/>
                      <a:miter lim="800000"/>
                      <a:headEnd/>
                      <a:tailEnd/>
                    </a:ln>
                  </pic:spPr>
                </pic:pic>
              </a:graphicData>
            </a:graphic>
          </wp:anchor>
        </w:drawing>
      </w:r>
      <w:r>
        <w:br w:type="page"/>
      </w:r>
    </w:p>
    <w:p w:rsidR="006279EB" w:rsidRDefault="006279EB">
      <w:r w:rsidRPr="006279EB">
        <w:rPr>
          <w:noProof/>
          <w:lang w:eastAsia="en-NZ"/>
        </w:rPr>
        <w:drawing>
          <wp:anchor distT="0" distB="0" distL="114300" distR="114300" simplePos="0" relativeHeight="251710464" behindDoc="0" locked="0" layoutInCell="1" allowOverlap="1">
            <wp:simplePos x="0" y="0"/>
            <wp:positionH relativeFrom="column">
              <wp:posOffset>-216535</wp:posOffset>
            </wp:positionH>
            <wp:positionV relativeFrom="paragraph">
              <wp:posOffset>250190</wp:posOffset>
            </wp:positionV>
            <wp:extent cx="6284595" cy="5084445"/>
            <wp:effectExtent l="19050" t="0" r="1905"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5" cstate="print"/>
                    <a:srcRect/>
                    <a:stretch>
                      <a:fillRect/>
                    </a:stretch>
                  </pic:blipFill>
                  <pic:spPr bwMode="auto">
                    <a:xfrm>
                      <a:off x="0" y="0"/>
                      <a:ext cx="6284595" cy="5084445"/>
                    </a:xfrm>
                    <a:prstGeom prst="rect">
                      <a:avLst/>
                    </a:prstGeom>
                    <a:noFill/>
                    <a:ln w="9525">
                      <a:noFill/>
                      <a:miter lim="800000"/>
                      <a:headEnd/>
                      <a:tailEnd/>
                    </a:ln>
                  </pic:spPr>
                </pic:pic>
              </a:graphicData>
            </a:graphic>
          </wp:anchor>
        </w:drawing>
      </w:r>
      <w:r>
        <w:br w:type="page"/>
      </w:r>
    </w:p>
    <w:p w:rsidR="006279EB" w:rsidRDefault="000F314A">
      <w:r w:rsidRPr="000F314A">
        <w:rPr>
          <w:noProof/>
          <w:lang w:eastAsia="en-NZ"/>
        </w:rPr>
        <w:drawing>
          <wp:anchor distT="0" distB="0" distL="114300" distR="114300" simplePos="0" relativeHeight="251711488" behindDoc="0" locked="0" layoutInCell="1" allowOverlap="1">
            <wp:simplePos x="0" y="0"/>
            <wp:positionH relativeFrom="column">
              <wp:posOffset>101600</wp:posOffset>
            </wp:positionH>
            <wp:positionV relativeFrom="paragraph">
              <wp:posOffset>471805</wp:posOffset>
            </wp:positionV>
            <wp:extent cx="5923915" cy="5264150"/>
            <wp:effectExtent l="19050" t="0" r="635"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6" cstate="print"/>
                    <a:srcRect/>
                    <a:stretch>
                      <a:fillRect/>
                    </a:stretch>
                  </pic:blipFill>
                  <pic:spPr bwMode="auto">
                    <a:xfrm>
                      <a:off x="0" y="0"/>
                      <a:ext cx="5923915" cy="5264150"/>
                    </a:xfrm>
                    <a:prstGeom prst="rect">
                      <a:avLst/>
                    </a:prstGeom>
                    <a:noFill/>
                    <a:ln w="9525">
                      <a:noFill/>
                      <a:miter lim="800000"/>
                      <a:headEnd/>
                      <a:tailEnd/>
                    </a:ln>
                  </pic:spPr>
                </pic:pic>
              </a:graphicData>
            </a:graphic>
          </wp:anchor>
        </w:drawing>
      </w:r>
      <w:r w:rsidR="006279EB">
        <w:br w:type="page"/>
      </w:r>
    </w:p>
    <w:p w:rsidR="00AB2FA8" w:rsidRDefault="00AB2FA8" w:rsidP="00AB2FA8">
      <w:pPr>
        <w:sectPr w:rsidR="00AB2FA8">
          <w:pgSz w:w="11907" w:h="16840"/>
          <w:pgMar w:top="1440" w:right="1440" w:bottom="1440" w:left="1440" w:header="1134" w:footer="431" w:gutter="0"/>
          <w:cols w:space="720"/>
        </w:sectPr>
      </w:pPr>
    </w:p>
    <w:p w:rsidR="00AB2FA8" w:rsidRDefault="000F314A" w:rsidP="00AB2FA8">
      <w:pPr>
        <w:pStyle w:val="Heading1"/>
        <w:spacing w:line="264" w:lineRule="auto"/>
        <w:jc w:val="center"/>
      </w:pPr>
      <w:bookmarkStart w:id="747" w:name="_Toc328819683"/>
      <w:r>
        <w:rPr>
          <w:noProof/>
          <w:lang w:eastAsia="en-NZ"/>
        </w:rPr>
        <w:drawing>
          <wp:anchor distT="0" distB="0" distL="114300" distR="114300" simplePos="0" relativeHeight="251712512" behindDoc="0" locked="0" layoutInCell="1" allowOverlap="1">
            <wp:simplePos x="0" y="0"/>
            <wp:positionH relativeFrom="column">
              <wp:posOffset>-850265</wp:posOffset>
            </wp:positionH>
            <wp:positionV relativeFrom="paragraph">
              <wp:posOffset>1835150</wp:posOffset>
            </wp:positionV>
            <wp:extent cx="8164830" cy="5636260"/>
            <wp:effectExtent l="0" t="1238250" r="0" b="125984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7" cstate="print"/>
                    <a:srcRect/>
                    <a:stretch>
                      <a:fillRect/>
                    </a:stretch>
                  </pic:blipFill>
                  <pic:spPr bwMode="auto">
                    <a:xfrm rot="16200000">
                      <a:off x="0" y="0"/>
                      <a:ext cx="8164830" cy="5636260"/>
                    </a:xfrm>
                    <a:prstGeom prst="rect">
                      <a:avLst/>
                    </a:prstGeom>
                    <a:noFill/>
                    <a:ln w="9525">
                      <a:noFill/>
                      <a:miter lim="800000"/>
                      <a:headEnd/>
                      <a:tailEnd/>
                    </a:ln>
                  </pic:spPr>
                </pic:pic>
              </a:graphicData>
            </a:graphic>
          </wp:anchor>
        </w:drawing>
      </w:r>
      <w:bookmarkStart w:id="748" w:name="_Toc329296394"/>
      <w:r w:rsidR="00AB2FA8">
        <w:t>Schedule 11b</w:t>
      </w:r>
      <w:r w:rsidR="00AB2FA8">
        <w:tab/>
        <w:t>Report on Forecast Operational Expenditure</w:t>
      </w:r>
      <w:bookmarkEnd w:id="747"/>
      <w:bookmarkEnd w:id="748"/>
    </w:p>
    <w:p w:rsidR="00AB2FA8" w:rsidRDefault="00AB2FA8" w:rsidP="00AB2FA8">
      <w:pPr>
        <w:pStyle w:val="Singlespacedparagraph"/>
      </w:pP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49" w:name="_Toc328819685"/>
      <w:bookmarkStart w:id="750" w:name="_Toc329296395"/>
      <w:r>
        <w:t>Schedule 12a</w:t>
      </w:r>
      <w:r>
        <w:tab/>
        <w:t>Report on Asset Condition</w:t>
      </w:r>
      <w:bookmarkEnd w:id="749"/>
      <w:bookmarkEnd w:id="750"/>
    </w:p>
    <w:p w:rsidR="00AB2FA8" w:rsidRDefault="000F314A" w:rsidP="00AB2FA8">
      <w:pPr>
        <w:pStyle w:val="Singlespacedparagraph"/>
      </w:pPr>
      <w:r>
        <w:rPr>
          <w:noProof/>
          <w:lang w:eastAsia="en-NZ"/>
        </w:rPr>
        <w:drawing>
          <wp:anchor distT="0" distB="0" distL="114300" distR="114300" simplePos="0" relativeHeight="251713536" behindDoc="0" locked="0" layoutInCell="1" allowOverlap="1">
            <wp:simplePos x="0" y="0"/>
            <wp:positionH relativeFrom="column">
              <wp:posOffset>-861060</wp:posOffset>
            </wp:positionH>
            <wp:positionV relativeFrom="paragraph">
              <wp:posOffset>2141220</wp:posOffset>
            </wp:positionV>
            <wp:extent cx="8487410" cy="4577080"/>
            <wp:effectExtent l="0" t="1943100" r="0" b="193802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8" cstate="print"/>
                    <a:srcRect/>
                    <a:stretch>
                      <a:fillRect/>
                    </a:stretch>
                  </pic:blipFill>
                  <pic:spPr bwMode="auto">
                    <a:xfrm rot="16200000">
                      <a:off x="0" y="0"/>
                      <a:ext cx="8487410" cy="4577080"/>
                    </a:xfrm>
                    <a:prstGeom prst="rect">
                      <a:avLst/>
                    </a:prstGeom>
                    <a:noFill/>
                    <a:ln w="9525">
                      <a:noFill/>
                      <a:miter lim="800000"/>
                      <a:headEnd/>
                      <a:tailEnd/>
                    </a:ln>
                  </pic:spPr>
                </pic:pic>
              </a:graphicData>
            </a:graphic>
          </wp:anchor>
        </w:drawing>
      </w:r>
    </w:p>
    <w:p w:rsidR="00AB2FA8" w:rsidRDefault="00AB2FA8" w:rsidP="00AB2FA8">
      <w:pPr>
        <w:sectPr w:rsidR="00AB2FA8">
          <w:pgSz w:w="11907" w:h="16840"/>
          <w:pgMar w:top="1440" w:right="1440" w:bottom="1440" w:left="1440" w:header="1134" w:footer="431" w:gutter="0"/>
          <w:cols w:space="720"/>
        </w:sectPr>
      </w:pPr>
    </w:p>
    <w:p w:rsidR="00AB2FA8" w:rsidRDefault="000F314A" w:rsidP="00AB2FA8">
      <w:pPr>
        <w:pStyle w:val="Heading1"/>
        <w:spacing w:line="264" w:lineRule="auto"/>
        <w:jc w:val="center"/>
      </w:pPr>
      <w:bookmarkStart w:id="751" w:name="_Toc328819687"/>
      <w:r>
        <w:rPr>
          <w:noProof/>
          <w:lang w:eastAsia="en-NZ"/>
        </w:rPr>
        <w:drawing>
          <wp:anchor distT="0" distB="0" distL="114300" distR="114300" simplePos="0" relativeHeight="251714560" behindDoc="0" locked="0" layoutInCell="1" allowOverlap="1">
            <wp:simplePos x="0" y="0"/>
            <wp:positionH relativeFrom="column">
              <wp:posOffset>-506095</wp:posOffset>
            </wp:positionH>
            <wp:positionV relativeFrom="paragraph">
              <wp:posOffset>1797685</wp:posOffset>
            </wp:positionV>
            <wp:extent cx="7336155" cy="4739005"/>
            <wp:effectExtent l="0" t="1276350" r="0" b="1280795"/>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9" cstate="print"/>
                    <a:srcRect/>
                    <a:stretch>
                      <a:fillRect/>
                    </a:stretch>
                  </pic:blipFill>
                  <pic:spPr bwMode="auto">
                    <a:xfrm rot="16200000">
                      <a:off x="0" y="0"/>
                      <a:ext cx="7336155" cy="4739005"/>
                    </a:xfrm>
                    <a:prstGeom prst="rect">
                      <a:avLst/>
                    </a:prstGeom>
                    <a:noFill/>
                    <a:ln w="9525">
                      <a:noFill/>
                      <a:miter lim="800000"/>
                      <a:headEnd/>
                      <a:tailEnd/>
                    </a:ln>
                  </pic:spPr>
                </pic:pic>
              </a:graphicData>
            </a:graphic>
          </wp:anchor>
        </w:drawing>
      </w:r>
      <w:bookmarkStart w:id="752" w:name="_Toc329296396"/>
      <w:r w:rsidR="00AB2FA8">
        <w:t>Schedule 12</w:t>
      </w:r>
      <w:r w:rsidR="00990E25">
        <w:t>b</w:t>
      </w:r>
      <w:r w:rsidR="00AB2FA8">
        <w:tab/>
        <w:t>Report on Forecast Demand</w:t>
      </w:r>
      <w:bookmarkEnd w:id="751"/>
      <w:bookmarkEnd w:id="752"/>
    </w:p>
    <w:p w:rsidR="00AB2FA8" w:rsidRDefault="00AB2FA8" w:rsidP="00AB2FA8">
      <w:pPr>
        <w:pStyle w:val="Singlespacedparagraph"/>
      </w:pPr>
    </w:p>
    <w:p w:rsidR="00AB2FA8" w:rsidRDefault="00AB2FA8" w:rsidP="00AB2FA8">
      <w:pPr>
        <w:pStyle w:val="Singlespacedparagraph"/>
      </w:pPr>
    </w:p>
    <w:p w:rsidR="00AB2FA8" w:rsidRDefault="00AB2FA8" w:rsidP="00AB2FA8">
      <w:pPr>
        <w:sectPr w:rsidR="00AB2FA8">
          <w:pgSz w:w="11907" w:h="16840"/>
          <w:pgMar w:top="1440" w:right="1440" w:bottom="1440" w:left="1440" w:header="1134" w:footer="431" w:gutter="0"/>
          <w:cols w:space="720"/>
        </w:sectPr>
      </w:pPr>
    </w:p>
    <w:p w:rsidR="002166B6" w:rsidRPr="006441E4" w:rsidRDefault="002166B6" w:rsidP="002166B6">
      <w:pPr>
        <w:pStyle w:val="Heading1"/>
        <w:spacing w:line="264" w:lineRule="auto"/>
        <w:jc w:val="center"/>
      </w:pPr>
      <w:bookmarkStart w:id="753" w:name="_Ref308527737"/>
      <w:bookmarkStart w:id="754" w:name="_Toc308544688"/>
      <w:bookmarkStart w:id="755" w:name="_Toc308544711"/>
      <w:bookmarkStart w:id="756" w:name="_Toc311198555"/>
      <w:bookmarkStart w:id="757" w:name="_Toc329296397"/>
      <w:r w:rsidRPr="006441E4">
        <w:t>Schedule 1</w:t>
      </w:r>
      <w:r w:rsidR="00AB2FA8">
        <w:t>3</w:t>
      </w:r>
      <w:r w:rsidRPr="006441E4">
        <w:tab/>
      </w:r>
      <w:r w:rsidRPr="006441E4">
        <w:tab/>
      </w:r>
      <w:r w:rsidR="0021422E" w:rsidRPr="0021422E">
        <w:t>Report on Asset Management Maturity</w:t>
      </w:r>
      <w:bookmarkEnd w:id="753"/>
      <w:bookmarkEnd w:id="754"/>
      <w:bookmarkEnd w:id="755"/>
      <w:bookmarkEnd w:id="756"/>
      <w:bookmarkEnd w:id="757"/>
    </w:p>
    <w:p w:rsidR="00F40DAE" w:rsidRDefault="00695FE1" w:rsidP="00440341">
      <w:pPr>
        <w:pStyle w:val="Para1"/>
        <w:numPr>
          <w:ilvl w:val="0"/>
          <w:numId w:val="58"/>
        </w:numPr>
      </w:pPr>
      <w:bookmarkStart w:id="758" w:name="_Toc310795818"/>
      <w:bookmarkStart w:id="759" w:name="_Toc310798152"/>
      <w:bookmarkStart w:id="760" w:name="_Toc310842274"/>
      <w:bookmarkStart w:id="761" w:name="_Toc310881760"/>
      <w:bookmarkStart w:id="762" w:name="_Toc310884828"/>
      <w:bookmarkStart w:id="763" w:name="_Toc310888573"/>
      <w:bookmarkStart w:id="764" w:name="_Toc310795819"/>
      <w:bookmarkStart w:id="765" w:name="_Toc310798153"/>
      <w:bookmarkStart w:id="766" w:name="_Toc310842275"/>
      <w:bookmarkStart w:id="767" w:name="_Toc310881761"/>
      <w:bookmarkStart w:id="768" w:name="_Toc310884829"/>
      <w:bookmarkStart w:id="769" w:name="_Toc310888574"/>
      <w:bookmarkStart w:id="770" w:name="_Toc310795820"/>
      <w:bookmarkStart w:id="771" w:name="_Toc310798154"/>
      <w:bookmarkStart w:id="772" w:name="_Toc310842276"/>
      <w:bookmarkStart w:id="773" w:name="_Toc310881762"/>
      <w:bookmarkStart w:id="774" w:name="_Toc310884830"/>
      <w:bookmarkStart w:id="775" w:name="_Toc310888575"/>
      <w:bookmarkStart w:id="776" w:name="_Toc311193320"/>
      <w:bookmarkStart w:id="777" w:name="_Toc311193391"/>
      <w:bookmarkStart w:id="778" w:name="_Toc311195632"/>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6441E4">
        <w:t xml:space="preserve">Each </w:t>
      </w:r>
      <w:r w:rsidRPr="004F0FAE">
        <w:t>GTB</w:t>
      </w:r>
      <w:r w:rsidRPr="006441E4">
        <w:t xml:space="preserve"> must complete the AMMAT Report</w:t>
      </w:r>
      <w:r w:rsidR="001B7860">
        <w:t xml:space="preserve">. </w:t>
      </w:r>
      <w:r w:rsidRPr="006441E4">
        <w:t xml:space="preserve">The </w:t>
      </w:r>
      <w:r w:rsidR="00F86836" w:rsidRPr="00F86836">
        <w:rPr>
          <w:b/>
        </w:rPr>
        <w:t>GTB</w:t>
      </w:r>
      <w:r w:rsidRPr="006441E4">
        <w:t xml:space="preserve"> must ensure that the person responsible for managing </w:t>
      </w:r>
      <w:r w:rsidRPr="004F0FAE">
        <w:t>network</w:t>
      </w:r>
      <w:r w:rsidRPr="006441E4">
        <w:t xml:space="preserve"> assets (or a similar level individual) in the organisation takes responsibility for completing and maintaining the AMMAT, including:</w:t>
      </w:r>
    </w:p>
    <w:p w:rsidR="00695FE1" w:rsidRPr="006441E4" w:rsidRDefault="00695FE1" w:rsidP="00440341">
      <w:pPr>
        <w:pStyle w:val="Para1"/>
        <w:numPr>
          <w:ilvl w:val="1"/>
          <w:numId w:val="58"/>
        </w:numPr>
      </w:pPr>
      <w:r w:rsidRPr="006441E4">
        <w:t>Organising people within the organisation to answer the questions;</w:t>
      </w:r>
    </w:p>
    <w:p w:rsidR="00695FE1" w:rsidRPr="006441E4" w:rsidRDefault="00695FE1" w:rsidP="00440341">
      <w:pPr>
        <w:pStyle w:val="Para1"/>
        <w:numPr>
          <w:ilvl w:val="1"/>
          <w:numId w:val="58"/>
        </w:numPr>
      </w:pPr>
      <w:r w:rsidRPr="006441E4">
        <w:t>Arranging for all information to be captured within the AMMAT;</w:t>
      </w:r>
    </w:p>
    <w:p w:rsidR="00695FE1" w:rsidRPr="006441E4" w:rsidRDefault="00695FE1" w:rsidP="00440341">
      <w:pPr>
        <w:pStyle w:val="Para1"/>
        <w:numPr>
          <w:ilvl w:val="1"/>
          <w:numId w:val="58"/>
        </w:numPr>
      </w:pPr>
      <w:r w:rsidRPr="006441E4">
        <w:t>Reporting to the organisation on the results of the assessment;</w:t>
      </w:r>
    </w:p>
    <w:p w:rsidR="00695FE1" w:rsidRPr="006441E4" w:rsidRDefault="00695FE1" w:rsidP="00440341">
      <w:pPr>
        <w:pStyle w:val="Para1"/>
        <w:numPr>
          <w:ilvl w:val="1"/>
          <w:numId w:val="58"/>
        </w:numPr>
      </w:pPr>
      <w:r w:rsidRPr="006441E4">
        <w:t>Planning the assessment process, including:</w:t>
      </w:r>
    </w:p>
    <w:p w:rsidR="00695FE1" w:rsidRPr="006441E4" w:rsidRDefault="00695FE1" w:rsidP="00440341">
      <w:pPr>
        <w:pStyle w:val="Para1"/>
        <w:numPr>
          <w:ilvl w:val="2"/>
          <w:numId w:val="58"/>
        </w:numPr>
      </w:pPr>
      <w:r w:rsidRPr="006441E4">
        <w:t>Determining the form the assessment process is to take</w:t>
      </w:r>
      <w:r w:rsidR="001B7860">
        <w:t xml:space="preserve">. </w:t>
      </w:r>
      <w:r w:rsidRPr="006441E4">
        <w:t>In this context, the principal formats are generally taken to be interviews, facilitated groups/panels or a combination of the two;</w:t>
      </w:r>
    </w:p>
    <w:p w:rsidR="00695FE1" w:rsidRPr="006441E4" w:rsidRDefault="00695FE1" w:rsidP="00440341">
      <w:pPr>
        <w:pStyle w:val="Para1"/>
        <w:numPr>
          <w:ilvl w:val="2"/>
          <w:numId w:val="58"/>
        </w:numPr>
      </w:pPr>
      <w:r w:rsidRPr="006441E4">
        <w:t>Arranging for appropriate outsourced service providers and stakeholders to act as respondents during the assessment exercise;</w:t>
      </w:r>
    </w:p>
    <w:p w:rsidR="00695FE1" w:rsidRPr="006441E4" w:rsidRDefault="00695FE1" w:rsidP="00440341">
      <w:pPr>
        <w:pStyle w:val="Para1"/>
        <w:numPr>
          <w:ilvl w:val="2"/>
          <w:numId w:val="58"/>
        </w:numPr>
      </w:pPr>
      <w:r w:rsidRPr="006441E4">
        <w:t>Providing appropriate pre-assessment communication (and training where appropriate) to ensure that, as a minimum, the proposed respondents are aware of the AMMAT process and the part within it that they are being asked to play;</w:t>
      </w:r>
    </w:p>
    <w:p w:rsidR="00695FE1" w:rsidRPr="006441E4" w:rsidRDefault="00695FE1" w:rsidP="00440341">
      <w:pPr>
        <w:pStyle w:val="Para1"/>
        <w:numPr>
          <w:ilvl w:val="2"/>
          <w:numId w:val="58"/>
        </w:numPr>
      </w:pPr>
      <w:r w:rsidRPr="006441E4">
        <w:t>Identifying which questions are to be asked of which respondents.</w:t>
      </w:r>
    </w:p>
    <w:p w:rsidR="00695FE1" w:rsidRPr="006441E4" w:rsidRDefault="00695FE1" w:rsidP="00695FE1">
      <w:pPr>
        <w:pStyle w:val="Para1"/>
        <w:numPr>
          <w:ilvl w:val="0"/>
          <w:numId w:val="0"/>
        </w:numPr>
        <w:ind w:left="709"/>
        <w:rPr>
          <w:rStyle w:val="Emphasis-Italics"/>
        </w:rPr>
      </w:pPr>
      <w:r w:rsidRPr="006441E4">
        <w:rPr>
          <w:rStyle w:val="Emphasis-Italics"/>
        </w:rPr>
        <w:t>Part of the value of a formal asset management system is the definition and standardisation of terms</w:t>
      </w:r>
      <w:r w:rsidR="001B7860">
        <w:rPr>
          <w:rStyle w:val="Emphasis-Italics"/>
        </w:rPr>
        <w:t xml:space="preserve">. </w:t>
      </w:r>
      <w:r w:rsidRPr="006441E4">
        <w:rPr>
          <w:rStyle w:val="Emphasis-Italics"/>
        </w:rPr>
        <w:t xml:space="preserve">A common understanding of terms helps interested persons to understand the asset management concepts and processes that apply to the </w:t>
      </w:r>
      <w:r w:rsidRPr="006441E4">
        <w:rPr>
          <w:rStyle w:val="Emphasis-Italics"/>
          <w:b/>
        </w:rPr>
        <w:t>GTB</w:t>
      </w:r>
      <w:r w:rsidR="001B7860">
        <w:rPr>
          <w:rStyle w:val="Emphasis-Italics"/>
        </w:rPr>
        <w:t xml:space="preserve">. </w:t>
      </w:r>
      <w:r w:rsidRPr="006441E4">
        <w:rPr>
          <w:rStyle w:val="Emphasis-Italics"/>
        </w:rPr>
        <w:t xml:space="preserve">In particular, it helps </w:t>
      </w:r>
      <w:r w:rsidR="004F0FAE">
        <w:rPr>
          <w:rStyle w:val="Emphasis-Italics"/>
        </w:rPr>
        <w:t xml:space="preserve">the </w:t>
      </w:r>
      <w:r w:rsidR="00F86836" w:rsidRPr="00F86836">
        <w:rPr>
          <w:rStyle w:val="Emphasis-Italics"/>
          <w:b/>
        </w:rPr>
        <w:t>GTB</w:t>
      </w:r>
      <w:r w:rsidR="003C1236" w:rsidRPr="00D003E7">
        <w:rPr>
          <w:rStyle w:val="Emphasis-Italics"/>
        </w:rPr>
        <w:t>’s</w:t>
      </w:r>
      <w:r w:rsidR="004F0FAE">
        <w:rPr>
          <w:rStyle w:val="Emphasis-Italics"/>
        </w:rPr>
        <w:t xml:space="preserve"> </w:t>
      </w:r>
      <w:r w:rsidRPr="006441E4">
        <w:rPr>
          <w:rStyle w:val="Emphasis-Italics"/>
        </w:rPr>
        <w:t>employees and suppliers to understand and improve asset management concepts and processes.</w:t>
      </w:r>
    </w:p>
    <w:p w:rsidR="00695FE1" w:rsidRPr="006441E4" w:rsidRDefault="00695FE1" w:rsidP="00695FE1">
      <w:pPr>
        <w:pStyle w:val="Para1"/>
        <w:numPr>
          <w:ilvl w:val="0"/>
          <w:numId w:val="0"/>
        </w:numPr>
        <w:ind w:left="709"/>
        <w:rPr>
          <w:rStyle w:val="Emphasis-Italics"/>
        </w:rPr>
      </w:pPr>
      <w:r w:rsidRPr="006441E4">
        <w:rPr>
          <w:rStyle w:val="Emphasis-Italics"/>
        </w:rPr>
        <w:t xml:space="preserve">The AMMAT will not provide an effective assessment of the maturity of the supplier’s asset management capability and processes unless the preparation of the AMMAT is supported by senior management of the </w:t>
      </w:r>
      <w:r w:rsidR="00F86836" w:rsidRPr="00F86836">
        <w:rPr>
          <w:rStyle w:val="Emphasis-Italics"/>
          <w:b/>
        </w:rPr>
        <w:t>GTB</w:t>
      </w:r>
      <w:r w:rsidRPr="006441E4">
        <w:rPr>
          <w:rStyle w:val="Emphasis-Italics"/>
        </w:rPr>
        <w:t>.</w:t>
      </w:r>
    </w:p>
    <w:p w:rsidR="00695FE1" w:rsidRPr="006441E4" w:rsidRDefault="00695FE1" w:rsidP="00695FE1">
      <w:pPr>
        <w:pStyle w:val="Para1"/>
        <w:numPr>
          <w:ilvl w:val="0"/>
          <w:numId w:val="0"/>
        </w:numPr>
        <w:ind w:left="709"/>
        <w:rPr>
          <w:rStyle w:val="Emphasis-Italics"/>
        </w:rPr>
      </w:pPr>
      <w:r w:rsidRPr="006441E4">
        <w:rPr>
          <w:rStyle w:val="Emphasis-Italics"/>
        </w:rPr>
        <w:t>The level of effort required to complete the AMMAT should be consistent with a gap analysis exercise rather than the level typically involved with an audit for certification.</w:t>
      </w:r>
    </w:p>
    <w:p w:rsidR="00695FE1" w:rsidRPr="006441E4" w:rsidRDefault="00695FE1" w:rsidP="00695FE1">
      <w:pPr>
        <w:pStyle w:val="Para1"/>
        <w:numPr>
          <w:ilvl w:val="0"/>
          <w:numId w:val="0"/>
        </w:numPr>
        <w:ind w:left="709"/>
        <w:rPr>
          <w:rStyle w:val="Emphasis-Italics"/>
        </w:rPr>
      </w:pPr>
      <w:r w:rsidRPr="006441E4">
        <w:rPr>
          <w:rStyle w:val="Emphasis-Italics"/>
        </w:rPr>
        <w:t>An audit involves a systematic, independent process for the collection and analysis of evidence to support a rating whereas the AMMAT is intended to be used by providing a reference to supporting evidence or an explanation of the self-assessment.</w:t>
      </w:r>
    </w:p>
    <w:p w:rsidR="00695FE1" w:rsidRPr="006441E4" w:rsidRDefault="00695FE1" w:rsidP="00695FE1">
      <w:pPr>
        <w:pStyle w:val="Para1"/>
        <w:numPr>
          <w:ilvl w:val="0"/>
          <w:numId w:val="0"/>
        </w:numPr>
        <w:ind w:left="709"/>
        <w:rPr>
          <w:rStyle w:val="Emphasis-Italics"/>
        </w:rPr>
      </w:pPr>
      <w:r w:rsidRPr="006441E4">
        <w:rPr>
          <w:rStyle w:val="Emphasis-Italics"/>
        </w:rPr>
        <w:t>The level of documentation within an asset management system is expected to be consistent with factors such as the size of the company, complexity of processes and competence of personnel.</w:t>
      </w:r>
    </w:p>
    <w:p w:rsidR="00695FE1" w:rsidRPr="006441E4" w:rsidRDefault="00695FE1" w:rsidP="00695FE1">
      <w:pPr>
        <w:pStyle w:val="Para1"/>
        <w:numPr>
          <w:ilvl w:val="0"/>
          <w:numId w:val="0"/>
        </w:numPr>
        <w:ind w:left="709"/>
        <w:rPr>
          <w:rStyle w:val="Emphasis-Italics"/>
          <w:i w:val="0"/>
        </w:rPr>
      </w:pPr>
      <w:r w:rsidRPr="006441E4">
        <w:rPr>
          <w:rStyle w:val="Emphasis-Italics"/>
        </w:rPr>
        <w:t xml:space="preserve">The definitions provided in the AMMAT for each maturity rating should provide sufficient information for a </w:t>
      </w:r>
      <w:r w:rsidRPr="006441E4">
        <w:rPr>
          <w:rStyle w:val="Emphasis-Italics"/>
          <w:b/>
        </w:rPr>
        <w:t>GTB</w:t>
      </w:r>
      <w:r w:rsidRPr="006441E4">
        <w:rPr>
          <w:rStyle w:val="Emphasis-Italics"/>
        </w:rPr>
        <w:t xml:space="preserve"> to objectively identify the level currently being achieved by the organisation.</w:t>
      </w:r>
    </w:p>
    <w:p w:rsidR="00F40DAE" w:rsidRDefault="00695FE1" w:rsidP="00440341">
      <w:pPr>
        <w:pStyle w:val="Para1"/>
        <w:numPr>
          <w:ilvl w:val="0"/>
          <w:numId w:val="58"/>
        </w:numPr>
      </w:pPr>
      <w:r w:rsidRPr="006441E4">
        <w:t xml:space="preserve">Each </w:t>
      </w:r>
      <w:r w:rsidRPr="001B7860">
        <w:rPr>
          <w:b/>
        </w:rPr>
        <w:t>GTB</w:t>
      </w:r>
      <w:r w:rsidRPr="004F0FAE">
        <w:t xml:space="preserve"> </w:t>
      </w:r>
      <w:r w:rsidRPr="006441E4">
        <w:t xml:space="preserve">must specify in the AMMAT Report the standard of asset management practice that the </w:t>
      </w:r>
      <w:r w:rsidRPr="004F0FAE">
        <w:t xml:space="preserve">GTB </w:t>
      </w:r>
      <w:r w:rsidRPr="006441E4">
        <w:t>has used as the reference standard.</w:t>
      </w:r>
    </w:p>
    <w:p w:rsidR="00695FE1" w:rsidRPr="004F0FAE" w:rsidRDefault="00695FE1" w:rsidP="00440341">
      <w:pPr>
        <w:pStyle w:val="Para1"/>
        <w:numPr>
          <w:ilvl w:val="0"/>
          <w:numId w:val="58"/>
        </w:numPr>
      </w:pPr>
      <w:r w:rsidRPr="004F0FAE">
        <w:t xml:space="preserve">Cells in the following columns in the AMMAT Report set out </w:t>
      </w:r>
      <w:r w:rsidR="001B7860">
        <w:t>below</w:t>
      </w:r>
      <w:r w:rsidRPr="004F0FAE">
        <w:t xml:space="preserve"> must be filled out:</w:t>
      </w:r>
    </w:p>
    <w:p w:rsidR="00695FE1" w:rsidRPr="006441E4" w:rsidRDefault="00695FE1" w:rsidP="00440341">
      <w:pPr>
        <w:pStyle w:val="Para1"/>
        <w:numPr>
          <w:ilvl w:val="1"/>
          <w:numId w:val="58"/>
        </w:numPr>
      </w:pPr>
      <w:r w:rsidRPr="00476D64">
        <w:rPr>
          <w:u w:val="single"/>
        </w:rPr>
        <w:t>‘</w:t>
      </w:r>
      <w:r w:rsidR="00F86836" w:rsidRPr="00F86836">
        <w:rPr>
          <w:u w:val="single"/>
        </w:rPr>
        <w:t>User guidance</w:t>
      </w:r>
      <w:r w:rsidRPr="00476D64">
        <w:rPr>
          <w:u w:val="single"/>
        </w:rPr>
        <w:t>’</w:t>
      </w:r>
      <w:r w:rsidRPr="004F0FAE">
        <w:t>: guidance (if required) on completing each question of the AMMAT.</w:t>
      </w:r>
    </w:p>
    <w:p w:rsidR="00695FE1" w:rsidRPr="004F0FAE" w:rsidRDefault="00695FE1" w:rsidP="004F0FAE">
      <w:pPr>
        <w:pStyle w:val="Para1"/>
        <w:numPr>
          <w:ilvl w:val="0"/>
          <w:numId w:val="0"/>
        </w:numPr>
        <w:ind w:left="1418"/>
      </w:pPr>
      <w:r w:rsidRPr="004F0FAE">
        <w:t>This column can be used by the person responsible for completing and maintaining the AMMAT to provide guidance to the persons coordinating responses to each question.</w:t>
      </w:r>
    </w:p>
    <w:p w:rsidR="00695FE1" w:rsidRPr="004F0FAE" w:rsidRDefault="00695FE1" w:rsidP="00440341">
      <w:pPr>
        <w:pStyle w:val="Para1"/>
        <w:numPr>
          <w:ilvl w:val="1"/>
          <w:numId w:val="58"/>
        </w:numPr>
      </w:pPr>
      <w:r w:rsidRPr="00476D64">
        <w:rPr>
          <w:u w:val="single"/>
        </w:rPr>
        <w:t>‘</w:t>
      </w:r>
      <w:r w:rsidR="00F86836" w:rsidRPr="00F86836">
        <w:rPr>
          <w:u w:val="single"/>
        </w:rPr>
        <w:t>Evidence—</w:t>
      </w:r>
      <w:proofErr w:type="gramStart"/>
      <w:r w:rsidR="00F86836" w:rsidRPr="00F86836">
        <w:rPr>
          <w:u w:val="single"/>
        </w:rPr>
        <w:t>Summary</w:t>
      </w:r>
      <w:proofErr w:type="gramEnd"/>
      <w:r w:rsidRPr="00476D64">
        <w:rPr>
          <w:u w:val="single"/>
        </w:rPr>
        <w:t>’</w:t>
      </w:r>
      <w:r w:rsidRPr="004F0FAE">
        <w:t>: the information/evidence used to support the assessed rating.</w:t>
      </w:r>
    </w:p>
    <w:p w:rsidR="00695FE1" w:rsidRPr="004F0FAE" w:rsidRDefault="00695FE1" w:rsidP="004F0FAE">
      <w:pPr>
        <w:pStyle w:val="Para1"/>
        <w:numPr>
          <w:ilvl w:val="0"/>
          <w:numId w:val="0"/>
        </w:numPr>
        <w:ind w:left="1418"/>
      </w:pPr>
      <w:r w:rsidRPr="004F0FAE">
        <w:t>The cells in this column should be completed by persons coordinating responses to each question.</w:t>
      </w:r>
    </w:p>
    <w:p w:rsidR="00695FE1" w:rsidRPr="004F0FAE" w:rsidRDefault="00695FE1" w:rsidP="00440341">
      <w:pPr>
        <w:pStyle w:val="Para1"/>
        <w:numPr>
          <w:ilvl w:val="1"/>
          <w:numId w:val="58"/>
        </w:numPr>
      </w:pPr>
      <w:r w:rsidRPr="00476D64">
        <w:rPr>
          <w:u w:val="single"/>
        </w:rPr>
        <w:t>‘</w:t>
      </w:r>
      <w:r w:rsidR="00F86836" w:rsidRPr="00F86836">
        <w:rPr>
          <w:u w:val="single"/>
        </w:rPr>
        <w:t>Score</w:t>
      </w:r>
      <w:r w:rsidRPr="00476D64">
        <w:rPr>
          <w:u w:val="single"/>
        </w:rPr>
        <w:t>’</w:t>
      </w:r>
      <w:r w:rsidRPr="004F0FAE">
        <w:t>: the appropriate maturity rating (this must be a whole number between 0 and 4).</w:t>
      </w:r>
    </w:p>
    <w:p w:rsidR="004F0FAE" w:rsidRPr="004F0FAE" w:rsidRDefault="004F0FAE" w:rsidP="004F0FAE">
      <w:pPr>
        <w:pStyle w:val="Para1"/>
        <w:numPr>
          <w:ilvl w:val="0"/>
          <w:numId w:val="0"/>
        </w:numPr>
        <w:ind w:left="1418"/>
      </w:pPr>
      <w:r w:rsidRPr="004F0FAE">
        <w:t xml:space="preserve">To meet AMMAT level 4 </w:t>
      </w:r>
      <w:proofErr w:type="gramStart"/>
      <w:r w:rsidRPr="004F0FAE">
        <w:t>maturity</w:t>
      </w:r>
      <w:proofErr w:type="gramEnd"/>
      <w:r w:rsidRPr="004F0FAE">
        <w:t xml:space="preserve">, the </w:t>
      </w:r>
      <w:r w:rsidRPr="004F0FAE">
        <w:rPr>
          <w:rStyle w:val="Emphasis-Italics"/>
          <w:b/>
          <w:i w:val="0"/>
        </w:rPr>
        <w:t>GTB</w:t>
      </w:r>
      <w:r w:rsidRPr="004F0FAE">
        <w:t>’s processes must surpass the standards that must be complied with in an internationally accepted asset management specification</w:t>
      </w:r>
      <w:r w:rsidR="001B7860">
        <w:t xml:space="preserve">. </w:t>
      </w:r>
      <w:r w:rsidRPr="004F0FAE">
        <w:t>The AMMAT questionnaire has been prepared to conform to the PAS 55 specification</w:t>
      </w:r>
      <w:r w:rsidR="001B7860">
        <w:t xml:space="preserve">. </w:t>
      </w:r>
      <w:r w:rsidRPr="004F0FAE">
        <w:t>However, a similar specification, if available, may be used for the purpose of disclosure.</w:t>
      </w:r>
    </w:p>
    <w:p w:rsidR="002166B6" w:rsidRPr="006441E4" w:rsidRDefault="002166B6" w:rsidP="002166B6"/>
    <w:p w:rsidR="002166B6" w:rsidRPr="006441E4" w:rsidRDefault="002166B6" w:rsidP="002166B6"/>
    <w:p w:rsidR="002166B6" w:rsidRPr="006441E4" w:rsidRDefault="002166B6" w:rsidP="002166B6"/>
    <w:p w:rsidR="002166B6" w:rsidRPr="006441E4" w:rsidRDefault="002166B6" w:rsidP="002166B6"/>
    <w:p w:rsidR="002166B6" w:rsidRPr="006441E4" w:rsidRDefault="002166B6" w:rsidP="002166B6"/>
    <w:p w:rsidR="00AF6E9D" w:rsidRDefault="00AF6E9D" w:rsidP="002166B6">
      <w:pPr>
        <w:sectPr w:rsidR="00AF6E9D" w:rsidSect="00703958">
          <w:pgSz w:w="11907" w:h="16840" w:code="9"/>
          <w:pgMar w:top="1440" w:right="1440" w:bottom="1440" w:left="1440" w:header="1134" w:footer="431" w:gutter="0"/>
          <w:cols w:space="720"/>
          <w:docGrid w:linePitch="326"/>
        </w:sectPr>
      </w:pPr>
    </w:p>
    <w:p w:rsidR="00A21C12" w:rsidRDefault="00A21C12">
      <w:r>
        <w:br w:type="page"/>
      </w:r>
      <w:r w:rsidRPr="00A21C12">
        <w:rPr>
          <w:noProof/>
          <w:lang w:eastAsia="en-NZ"/>
        </w:rPr>
        <w:drawing>
          <wp:anchor distT="0" distB="0" distL="114300" distR="114300" simplePos="0" relativeHeight="251728896" behindDoc="0" locked="0" layoutInCell="1" allowOverlap="1">
            <wp:simplePos x="0" y="0"/>
            <wp:positionH relativeFrom="column">
              <wp:posOffset>-266700</wp:posOffset>
            </wp:positionH>
            <wp:positionV relativeFrom="paragraph">
              <wp:posOffset>450850</wp:posOffset>
            </wp:positionV>
            <wp:extent cx="14274800" cy="7124700"/>
            <wp:effectExtent l="19050" t="0" r="0" b="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0" cstate="print"/>
                    <a:srcRect/>
                    <a:stretch>
                      <a:fillRect/>
                    </a:stretch>
                  </pic:blipFill>
                  <pic:spPr bwMode="auto">
                    <a:xfrm>
                      <a:off x="0" y="0"/>
                      <a:ext cx="14295755" cy="7110095"/>
                    </a:xfrm>
                    <a:prstGeom prst="rect">
                      <a:avLst/>
                    </a:prstGeom>
                    <a:noFill/>
                    <a:ln w="9525">
                      <a:noFill/>
                      <a:miter lim="800000"/>
                      <a:headEnd/>
                      <a:tailEnd/>
                    </a:ln>
                  </pic:spPr>
                </pic:pic>
              </a:graphicData>
            </a:graphic>
          </wp:anchor>
        </w:drawing>
      </w:r>
    </w:p>
    <w:p w:rsidR="00AF6E9D" w:rsidRPr="002F2828" w:rsidRDefault="00AF6E9D" w:rsidP="00AF6E9D"/>
    <w:p w:rsidR="00AF6E9D" w:rsidRDefault="00AF6E9D" w:rsidP="00AF6E9D"/>
    <w:p w:rsidR="00AF6E9D" w:rsidRDefault="00AF6E9D" w:rsidP="00AF6E9D"/>
    <w:p w:rsidR="00AF6E9D" w:rsidRDefault="00AF6E9D" w:rsidP="00AF6E9D">
      <w:r>
        <w:rPr>
          <w:noProof/>
          <w:lang w:eastAsia="en-NZ"/>
        </w:rPr>
        <w:drawing>
          <wp:anchor distT="0" distB="0" distL="114300" distR="114300" simplePos="0" relativeHeight="251722752" behindDoc="0" locked="0" layoutInCell="1" allowOverlap="1">
            <wp:simplePos x="0" y="0"/>
            <wp:positionH relativeFrom="column">
              <wp:posOffset>-407035</wp:posOffset>
            </wp:positionH>
            <wp:positionV relativeFrom="paragraph">
              <wp:posOffset>410210</wp:posOffset>
            </wp:positionV>
            <wp:extent cx="14388465" cy="6558280"/>
            <wp:effectExtent l="19050" t="0" r="0" b="0"/>
            <wp:wrapSquare wrapText="bothSides"/>
            <wp:docPr id="14"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1" cstate="print"/>
                    <a:srcRect/>
                    <a:stretch>
                      <a:fillRect/>
                    </a:stretch>
                  </pic:blipFill>
                  <pic:spPr bwMode="auto">
                    <a:xfrm>
                      <a:off x="0" y="0"/>
                      <a:ext cx="14388465" cy="6558280"/>
                    </a:xfrm>
                    <a:prstGeom prst="rect">
                      <a:avLst/>
                    </a:prstGeom>
                    <a:noFill/>
                    <a:ln w="9525">
                      <a:noFill/>
                      <a:miter lim="800000"/>
                      <a:headEnd/>
                      <a:tailEnd/>
                    </a:ln>
                  </pic:spPr>
                </pic:pic>
              </a:graphicData>
            </a:graphic>
          </wp:anchor>
        </w:drawing>
      </w:r>
    </w:p>
    <w:p w:rsidR="00AF6E9D" w:rsidRDefault="00AF6E9D" w:rsidP="00AF6E9D"/>
    <w:p w:rsidR="00AF6E9D" w:rsidRDefault="00AF6E9D" w:rsidP="00AF6E9D"/>
    <w:p w:rsidR="00AF6E9D" w:rsidRDefault="00AF6E9D" w:rsidP="00AF6E9D"/>
    <w:p w:rsidR="00AF6E9D" w:rsidRDefault="00AF6E9D" w:rsidP="00AF6E9D">
      <w:r>
        <w:br w:type="page"/>
      </w:r>
    </w:p>
    <w:p w:rsidR="00AF6E9D" w:rsidRDefault="00AF6E9D" w:rsidP="00AF6E9D">
      <w:r>
        <w:rPr>
          <w:noProof/>
          <w:lang w:eastAsia="en-NZ"/>
        </w:rPr>
        <w:drawing>
          <wp:anchor distT="0" distB="0" distL="114300" distR="114300" simplePos="0" relativeHeight="251717632" behindDoc="0" locked="0" layoutInCell="1" allowOverlap="1">
            <wp:simplePos x="0" y="0"/>
            <wp:positionH relativeFrom="column">
              <wp:posOffset>-280670</wp:posOffset>
            </wp:positionH>
            <wp:positionV relativeFrom="paragraph">
              <wp:posOffset>474980</wp:posOffset>
            </wp:positionV>
            <wp:extent cx="13991590" cy="6690360"/>
            <wp:effectExtent l="19050" t="0" r="0" b="0"/>
            <wp:wrapSquare wrapText="bothSides"/>
            <wp:docPr id="1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2" cstate="print"/>
                    <a:srcRect/>
                    <a:stretch>
                      <a:fillRect/>
                    </a:stretch>
                  </pic:blipFill>
                  <pic:spPr bwMode="auto">
                    <a:xfrm>
                      <a:off x="0" y="0"/>
                      <a:ext cx="13991590" cy="6690360"/>
                    </a:xfrm>
                    <a:prstGeom prst="rect">
                      <a:avLst/>
                    </a:prstGeom>
                    <a:noFill/>
                    <a:ln w="9525">
                      <a:noFill/>
                      <a:miter lim="800000"/>
                      <a:headEnd/>
                      <a:tailEnd/>
                    </a:ln>
                  </pic:spPr>
                </pic:pic>
              </a:graphicData>
            </a:graphic>
          </wp:anchor>
        </w:drawing>
      </w:r>
    </w:p>
    <w:p w:rsidR="00AF6E9D" w:rsidRDefault="00AF6E9D" w:rsidP="00AF6E9D"/>
    <w:p w:rsidR="00AF6E9D" w:rsidRDefault="00AF6E9D" w:rsidP="00AF6E9D"/>
    <w:p w:rsidR="00AF6E9D" w:rsidRDefault="00AF6E9D" w:rsidP="00AF6E9D"/>
    <w:p w:rsidR="00AF6E9D" w:rsidRDefault="00AF6E9D" w:rsidP="00AF6E9D">
      <w:r>
        <w:br w:type="page"/>
      </w:r>
    </w:p>
    <w:p w:rsidR="00AF6E9D" w:rsidRDefault="00AF6E9D" w:rsidP="00AF6E9D">
      <w:r>
        <w:rPr>
          <w:noProof/>
          <w:lang w:eastAsia="en-NZ"/>
        </w:rPr>
        <w:drawing>
          <wp:anchor distT="0" distB="0" distL="114300" distR="114300" simplePos="0" relativeHeight="251718656" behindDoc="0" locked="0" layoutInCell="1" allowOverlap="1">
            <wp:simplePos x="0" y="0"/>
            <wp:positionH relativeFrom="column">
              <wp:posOffset>29845</wp:posOffset>
            </wp:positionH>
            <wp:positionV relativeFrom="paragraph">
              <wp:posOffset>29210</wp:posOffset>
            </wp:positionV>
            <wp:extent cx="13469620" cy="8260715"/>
            <wp:effectExtent l="19050" t="0" r="0" b="0"/>
            <wp:wrapSquare wrapText="bothSides"/>
            <wp:docPr id="16"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3" cstate="print"/>
                    <a:srcRect/>
                    <a:stretch>
                      <a:fillRect/>
                    </a:stretch>
                  </pic:blipFill>
                  <pic:spPr bwMode="auto">
                    <a:xfrm>
                      <a:off x="0" y="0"/>
                      <a:ext cx="13469620" cy="8260715"/>
                    </a:xfrm>
                    <a:prstGeom prst="rect">
                      <a:avLst/>
                    </a:prstGeom>
                    <a:noFill/>
                    <a:ln w="9525">
                      <a:noFill/>
                      <a:miter lim="800000"/>
                      <a:headEnd/>
                      <a:tailEnd/>
                    </a:ln>
                  </pic:spPr>
                </pic:pic>
              </a:graphicData>
            </a:graphic>
          </wp:anchor>
        </w:drawing>
      </w:r>
    </w:p>
    <w:p w:rsidR="00AF6E9D" w:rsidRDefault="00AF6E9D" w:rsidP="00AF6E9D"/>
    <w:p w:rsidR="00AF6E9D" w:rsidRDefault="00AF6E9D" w:rsidP="00AF6E9D">
      <w:r>
        <w:rPr>
          <w:noProof/>
          <w:lang w:eastAsia="en-NZ"/>
        </w:rPr>
        <w:drawing>
          <wp:anchor distT="0" distB="0" distL="114300" distR="114300" simplePos="0" relativeHeight="251719680" behindDoc="0" locked="0" layoutInCell="1" allowOverlap="1">
            <wp:simplePos x="0" y="0"/>
            <wp:positionH relativeFrom="column">
              <wp:posOffset>-375285</wp:posOffset>
            </wp:positionH>
            <wp:positionV relativeFrom="paragraph">
              <wp:posOffset>422910</wp:posOffset>
            </wp:positionV>
            <wp:extent cx="14257020" cy="6904990"/>
            <wp:effectExtent l="19050" t="0" r="0" b="0"/>
            <wp:wrapSquare wrapText="bothSides"/>
            <wp:docPr id="1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4" cstate="print"/>
                    <a:srcRect/>
                    <a:stretch>
                      <a:fillRect/>
                    </a:stretch>
                  </pic:blipFill>
                  <pic:spPr bwMode="auto">
                    <a:xfrm>
                      <a:off x="0" y="0"/>
                      <a:ext cx="14257020" cy="6904990"/>
                    </a:xfrm>
                    <a:prstGeom prst="rect">
                      <a:avLst/>
                    </a:prstGeom>
                    <a:noFill/>
                    <a:ln w="9525">
                      <a:noFill/>
                      <a:miter lim="800000"/>
                      <a:headEnd/>
                      <a:tailEnd/>
                    </a:ln>
                  </pic:spPr>
                </pic:pic>
              </a:graphicData>
            </a:graphic>
          </wp:anchor>
        </w:drawing>
      </w:r>
    </w:p>
    <w:p w:rsidR="00AF6E9D" w:rsidRDefault="00AF6E9D" w:rsidP="00AF6E9D"/>
    <w:p w:rsidR="00AF6E9D" w:rsidRDefault="00AF6E9D" w:rsidP="00AF6E9D"/>
    <w:p w:rsidR="00AF6E9D" w:rsidRDefault="00AF6E9D" w:rsidP="00AF6E9D"/>
    <w:p w:rsidR="00AF6E9D" w:rsidRDefault="00AF6E9D" w:rsidP="00AF6E9D">
      <w:r>
        <w:br w:type="page"/>
      </w:r>
    </w:p>
    <w:p w:rsidR="00AF6E9D" w:rsidRDefault="00AF6E9D" w:rsidP="00AF6E9D">
      <w:r>
        <w:rPr>
          <w:noProof/>
          <w:lang w:eastAsia="en-NZ"/>
        </w:rPr>
        <w:drawing>
          <wp:anchor distT="0" distB="0" distL="114300" distR="114300" simplePos="0" relativeHeight="251720704" behindDoc="0" locked="0" layoutInCell="1" allowOverlap="1">
            <wp:simplePos x="0" y="0"/>
            <wp:positionH relativeFrom="column">
              <wp:posOffset>-375285</wp:posOffset>
            </wp:positionH>
            <wp:positionV relativeFrom="paragraph">
              <wp:posOffset>340995</wp:posOffset>
            </wp:positionV>
            <wp:extent cx="14276705" cy="6895465"/>
            <wp:effectExtent l="19050" t="0" r="0" b="0"/>
            <wp:wrapSquare wrapText="bothSides"/>
            <wp:docPr id="1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5" cstate="print"/>
                    <a:srcRect/>
                    <a:stretch>
                      <a:fillRect/>
                    </a:stretch>
                  </pic:blipFill>
                  <pic:spPr bwMode="auto">
                    <a:xfrm>
                      <a:off x="0" y="0"/>
                      <a:ext cx="14276705" cy="6895465"/>
                    </a:xfrm>
                    <a:prstGeom prst="rect">
                      <a:avLst/>
                    </a:prstGeom>
                    <a:noFill/>
                    <a:ln w="9525">
                      <a:noFill/>
                      <a:miter lim="800000"/>
                      <a:headEnd/>
                      <a:tailEnd/>
                    </a:ln>
                  </pic:spPr>
                </pic:pic>
              </a:graphicData>
            </a:graphic>
          </wp:anchor>
        </w:drawing>
      </w:r>
    </w:p>
    <w:p w:rsidR="00AF6E9D" w:rsidRDefault="00AF6E9D" w:rsidP="00AF6E9D"/>
    <w:p w:rsidR="00AF6E9D" w:rsidRDefault="00AF6E9D" w:rsidP="00AF6E9D">
      <w:r>
        <w:br w:type="page"/>
      </w:r>
    </w:p>
    <w:p w:rsidR="00721A1D" w:rsidRDefault="00721A1D">
      <w:r w:rsidRPr="00721A1D">
        <w:rPr>
          <w:noProof/>
          <w:lang w:eastAsia="en-NZ"/>
        </w:rPr>
        <w:drawing>
          <wp:anchor distT="0" distB="0" distL="114300" distR="114300" simplePos="0" relativeHeight="251724800" behindDoc="0" locked="0" layoutInCell="1" allowOverlap="1">
            <wp:simplePos x="0" y="0"/>
            <wp:positionH relativeFrom="column">
              <wp:posOffset>-629536</wp:posOffset>
            </wp:positionH>
            <wp:positionV relativeFrom="paragraph">
              <wp:posOffset>-19788</wp:posOffset>
            </wp:positionV>
            <wp:extent cx="14611350" cy="7474688"/>
            <wp:effectExtent l="19050" t="0" r="0" b="0"/>
            <wp:wrapSquare wrapText="bothSides"/>
            <wp:docPr id="2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6" cstate="print"/>
                    <a:srcRect/>
                    <a:stretch>
                      <a:fillRect/>
                    </a:stretch>
                  </pic:blipFill>
                  <pic:spPr bwMode="auto">
                    <a:xfrm>
                      <a:off x="0" y="0"/>
                      <a:ext cx="14611350" cy="7469505"/>
                    </a:xfrm>
                    <a:prstGeom prst="rect">
                      <a:avLst/>
                    </a:prstGeom>
                    <a:noFill/>
                    <a:ln w="9525">
                      <a:noFill/>
                      <a:miter lim="800000"/>
                      <a:headEnd/>
                      <a:tailEnd/>
                    </a:ln>
                  </pic:spPr>
                </pic:pic>
              </a:graphicData>
            </a:graphic>
          </wp:anchor>
        </w:drawing>
      </w:r>
      <w:r>
        <w:br w:type="page"/>
      </w:r>
    </w:p>
    <w:p w:rsidR="00AF6E9D" w:rsidRDefault="00AF6E9D" w:rsidP="00AF6E9D"/>
    <w:p w:rsidR="00AF6E9D" w:rsidRDefault="00AF6E9D" w:rsidP="00AF6E9D"/>
    <w:p w:rsidR="00AF6E9D" w:rsidRDefault="00AF6E9D" w:rsidP="00AF6E9D">
      <w:r>
        <w:rPr>
          <w:noProof/>
          <w:lang w:eastAsia="en-NZ"/>
        </w:rPr>
        <w:drawing>
          <wp:anchor distT="0" distB="0" distL="114300" distR="114300" simplePos="0" relativeHeight="251721728" behindDoc="0" locked="0" layoutInCell="1" allowOverlap="1">
            <wp:simplePos x="0" y="0"/>
            <wp:positionH relativeFrom="column">
              <wp:posOffset>-716280</wp:posOffset>
            </wp:positionH>
            <wp:positionV relativeFrom="paragraph">
              <wp:posOffset>98425</wp:posOffset>
            </wp:positionV>
            <wp:extent cx="14845665" cy="6951980"/>
            <wp:effectExtent l="19050" t="0" r="0" b="0"/>
            <wp:wrapSquare wrapText="bothSides"/>
            <wp:docPr id="1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7" cstate="print"/>
                    <a:srcRect/>
                    <a:stretch>
                      <a:fillRect/>
                    </a:stretch>
                  </pic:blipFill>
                  <pic:spPr bwMode="auto">
                    <a:xfrm>
                      <a:off x="0" y="0"/>
                      <a:ext cx="14845665" cy="6951980"/>
                    </a:xfrm>
                    <a:prstGeom prst="rect">
                      <a:avLst/>
                    </a:prstGeom>
                    <a:noFill/>
                    <a:ln w="9525">
                      <a:noFill/>
                      <a:miter lim="800000"/>
                      <a:headEnd/>
                      <a:tailEnd/>
                    </a:ln>
                  </pic:spPr>
                </pic:pic>
              </a:graphicData>
            </a:graphic>
          </wp:anchor>
        </w:drawing>
      </w:r>
    </w:p>
    <w:p w:rsidR="00AF6E9D" w:rsidRDefault="00AF6E9D"/>
    <w:p w:rsidR="002166B6" w:rsidRPr="006441E4" w:rsidRDefault="002166B6" w:rsidP="002166B6"/>
    <w:p w:rsidR="002166B6" w:rsidRPr="006441E4" w:rsidRDefault="002166B6" w:rsidP="002166B6"/>
    <w:p w:rsidR="002166B6" w:rsidRPr="006441E4" w:rsidRDefault="002166B6" w:rsidP="002166B6"/>
    <w:p w:rsidR="002166B6" w:rsidRPr="006441E4" w:rsidRDefault="002166B6" w:rsidP="002166B6"/>
    <w:p w:rsidR="002166B6" w:rsidRPr="006441E4" w:rsidRDefault="002166B6" w:rsidP="002166B6">
      <w:pPr>
        <w:sectPr w:rsidR="002166B6" w:rsidRPr="006441E4" w:rsidSect="00AF6E9D">
          <w:pgSz w:w="23814" w:h="16839" w:orient="landscape" w:code="8"/>
          <w:pgMar w:top="1440" w:right="1440" w:bottom="1440" w:left="1440" w:header="1134" w:footer="431" w:gutter="0"/>
          <w:cols w:space="720"/>
          <w:docGrid w:linePitch="326"/>
        </w:sectPr>
      </w:pPr>
    </w:p>
    <w:p w:rsidR="00AB2FA8" w:rsidRDefault="00AB2FA8" w:rsidP="00AB2FA8">
      <w:pPr>
        <w:pStyle w:val="Heading1"/>
        <w:spacing w:line="264" w:lineRule="auto"/>
        <w:jc w:val="center"/>
      </w:pPr>
      <w:bookmarkStart w:id="779" w:name="_Toc328819690"/>
      <w:bookmarkStart w:id="780" w:name="_Toc329296398"/>
      <w:r>
        <w:t>Schedule 14</w:t>
      </w:r>
      <w:r>
        <w:tab/>
      </w:r>
      <w:r>
        <w:tab/>
        <w:t>Mandatory Explanatory Notes</w:t>
      </w:r>
      <w:bookmarkEnd w:id="779"/>
      <w:bookmarkEnd w:id="780"/>
    </w:p>
    <w:p w:rsidR="00AB2FA8" w:rsidRPr="000F314A" w:rsidRDefault="00AB2FA8" w:rsidP="000F314A">
      <w:pPr>
        <w:pStyle w:val="Para1"/>
        <w:numPr>
          <w:ilvl w:val="0"/>
          <w:numId w:val="88"/>
        </w:numPr>
        <w:rPr>
          <w:bCs/>
          <w:iCs/>
        </w:rPr>
      </w:pPr>
      <w:r>
        <w:t xml:space="preserve">This </w:t>
      </w:r>
      <w:r w:rsidRPr="000F314A">
        <w:t xml:space="preserve">Schedule </w:t>
      </w:r>
      <w:r w:rsidR="00B120AC" w:rsidRPr="000F314A">
        <w:t>requires</w:t>
      </w:r>
      <w:r w:rsidRPr="000F314A">
        <w:t xml:space="preserve"> </w:t>
      </w:r>
      <w:r w:rsidR="00F86836" w:rsidRPr="000F314A">
        <w:t>GTBs</w:t>
      </w:r>
      <w:r w:rsidRPr="000F314A">
        <w:t xml:space="preserve"> to provide explanatory notes to information provided in accordance with clauses </w:t>
      </w:r>
      <w:fldSimple w:instr=" REF  _Ref279613342 \h \w  \* MERGEFORMAT ">
        <w:r w:rsidR="00B06C04">
          <w:t>2.3.1</w:t>
        </w:r>
      </w:fldSimple>
      <w:r w:rsidRPr="000F314A">
        <w:t xml:space="preserve">, </w:t>
      </w:r>
      <w:r w:rsidR="0033518E">
        <w:fldChar w:fldCharType="begin"/>
      </w:r>
      <w:r w:rsidR="00FC02A7">
        <w:instrText xml:space="preserve"> REF _Ref329173172 \w \h </w:instrText>
      </w:r>
      <w:r w:rsidR="0033518E">
        <w:fldChar w:fldCharType="separate"/>
      </w:r>
      <w:r w:rsidR="00B06C04">
        <w:t>2.4.18</w:t>
      </w:r>
      <w:r w:rsidR="0033518E">
        <w:fldChar w:fldCharType="end"/>
      </w:r>
      <w:r w:rsidRPr="000F314A">
        <w:t xml:space="preserve">, </w:t>
      </w:r>
      <w:fldSimple w:instr=" REF _Ref329178711 \r \h  \* MERGEFORMAT ">
        <w:r w:rsidR="00B06C04">
          <w:t>2.5.1</w:t>
        </w:r>
      </w:fldSimple>
      <w:r w:rsidR="00376614" w:rsidRPr="000F314A">
        <w:t xml:space="preserve"> and </w:t>
      </w:r>
      <w:fldSimple w:instr=" REF _Ref329178760 \r \h  \* MERGEFORMAT ">
        <w:r w:rsidR="00B06C04">
          <w:t>2.5.2</w:t>
        </w:r>
      </w:fldSimple>
      <w:r w:rsidR="00376614" w:rsidRPr="000F314A">
        <w:rPr>
          <w:bCs/>
          <w:iCs/>
        </w:rPr>
        <w:t>.</w:t>
      </w:r>
    </w:p>
    <w:p w:rsidR="00F40DAE" w:rsidRPr="000F314A" w:rsidRDefault="00AB2FA8">
      <w:pPr>
        <w:pStyle w:val="Para1"/>
        <w:rPr>
          <w:bCs/>
          <w:iCs/>
        </w:rPr>
      </w:pPr>
      <w:r w:rsidRPr="000F314A">
        <w:rPr>
          <w:bCs/>
          <w:iCs/>
        </w:rPr>
        <w:t>This Schedule is mandatory—</w:t>
      </w:r>
      <w:r w:rsidR="00F86836" w:rsidRPr="000F314A">
        <w:rPr>
          <w:bCs/>
          <w:iCs/>
        </w:rPr>
        <w:t>GTBs</w:t>
      </w:r>
      <w:r w:rsidRPr="000F314A">
        <w:rPr>
          <w:bCs/>
          <w:iCs/>
        </w:rPr>
        <w:t xml:space="preserve"> must provide the explanatory comment specified below, in accordance with clause </w:t>
      </w:r>
      <w:fldSimple w:instr=" REF _Ref328811155 \n \h  \* MERGEFORMAT ">
        <w:r w:rsidR="00B06C04" w:rsidRPr="00B06C04">
          <w:rPr>
            <w:bCs/>
            <w:iCs/>
          </w:rPr>
          <w:t>2.7.1</w:t>
        </w:r>
      </w:fldSimple>
      <w:r w:rsidRPr="000F314A">
        <w:rPr>
          <w:bCs/>
          <w:iCs/>
        </w:rPr>
        <w:t>. This information is part of the audited disclosure information, and so is subject to the assurance requirements specified in section</w:t>
      </w:r>
      <w:r w:rsidR="00813D5F" w:rsidRPr="000F314A">
        <w:rPr>
          <w:bCs/>
          <w:iCs/>
        </w:rPr>
        <w:t xml:space="preserve"> </w:t>
      </w:r>
      <w:fldSimple w:instr=" REF _Ref329181566 \r \h  \* MERGEFORMAT ">
        <w:r w:rsidR="00B06C04" w:rsidRPr="00B06C04">
          <w:rPr>
            <w:bCs/>
            <w:iCs/>
          </w:rPr>
          <w:t>2.8</w:t>
        </w:r>
      </w:fldSimple>
      <w:r w:rsidR="00813D5F" w:rsidRPr="000F314A">
        <w:rPr>
          <w:bCs/>
          <w:iCs/>
        </w:rPr>
        <w:t>.</w:t>
      </w:r>
    </w:p>
    <w:p w:rsidR="00F40DAE" w:rsidRDefault="00AB2FA8">
      <w:pPr>
        <w:pStyle w:val="Para1"/>
        <w:rPr>
          <w:bCs/>
          <w:iCs/>
        </w:rPr>
      </w:pPr>
      <w:r w:rsidRPr="000F314A">
        <w:rPr>
          <w:bCs/>
          <w:iCs/>
        </w:rPr>
        <w:t xml:space="preserve">Schedule 15 (Voluntary Explanatory Notes to Schedules) provides for </w:t>
      </w:r>
      <w:r w:rsidR="00B120AC" w:rsidRPr="000F314A">
        <w:rPr>
          <w:bCs/>
          <w:iCs/>
        </w:rPr>
        <w:t>GT</w:t>
      </w:r>
      <w:r w:rsidRPr="000F314A">
        <w:rPr>
          <w:bCs/>
          <w:iCs/>
        </w:rPr>
        <w:t>Bs to give</w:t>
      </w:r>
      <w:r>
        <w:rPr>
          <w:bCs/>
          <w:iCs/>
        </w:rPr>
        <w:t xml:space="preserve"> additional explanation of disclosed information should they elect to do so.</w:t>
      </w:r>
    </w:p>
    <w:p w:rsidR="00AB2FA8" w:rsidRDefault="00AB2FA8" w:rsidP="00AB2FA8">
      <w:pPr>
        <w:pStyle w:val="Heading2"/>
      </w:pPr>
      <w:r>
        <w:t>Mandatory explanatory notes</w:t>
      </w:r>
    </w:p>
    <w:p w:rsidR="00AB2FA8" w:rsidRDefault="00AB2FA8" w:rsidP="00AB2FA8">
      <w:pPr>
        <w:pStyle w:val="Heading3"/>
      </w:pPr>
      <w:r>
        <w:t>Variance between forecast and actual expenditure (Schedule 2)</w:t>
      </w:r>
    </w:p>
    <w:p w:rsidR="00F40DAE" w:rsidRDefault="00AB2FA8">
      <w:pPr>
        <w:pStyle w:val="Para1"/>
      </w:pPr>
      <w:r>
        <w:t>In the box below, comment on variance in actual to forecast expenditure for the disclosure year, as reported in Schedule 2. This comment must include inf</w:t>
      </w:r>
      <w:r w:rsidR="00FC02A7">
        <w:t>ormation on reclassified items</w:t>
      </w:r>
      <w:r>
        <w:t xml:space="preserve"> in accordance with clause</w:t>
      </w:r>
      <w:r w:rsidR="00FC02A7">
        <w:t xml:space="preserve"> </w:t>
      </w:r>
      <w:r w:rsidR="0033518E">
        <w:fldChar w:fldCharType="begin"/>
      </w:r>
      <w:r w:rsidR="00FC02A7">
        <w:instrText xml:space="preserve"> REF _Ref329181706 \w \h </w:instrText>
      </w:r>
      <w:r w:rsidR="0033518E">
        <w:fldChar w:fldCharType="separate"/>
      </w:r>
      <w:r w:rsidR="00B06C04">
        <w:t>2.7.1(2)</w:t>
      </w:r>
      <w:r w:rsidR="0033518E">
        <w:fldChar w:fldCharType="end"/>
      </w:r>
      <w:r>
        <w:t>.</w:t>
      </w:r>
    </w:p>
    <w:tbl>
      <w:tblPr>
        <w:tblStyle w:val="TableGrid"/>
        <w:tblW w:w="0" w:type="auto"/>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1</w:t>
            </w:r>
            <w:r w:rsidR="0033518E">
              <w:fldChar w:fldCharType="end"/>
            </w:r>
            <w:r>
              <w:t>: Explanatory comment on variance in actual to forecast expenditure</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pPr>
    </w:p>
    <w:p w:rsidR="00AB2FA8" w:rsidRDefault="00AB2FA8" w:rsidP="00AB2FA8">
      <w:pPr>
        <w:pStyle w:val="Heading3"/>
      </w:pPr>
      <w:r>
        <w:t>Return on Investment (Schedule 3)</w:t>
      </w:r>
    </w:p>
    <w:p w:rsidR="00F40DAE" w:rsidRDefault="00AB2FA8">
      <w:pPr>
        <w:pStyle w:val="Para1"/>
      </w:pPr>
      <w:r>
        <w:t xml:space="preserve">In the box below, comment on return on investment as disclosed in Schedule 3. This comment must include information on reclassified items in accordance with clause </w:t>
      </w:r>
      <w:r w:rsidR="0033518E">
        <w:fldChar w:fldCharType="begin"/>
      </w:r>
      <w:r w:rsidR="00813D5F">
        <w:instrText xml:space="preserve"> REF _Ref329181706 \r \h </w:instrText>
      </w:r>
      <w:r w:rsidR="0033518E">
        <w:fldChar w:fldCharType="separate"/>
      </w:r>
      <w:r w:rsidR="00B06C04">
        <w:t>2.7.1(2)</w:t>
      </w:r>
      <w:r w:rsidR="0033518E">
        <w:fldChar w:fldCharType="end"/>
      </w:r>
      <w:r>
        <w:t>.</w:t>
      </w:r>
    </w:p>
    <w:tbl>
      <w:tblPr>
        <w:tblStyle w:val="TableGrid"/>
        <w:tblW w:w="0" w:type="auto"/>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2</w:t>
            </w:r>
            <w:r w:rsidR="0033518E">
              <w:fldChar w:fldCharType="end"/>
            </w:r>
            <w:r>
              <w:t xml:space="preserve">: Explanatory comment on return on investment </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pPr>
    </w:p>
    <w:p w:rsidR="00AB2FA8" w:rsidRDefault="00AB2FA8" w:rsidP="00AB2FA8">
      <w:pPr>
        <w:pStyle w:val="Heading3"/>
      </w:pPr>
      <w:r>
        <w:t>Value of the Regulatory Asset Base (Schedule 4)</w:t>
      </w:r>
    </w:p>
    <w:p w:rsidR="00F40DAE" w:rsidRDefault="00AB2FA8">
      <w:pPr>
        <w:pStyle w:val="Para1"/>
      </w:pPr>
      <w:r>
        <w:t xml:space="preserve">In the box below, comment on the value of the regulatory asset base (rolled forward) in Schedule 4. This comment must include information on reclassified items in accordance with clause </w:t>
      </w:r>
      <w:r w:rsidR="0033518E">
        <w:fldChar w:fldCharType="begin"/>
      </w:r>
      <w:r w:rsidR="00813D5F">
        <w:instrText xml:space="preserve"> REF _Ref329181706 \r \h </w:instrText>
      </w:r>
      <w:r w:rsidR="0033518E">
        <w:fldChar w:fldCharType="separate"/>
      </w:r>
      <w:r w:rsidR="00B06C04">
        <w:t>2.7.1(2)</w:t>
      </w:r>
      <w:r w:rsidR="0033518E">
        <w:fldChar w:fldCharType="end"/>
      </w:r>
      <w:r>
        <w:t>.</w:t>
      </w:r>
    </w:p>
    <w:tbl>
      <w:tblPr>
        <w:tblStyle w:val="TableGrid"/>
        <w:tblW w:w="0" w:type="auto"/>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3</w:t>
            </w:r>
            <w:r w:rsidR="0033518E">
              <w:fldChar w:fldCharType="end"/>
            </w:r>
            <w:r>
              <w:t>: Explanatory comment on the value of the regulatory asset based (rolled forward)</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Singlespacedparagraph"/>
      </w:pPr>
    </w:p>
    <w:p w:rsidR="00AB2FA8" w:rsidRDefault="00AB2FA8" w:rsidP="00AB2FA8">
      <w:pPr>
        <w:pStyle w:val="BodyText"/>
        <w:rPr>
          <w:i/>
        </w:rPr>
      </w:pPr>
      <w:r>
        <w:rPr>
          <w:i/>
        </w:rPr>
        <w:t>Asset allocation (Schedule 4a)</w:t>
      </w:r>
    </w:p>
    <w:p w:rsidR="00F40DAE" w:rsidRDefault="00AB2FA8">
      <w:pPr>
        <w:pStyle w:val="Para1"/>
      </w:pPr>
      <w:r>
        <w:t xml:space="preserve">In the box below, comment on asset allocation as disclosed in Schedule 4a. This comment must include information on reclassified items in accordance with clause </w:t>
      </w:r>
      <w:r w:rsidR="0033518E">
        <w:fldChar w:fldCharType="begin"/>
      </w:r>
      <w:r w:rsidR="00813D5F">
        <w:instrText xml:space="preserve"> REF _Ref329181706 \r \h </w:instrText>
      </w:r>
      <w:r w:rsidR="0033518E">
        <w:fldChar w:fldCharType="separate"/>
      </w:r>
      <w:r w:rsidR="00B06C04">
        <w:t>2.7.1(2)</w:t>
      </w:r>
      <w:r w:rsidR="0033518E">
        <w:fldChar w:fldCharType="end"/>
      </w:r>
      <w:r>
        <w:t>.</w:t>
      </w:r>
    </w:p>
    <w:tbl>
      <w:tblPr>
        <w:tblStyle w:val="TableGrid"/>
        <w:tblW w:w="9243" w:type="dxa"/>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4</w:t>
            </w:r>
            <w:r w:rsidR="0033518E">
              <w:fldChar w:fldCharType="end"/>
            </w:r>
            <w:r>
              <w:t>: Commentary on asset allocation</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83560F" w:rsidRDefault="0083560F" w:rsidP="0083560F">
      <w:pPr>
        <w:pStyle w:val="BodyText"/>
        <w:rPr>
          <w:i/>
          <w:iCs/>
        </w:rPr>
      </w:pPr>
      <w:r>
        <w:rPr>
          <w:i/>
          <w:iCs/>
        </w:rPr>
        <w:t>Initial RAB adjustment (Schedule 4c)</w:t>
      </w:r>
    </w:p>
    <w:p w:rsidR="00F40DAE" w:rsidRDefault="0083560F">
      <w:pPr>
        <w:pStyle w:val="Para1"/>
      </w:pPr>
      <w:r>
        <w:t>In the box below, comment on adjustments to the</w:t>
      </w:r>
      <w:r>
        <w:rPr>
          <w:b/>
          <w:bCs/>
        </w:rPr>
        <w:t xml:space="preserve"> </w:t>
      </w:r>
      <w:r w:rsidRPr="00B06C04">
        <w:rPr>
          <w:bCs/>
        </w:rPr>
        <w:t>initial RAB</w:t>
      </w:r>
      <w:r w:rsidRPr="00B06C04">
        <w:t xml:space="preserve"> as disclosed</w:t>
      </w:r>
      <w:r>
        <w:t xml:space="preserve"> in Schedule 4c. This comment must include information on adjustments in accordance with clause 2.7.2.</w:t>
      </w:r>
    </w:p>
    <w:tbl>
      <w:tblPr>
        <w:tblW w:w="9243" w:type="dxa"/>
        <w:tblCellMar>
          <w:left w:w="0" w:type="dxa"/>
          <w:right w:w="0" w:type="dxa"/>
        </w:tblCellMar>
        <w:tblLook w:val="04A0"/>
      </w:tblPr>
      <w:tblGrid>
        <w:gridCol w:w="9243"/>
      </w:tblGrid>
      <w:tr w:rsidR="0083560F" w:rsidTr="00476A3F">
        <w:tc>
          <w:tcPr>
            <w:tcW w:w="9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560F" w:rsidRPr="00802B4B" w:rsidRDefault="0083560F" w:rsidP="00476A3F">
            <w:pPr>
              <w:pStyle w:val="Caption"/>
              <w:keepNext/>
              <w:rPr>
                <w:rFonts w:ascii="Calibri" w:eastAsiaTheme="minorHAnsi" w:hAnsi="Calibri"/>
              </w:rPr>
            </w:pPr>
            <w:r w:rsidRPr="006F48FB">
              <w:rPr>
                <w:rFonts w:ascii="Calibri" w:hAnsi="Calibri"/>
              </w:rPr>
              <w:t xml:space="preserve">Box </w:t>
            </w:r>
            <w:r>
              <w:rPr>
                <w:rFonts w:ascii="Calibri" w:hAnsi="Calibri"/>
              </w:rPr>
              <w:t>5</w:t>
            </w:r>
            <w:r w:rsidRPr="006F48FB">
              <w:rPr>
                <w:rFonts w:ascii="Calibri" w:hAnsi="Calibri"/>
              </w:rPr>
              <w:t>: Commentary on adjustments to the initial RAB</w:t>
            </w:r>
          </w:p>
          <w:p w:rsidR="0083560F" w:rsidRPr="00802B4B" w:rsidRDefault="0083560F" w:rsidP="00476A3F">
            <w:pPr>
              <w:pStyle w:val="BodyText"/>
              <w:rPr>
                <w:rFonts w:ascii="Calibri" w:hAnsi="Calibri"/>
              </w:rPr>
            </w:pPr>
            <w:r w:rsidRPr="006F48FB">
              <w:rPr>
                <w:rFonts w:ascii="Calibri" w:hAnsi="Calibri"/>
              </w:rPr>
              <w:t>[Insert text here]</w:t>
            </w:r>
          </w:p>
          <w:p w:rsidR="0083560F" w:rsidRDefault="0083560F" w:rsidP="00476A3F">
            <w:pPr>
              <w:pStyle w:val="BodyText"/>
              <w:rPr>
                <w:rFonts w:ascii="Times New Roman" w:hAnsi="Times New Roman"/>
              </w:rPr>
            </w:pPr>
          </w:p>
        </w:tc>
      </w:tr>
    </w:tbl>
    <w:p w:rsidR="0083560F" w:rsidRDefault="0083560F" w:rsidP="0083560F">
      <w:pPr>
        <w:pStyle w:val="Heading3"/>
      </w:pPr>
    </w:p>
    <w:p w:rsidR="00AB2FA8" w:rsidRDefault="00AB2FA8" w:rsidP="00AB2FA8">
      <w:pPr>
        <w:pStyle w:val="Heading3"/>
      </w:pPr>
      <w:r>
        <w:t>Regulatory Profit (Schedule 5)</w:t>
      </w:r>
    </w:p>
    <w:p w:rsidR="00F40DAE" w:rsidRDefault="00AB2FA8">
      <w:pPr>
        <w:pStyle w:val="Para1"/>
      </w:pPr>
      <w:r>
        <w:t>In the box below, comment on r</w:t>
      </w:r>
      <w:r>
        <w:rPr>
          <w:bCs/>
          <w:iCs/>
        </w:rPr>
        <w:t>egulatory profit for the disclosure year as disclosed in Schedule 5</w:t>
      </w:r>
      <w:r>
        <w:t>. This comment must include:</w:t>
      </w:r>
    </w:p>
    <w:p w:rsidR="00F40DAE" w:rsidRDefault="00AB2FA8" w:rsidP="00440341">
      <w:pPr>
        <w:pStyle w:val="Para1"/>
        <w:numPr>
          <w:ilvl w:val="1"/>
          <w:numId w:val="61"/>
        </w:numPr>
      </w:pPr>
      <w:r>
        <w:t>a description of material items included in ‘other regulatory line income’ other than gains and losses on asset sales, as disclosed in Schedule 5(</w:t>
      </w:r>
      <w:proofErr w:type="spellStart"/>
      <w:r>
        <w:t>i</w:t>
      </w:r>
      <w:proofErr w:type="spellEnd"/>
      <w:r>
        <w:t>)</w:t>
      </w:r>
    </w:p>
    <w:p w:rsidR="00F40DAE" w:rsidRDefault="00AB2FA8" w:rsidP="00440341">
      <w:pPr>
        <w:pStyle w:val="Para1"/>
        <w:numPr>
          <w:ilvl w:val="1"/>
          <w:numId w:val="61"/>
        </w:numPr>
      </w:pPr>
      <w:proofErr w:type="gramStart"/>
      <w:r>
        <w:t>information</w:t>
      </w:r>
      <w:proofErr w:type="gramEnd"/>
      <w:r>
        <w:t xml:space="preserve"> on reclassified items in accordance with clause </w:t>
      </w:r>
      <w:r w:rsidR="0033518E">
        <w:fldChar w:fldCharType="begin"/>
      </w:r>
      <w:r w:rsidR="00DA59E6">
        <w:instrText xml:space="preserve"> REF _Ref329181706 \r \h </w:instrText>
      </w:r>
      <w:r w:rsidR="0033518E">
        <w:fldChar w:fldCharType="separate"/>
      </w:r>
      <w:r w:rsidR="00B06C04">
        <w:t>2.7.1(2)</w:t>
      </w:r>
      <w:r w:rsidR="0033518E">
        <w:fldChar w:fldCharType="end"/>
      </w:r>
      <w:r w:rsidR="00DA59E6">
        <w:t>.</w:t>
      </w:r>
    </w:p>
    <w:tbl>
      <w:tblPr>
        <w:tblStyle w:val="TableGrid"/>
        <w:tblW w:w="0" w:type="auto"/>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bookmarkStart w:id="781" w:name="_Ref327699788"/>
            <w:r>
              <w:t xml:space="preserve">Box </w:t>
            </w:r>
            <w:r w:rsidR="0033518E">
              <w:fldChar w:fldCharType="begin"/>
            </w:r>
            <w:r>
              <w:instrText xml:space="preserve"> SEQ Box \* ARABIC </w:instrText>
            </w:r>
            <w:r w:rsidR="0033518E">
              <w:fldChar w:fldCharType="separate"/>
            </w:r>
            <w:r w:rsidR="00B06C04">
              <w:rPr>
                <w:noProof/>
              </w:rPr>
              <w:t>5</w:t>
            </w:r>
            <w:r w:rsidR="0033518E">
              <w:fldChar w:fldCharType="end"/>
            </w:r>
            <w:bookmarkEnd w:id="781"/>
            <w:r>
              <w:t>: Explanatory comment on regulatory profit</w:t>
            </w:r>
          </w:p>
          <w:p w:rsidR="00AB2FA8" w:rsidRDefault="00AB2FA8">
            <w:pPr>
              <w:pStyle w:val="BodyText"/>
              <w:rPr>
                <w:bCs/>
                <w:iCs/>
              </w:rPr>
            </w:pPr>
            <w:r>
              <w:rPr>
                <w:bCs/>
                <w:iCs/>
              </w:rPr>
              <w:t>[Insert text here]</w:t>
            </w:r>
          </w:p>
          <w:p w:rsidR="00AB2FA8" w:rsidRDefault="00AB2FA8">
            <w:pPr>
              <w:pStyle w:val="BodyText"/>
              <w:rPr>
                <w:bCs/>
                <w:iCs/>
              </w:rPr>
            </w:pPr>
          </w:p>
          <w:p w:rsidR="00AB2FA8" w:rsidRDefault="00AB2FA8">
            <w:pPr>
              <w:pStyle w:val="BodyText"/>
              <w:rPr>
                <w:bCs/>
                <w:iCs/>
              </w:rPr>
            </w:pPr>
          </w:p>
        </w:tc>
      </w:tr>
    </w:tbl>
    <w:p w:rsidR="00AB2FA8" w:rsidRDefault="00AB2FA8" w:rsidP="00AB2FA8">
      <w:pPr>
        <w:pStyle w:val="Singlespacedparagraph"/>
      </w:pPr>
    </w:p>
    <w:p w:rsidR="00AB2FA8" w:rsidRDefault="00AB2FA8" w:rsidP="00AB2FA8">
      <w:pPr>
        <w:pStyle w:val="Heading3"/>
      </w:pPr>
      <w:r>
        <w:t>Merger and acquisition expenses (Schedule 5(vi))</w:t>
      </w:r>
    </w:p>
    <w:p w:rsidR="00F40DAE" w:rsidRDefault="00AB2FA8">
      <w:pPr>
        <w:pStyle w:val="Para1"/>
        <w:rPr>
          <w:lang w:eastAsia="en-NZ"/>
        </w:rPr>
      </w:pPr>
      <w:r>
        <w:rPr>
          <w:lang w:eastAsia="en-NZ"/>
        </w:rPr>
        <w:t xml:space="preserve">If the </w:t>
      </w:r>
      <w:r w:rsidR="00B120AC">
        <w:rPr>
          <w:lang w:eastAsia="en-NZ"/>
        </w:rPr>
        <w:t>GTB</w:t>
      </w:r>
      <w:r>
        <w:rPr>
          <w:lang w:eastAsia="en-NZ"/>
        </w:rPr>
        <w:t xml:space="preserve"> incurred merger and acquisitions expenditure during the disclosure year, provide the following information in the box below:</w:t>
      </w:r>
    </w:p>
    <w:p w:rsidR="00F40DAE" w:rsidRDefault="00AB2FA8" w:rsidP="00440341">
      <w:pPr>
        <w:pStyle w:val="Para1"/>
        <w:numPr>
          <w:ilvl w:val="1"/>
          <w:numId w:val="61"/>
        </w:numPr>
        <w:rPr>
          <w:lang w:eastAsia="en-NZ"/>
        </w:rPr>
      </w:pPr>
      <w:r>
        <w:rPr>
          <w:lang w:eastAsia="en-NZ"/>
        </w:rPr>
        <w:t xml:space="preserve">information on reclassified items in accordance with clause </w:t>
      </w:r>
      <w:r w:rsidR="0033518E">
        <w:fldChar w:fldCharType="begin"/>
      </w:r>
      <w:r w:rsidR="00DA59E6">
        <w:instrText xml:space="preserve"> REF _Ref329181706 \r \h </w:instrText>
      </w:r>
      <w:r w:rsidR="0033518E">
        <w:fldChar w:fldCharType="separate"/>
      </w:r>
      <w:r w:rsidR="00B06C04">
        <w:t>2.7.1(2)</w:t>
      </w:r>
      <w:r w:rsidR="0033518E">
        <w:fldChar w:fldCharType="end"/>
      </w:r>
    </w:p>
    <w:p w:rsidR="00F40DAE" w:rsidRDefault="00AB2FA8" w:rsidP="00440341">
      <w:pPr>
        <w:pStyle w:val="Para1"/>
        <w:numPr>
          <w:ilvl w:val="1"/>
          <w:numId w:val="61"/>
        </w:numPr>
        <w:rPr>
          <w:lang w:eastAsia="en-NZ"/>
        </w:rPr>
      </w:pPr>
      <w:proofErr w:type="gramStart"/>
      <w:r>
        <w:rPr>
          <w:lang w:eastAsia="en-NZ"/>
        </w:rPr>
        <w:t>any</w:t>
      </w:r>
      <w:proofErr w:type="gramEnd"/>
      <w:r>
        <w:rPr>
          <w:lang w:eastAsia="en-NZ"/>
        </w:rPr>
        <w:t xml:space="preserve"> other commentary on the benefits of the merger and acquisition expenditure to the </w:t>
      </w:r>
      <w:r w:rsidR="00F86836" w:rsidRPr="00B06C04">
        <w:rPr>
          <w:lang w:eastAsia="en-NZ"/>
        </w:rPr>
        <w:t>GTB</w:t>
      </w:r>
      <w:r>
        <w:rPr>
          <w:lang w:eastAsia="en-NZ"/>
        </w:rPr>
        <w:t>.</w:t>
      </w:r>
    </w:p>
    <w:tbl>
      <w:tblPr>
        <w:tblStyle w:val="TableGrid"/>
        <w:tblW w:w="0" w:type="auto"/>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6</w:t>
            </w:r>
            <w:r w:rsidR="0033518E">
              <w:fldChar w:fldCharType="end"/>
            </w:r>
            <w:r>
              <w:t>: Explanatory comment on merger and acquisition expenditure</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AB2FA8" w:rsidRDefault="00AB2FA8" w:rsidP="00AB2FA8">
      <w:pPr>
        <w:pStyle w:val="Heading3"/>
      </w:pPr>
      <w:r>
        <w:t xml:space="preserve">Regulatory tax allowance: disclosure of permanent differences (Schedule </w:t>
      </w:r>
      <w:proofErr w:type="gramStart"/>
      <w:r>
        <w:t>5a(</w:t>
      </w:r>
      <w:proofErr w:type="spellStart"/>
      <w:proofErr w:type="gramEnd"/>
      <w:r>
        <w:t>i</w:t>
      </w:r>
      <w:proofErr w:type="spellEnd"/>
      <w:r>
        <w:t>))</w:t>
      </w:r>
    </w:p>
    <w:p w:rsidR="00F40DAE" w:rsidRDefault="00AB2FA8">
      <w:pPr>
        <w:pStyle w:val="Para1"/>
        <w:rPr>
          <w:lang w:eastAsia="en-NZ"/>
        </w:rPr>
      </w:pPr>
      <w:r>
        <w:rPr>
          <w:lang w:eastAsia="en-NZ"/>
        </w:rPr>
        <w:t>In the box below, provide descriptions and workings of the following items, as recorded in the asterisked categories in of Schedule 5a(</w:t>
      </w:r>
      <w:proofErr w:type="spellStart"/>
      <w:r>
        <w:rPr>
          <w:lang w:eastAsia="en-NZ"/>
        </w:rPr>
        <w:t>i</w:t>
      </w:r>
      <w:proofErr w:type="spellEnd"/>
      <w:r>
        <w:rPr>
          <w:lang w:eastAsia="en-NZ"/>
        </w:rPr>
        <w:t>):</w:t>
      </w:r>
    </w:p>
    <w:p w:rsidR="00F40DAE" w:rsidRDefault="00AB2FA8" w:rsidP="00440341">
      <w:pPr>
        <w:pStyle w:val="Para1"/>
        <w:numPr>
          <w:ilvl w:val="1"/>
          <w:numId w:val="61"/>
        </w:numPr>
        <w:rPr>
          <w:lang w:eastAsia="en-NZ"/>
        </w:rPr>
      </w:pPr>
      <w:r>
        <w:rPr>
          <w:lang w:eastAsia="en-NZ"/>
        </w:rPr>
        <w:t>Income not included in regulatory profit / (loss) before tax but taxable</w:t>
      </w:r>
    </w:p>
    <w:p w:rsidR="00F40DAE" w:rsidRDefault="00AB2FA8" w:rsidP="00440341">
      <w:pPr>
        <w:pStyle w:val="Para1"/>
        <w:numPr>
          <w:ilvl w:val="1"/>
          <w:numId w:val="61"/>
        </w:numPr>
        <w:rPr>
          <w:lang w:eastAsia="en-NZ"/>
        </w:rPr>
      </w:pPr>
      <w:r>
        <w:rPr>
          <w:lang w:eastAsia="en-NZ"/>
        </w:rPr>
        <w:t>Expenditure or loss in regulatory profit / (loss) before tax but not deductible</w:t>
      </w:r>
    </w:p>
    <w:p w:rsidR="00F40DAE" w:rsidRDefault="00AB2FA8" w:rsidP="00440341">
      <w:pPr>
        <w:pStyle w:val="Para1"/>
        <w:numPr>
          <w:ilvl w:val="1"/>
          <w:numId w:val="61"/>
        </w:numPr>
        <w:rPr>
          <w:lang w:eastAsia="en-NZ"/>
        </w:rPr>
      </w:pPr>
      <w:r>
        <w:rPr>
          <w:lang w:eastAsia="en-NZ"/>
        </w:rPr>
        <w:t>Income included in regulatory profit / (loss) before tax but not taxable</w:t>
      </w:r>
    </w:p>
    <w:p w:rsidR="00F40DAE" w:rsidRDefault="00AB2FA8" w:rsidP="00440341">
      <w:pPr>
        <w:pStyle w:val="Para1"/>
        <w:numPr>
          <w:ilvl w:val="1"/>
          <w:numId w:val="61"/>
        </w:numPr>
        <w:rPr>
          <w:lang w:eastAsia="en-NZ"/>
        </w:rPr>
      </w:pPr>
      <w:r>
        <w:rPr>
          <w:lang w:eastAsia="en-NZ"/>
        </w:rPr>
        <w:t>Expenditure or loss deductible but not in regulatory profit / (loss) before tax</w:t>
      </w:r>
    </w:p>
    <w:p w:rsidR="00AB2FA8" w:rsidRDefault="00AB2FA8" w:rsidP="00AB2FA8"/>
    <w:tbl>
      <w:tblPr>
        <w:tblStyle w:val="TableGrid"/>
        <w:tblW w:w="9243" w:type="dxa"/>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7</w:t>
            </w:r>
            <w:r w:rsidR="0033518E">
              <w:fldChar w:fldCharType="end"/>
            </w:r>
            <w:r>
              <w:t>: Regulatory tax allowance: permanent differences</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AB2FA8" w:rsidRDefault="00AB2FA8" w:rsidP="00AB2FA8">
      <w:pPr>
        <w:pStyle w:val="Heading3"/>
      </w:pPr>
      <w:r>
        <w:t>Regulatory tax allowance: disclosure of tempo</w:t>
      </w:r>
      <w:r w:rsidR="005D0F13">
        <w:t xml:space="preserve">rary differences (Schedule </w:t>
      </w:r>
      <w:proofErr w:type="gramStart"/>
      <w:r w:rsidR="005D0F13">
        <w:t>5a(</w:t>
      </w:r>
      <w:proofErr w:type="gramEnd"/>
      <w:r w:rsidR="005D0F13">
        <w:t>ii</w:t>
      </w:r>
      <w:r>
        <w:t>))</w:t>
      </w:r>
    </w:p>
    <w:p w:rsidR="00F40DAE" w:rsidRDefault="00AB2FA8">
      <w:pPr>
        <w:pStyle w:val="Para1"/>
        <w:rPr>
          <w:lang w:eastAsia="en-NZ"/>
        </w:rPr>
      </w:pPr>
      <w:r>
        <w:rPr>
          <w:lang w:eastAsia="en-NZ"/>
        </w:rPr>
        <w:t>In the box below, provide descriptions and workings of items recorded in the asterisked category ‘Tax effect of other temporar</w:t>
      </w:r>
      <w:r w:rsidR="005D0F13">
        <w:rPr>
          <w:lang w:eastAsia="en-NZ"/>
        </w:rPr>
        <w:t>y differences’ in Schedule 5a(ii</w:t>
      </w:r>
      <w:r>
        <w:rPr>
          <w:lang w:eastAsia="en-NZ"/>
        </w:rPr>
        <w:t>)</w:t>
      </w:r>
    </w:p>
    <w:tbl>
      <w:tblPr>
        <w:tblStyle w:val="TableGrid"/>
        <w:tblW w:w="9243" w:type="dxa"/>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8</w:t>
            </w:r>
            <w:r w:rsidR="0033518E">
              <w:fldChar w:fldCharType="end"/>
            </w:r>
            <w:r>
              <w:t xml:space="preserve">: </w:t>
            </w:r>
            <w:r w:rsidR="005D0F13">
              <w:t>T</w:t>
            </w:r>
            <w:r>
              <w:t xml:space="preserve">emporary differences </w:t>
            </w:r>
          </w:p>
          <w:p w:rsidR="00AB2FA8" w:rsidRDefault="00AB2FA8">
            <w:pPr>
              <w:pStyle w:val="BodyText"/>
              <w:rPr>
                <w:bCs/>
                <w:iCs/>
              </w:rPr>
            </w:pPr>
            <w:r>
              <w:rPr>
                <w:bCs/>
                <w:iCs/>
              </w:rPr>
              <w:t>[Insert text here]</w:t>
            </w:r>
          </w:p>
          <w:p w:rsidR="00AB2FA8" w:rsidRDefault="00AB2FA8">
            <w:pPr>
              <w:pStyle w:val="BodyText"/>
              <w:rPr>
                <w:bCs/>
                <w:iCs/>
              </w:rPr>
            </w:pPr>
          </w:p>
        </w:tc>
      </w:tr>
    </w:tbl>
    <w:p w:rsidR="00372238" w:rsidRDefault="00372238" w:rsidP="00372238">
      <w:pPr>
        <w:pStyle w:val="Heading3"/>
      </w:pPr>
    </w:p>
    <w:p w:rsidR="00372238" w:rsidRDefault="00372238" w:rsidP="00372238">
      <w:pPr>
        <w:pStyle w:val="Heading3"/>
      </w:pPr>
      <w:r>
        <w:t>Related party transactions: disclosure of related party transactions (Schedule 5b)</w:t>
      </w:r>
    </w:p>
    <w:p w:rsidR="00372238" w:rsidRDefault="00372238" w:rsidP="00372238">
      <w:pPr>
        <w:pStyle w:val="Para1"/>
        <w:rPr>
          <w:lang w:eastAsia="en-NZ"/>
        </w:rPr>
      </w:pPr>
      <w:r>
        <w:rPr>
          <w:lang w:eastAsia="en-NZ"/>
        </w:rPr>
        <w:t xml:space="preserve">In the box below, </w:t>
      </w:r>
      <w:r w:rsidRPr="00875409">
        <w:rPr>
          <w:lang w:eastAsia="en-NZ"/>
        </w:rPr>
        <w:t xml:space="preserve">provide descriptions </w:t>
      </w:r>
      <w:r>
        <w:rPr>
          <w:lang w:eastAsia="en-NZ"/>
        </w:rPr>
        <w:t xml:space="preserve">of related party transactions beyond those disclosed </w:t>
      </w:r>
      <w:r w:rsidR="00DA59E6">
        <w:rPr>
          <w:lang w:eastAsia="en-NZ"/>
        </w:rPr>
        <w:t>i</w:t>
      </w:r>
      <w:r>
        <w:rPr>
          <w:lang w:eastAsia="en-NZ"/>
        </w:rPr>
        <w:t xml:space="preserve">n </w:t>
      </w:r>
      <w:r w:rsidR="00DA59E6">
        <w:rPr>
          <w:lang w:eastAsia="en-NZ"/>
        </w:rPr>
        <w:t>S</w:t>
      </w:r>
      <w:r>
        <w:rPr>
          <w:lang w:eastAsia="en-NZ"/>
        </w:rPr>
        <w:t>chedule 5</w:t>
      </w:r>
      <w:r w:rsidR="0083560F">
        <w:rPr>
          <w:lang w:eastAsia="en-NZ"/>
        </w:rPr>
        <w:t>b</w:t>
      </w:r>
      <w:r>
        <w:rPr>
          <w:lang w:eastAsia="en-NZ"/>
        </w:rPr>
        <w:t xml:space="preserve"> including identification and descriptions as to the nature of </w:t>
      </w:r>
      <w:r w:rsidR="00F86836" w:rsidRPr="00F86836">
        <w:rPr>
          <w:lang w:eastAsia="en-NZ"/>
        </w:rPr>
        <w:t>directly attributable</w:t>
      </w:r>
      <w:r w:rsidRPr="00394A69">
        <w:rPr>
          <w:b/>
          <w:lang w:eastAsia="en-NZ"/>
        </w:rPr>
        <w:t xml:space="preserve"> </w:t>
      </w:r>
      <w:r>
        <w:rPr>
          <w:lang w:eastAsia="en-NZ"/>
        </w:rPr>
        <w:t>costs disclosed under clause</w:t>
      </w:r>
      <w:r w:rsidR="00D91BE1">
        <w:rPr>
          <w:lang w:eastAsia="en-NZ"/>
        </w:rPr>
        <w:t xml:space="preserve"> </w:t>
      </w:r>
      <w:r w:rsidR="0033518E">
        <w:rPr>
          <w:lang w:eastAsia="en-NZ"/>
        </w:rPr>
        <w:fldChar w:fldCharType="begin"/>
      </w:r>
      <w:r w:rsidR="00D91BE1">
        <w:rPr>
          <w:lang w:eastAsia="en-NZ"/>
        </w:rPr>
        <w:instrText xml:space="preserve"> REF _Ref329294431 \w \h </w:instrText>
      </w:r>
      <w:r w:rsidR="0033518E">
        <w:rPr>
          <w:lang w:eastAsia="en-NZ"/>
        </w:rPr>
      </w:r>
      <w:r w:rsidR="0033518E">
        <w:rPr>
          <w:lang w:eastAsia="en-NZ"/>
        </w:rPr>
        <w:fldChar w:fldCharType="separate"/>
      </w:r>
      <w:r w:rsidR="00B06C04">
        <w:rPr>
          <w:lang w:eastAsia="en-NZ"/>
        </w:rPr>
        <w:t>2.3.7(2</w:t>
      </w:r>
      <w:proofErr w:type="gramStart"/>
      <w:r w:rsidR="00B06C04">
        <w:rPr>
          <w:lang w:eastAsia="en-NZ"/>
        </w:rPr>
        <w:t>)(</w:t>
      </w:r>
      <w:proofErr w:type="gramEnd"/>
      <w:r w:rsidR="00B06C04">
        <w:rPr>
          <w:lang w:eastAsia="en-NZ"/>
        </w:rPr>
        <w:t>b)</w:t>
      </w:r>
      <w:r w:rsidR="0033518E">
        <w:rPr>
          <w:lang w:eastAsia="en-NZ"/>
        </w:rPr>
        <w:fldChar w:fldCharType="end"/>
      </w:r>
      <w:r>
        <w:rPr>
          <w:lang w:eastAsia="en-NZ"/>
        </w:rPr>
        <w:t>.</w:t>
      </w:r>
    </w:p>
    <w:tbl>
      <w:tblPr>
        <w:tblStyle w:val="TableGrid"/>
        <w:tblW w:w="9243" w:type="dxa"/>
        <w:tblLook w:val="04A0"/>
      </w:tblPr>
      <w:tblGrid>
        <w:gridCol w:w="9243"/>
      </w:tblGrid>
      <w:tr w:rsidR="00372238" w:rsidTr="00B80302">
        <w:tc>
          <w:tcPr>
            <w:tcW w:w="9243" w:type="dxa"/>
          </w:tcPr>
          <w:p w:rsidR="00372238" w:rsidRDefault="00372238" w:rsidP="00B80302">
            <w:pPr>
              <w:pStyle w:val="Caption"/>
              <w:keepNext/>
            </w:pPr>
            <w:r>
              <w:t xml:space="preserve">Box 10: Related party transactions </w:t>
            </w:r>
          </w:p>
          <w:p w:rsidR="00372238" w:rsidRDefault="00372238" w:rsidP="00B80302">
            <w:pPr>
              <w:pStyle w:val="BodyText"/>
              <w:rPr>
                <w:bCs/>
                <w:iCs/>
              </w:rPr>
            </w:pPr>
            <w:r>
              <w:rPr>
                <w:bCs/>
                <w:iCs/>
              </w:rPr>
              <w:t>[Insert text here]</w:t>
            </w:r>
          </w:p>
          <w:p w:rsidR="00372238" w:rsidRDefault="00372238" w:rsidP="00B80302">
            <w:pPr>
              <w:pStyle w:val="BodyText"/>
              <w:rPr>
                <w:bCs/>
                <w:iCs/>
              </w:rPr>
            </w:pPr>
          </w:p>
        </w:tc>
      </w:tr>
    </w:tbl>
    <w:p w:rsidR="00372238" w:rsidRDefault="00372238" w:rsidP="00372238">
      <w:pPr>
        <w:pStyle w:val="Heading3"/>
      </w:pPr>
    </w:p>
    <w:p w:rsidR="00372238" w:rsidRDefault="00372238" w:rsidP="00372238">
      <w:pPr>
        <w:pStyle w:val="BodyText"/>
        <w:rPr>
          <w:i/>
        </w:rPr>
      </w:pPr>
      <w:r>
        <w:rPr>
          <w:i/>
        </w:rPr>
        <w:t>Cost allocation (Schedule 5c)</w:t>
      </w:r>
    </w:p>
    <w:p w:rsidR="00372238" w:rsidRPr="002F5635" w:rsidRDefault="00372238" w:rsidP="00372238">
      <w:pPr>
        <w:pStyle w:val="Para1"/>
      </w:pPr>
      <w:r>
        <w:t>In the box below, comment</w:t>
      </w:r>
      <w:r w:rsidRPr="002F5635">
        <w:t xml:space="preserve"> on </w:t>
      </w:r>
      <w:r>
        <w:t xml:space="preserve">cost </w:t>
      </w:r>
      <w:r w:rsidRPr="002F5635">
        <w:t>allocation</w:t>
      </w:r>
      <w:r>
        <w:t xml:space="preserve"> as disclosed in Schedule 5c. This comment must include information on reclassified items </w:t>
      </w:r>
      <w:r w:rsidRPr="002F5635">
        <w:t xml:space="preserve">in accordance with </w:t>
      </w:r>
      <w:r>
        <w:t xml:space="preserve">clause </w:t>
      </w:r>
      <w:r w:rsidR="0033518E">
        <w:fldChar w:fldCharType="begin"/>
      </w:r>
      <w:r w:rsidR="00DA59E6">
        <w:instrText xml:space="preserve"> REF _Ref329181706 \r \h </w:instrText>
      </w:r>
      <w:r w:rsidR="0033518E">
        <w:fldChar w:fldCharType="separate"/>
      </w:r>
      <w:r w:rsidR="00B06C04">
        <w:t>2.7.1(2)</w:t>
      </w:r>
      <w:r w:rsidR="0033518E">
        <w:fldChar w:fldCharType="end"/>
      </w:r>
      <w:r>
        <w:t>.</w:t>
      </w:r>
    </w:p>
    <w:tbl>
      <w:tblPr>
        <w:tblStyle w:val="TableGrid"/>
        <w:tblW w:w="9243" w:type="dxa"/>
        <w:tblLook w:val="04A0"/>
      </w:tblPr>
      <w:tblGrid>
        <w:gridCol w:w="9243"/>
      </w:tblGrid>
      <w:tr w:rsidR="00372238" w:rsidTr="00B80302">
        <w:tc>
          <w:tcPr>
            <w:tcW w:w="9243" w:type="dxa"/>
          </w:tcPr>
          <w:p w:rsidR="00372238" w:rsidRDefault="00372238" w:rsidP="00B80302">
            <w:pPr>
              <w:pStyle w:val="Caption"/>
              <w:keepNext/>
            </w:pPr>
            <w:r>
              <w:t>Box 10: Cost allocation</w:t>
            </w:r>
          </w:p>
          <w:p w:rsidR="00372238" w:rsidRDefault="00372238" w:rsidP="00B80302">
            <w:pPr>
              <w:pStyle w:val="BodyText"/>
              <w:rPr>
                <w:bCs/>
                <w:iCs/>
              </w:rPr>
            </w:pPr>
            <w:r>
              <w:rPr>
                <w:bCs/>
                <w:iCs/>
              </w:rPr>
              <w:t>[Insert text here]</w:t>
            </w:r>
          </w:p>
          <w:p w:rsidR="00372238" w:rsidRDefault="00372238" w:rsidP="00B80302">
            <w:pPr>
              <w:pStyle w:val="BodyText"/>
              <w:rPr>
                <w:bCs/>
                <w:iCs/>
              </w:rPr>
            </w:pPr>
          </w:p>
        </w:tc>
      </w:tr>
    </w:tbl>
    <w:p w:rsidR="00372238" w:rsidRPr="00B71E92" w:rsidRDefault="00372238" w:rsidP="00372238">
      <w:pPr>
        <w:pStyle w:val="BodyText"/>
      </w:pPr>
    </w:p>
    <w:p w:rsidR="00AB2FA8" w:rsidRDefault="00AB2FA8" w:rsidP="00AB2FA8">
      <w:pPr>
        <w:pStyle w:val="Heading3"/>
      </w:pPr>
      <w:r>
        <w:t>Capital Expenditure for the Disclosure Year (Schedule 6)</w:t>
      </w:r>
    </w:p>
    <w:p w:rsidR="00F40DAE" w:rsidRDefault="00AB2FA8">
      <w:pPr>
        <w:pStyle w:val="Para1"/>
      </w:pPr>
      <w:r>
        <w:t xml:space="preserve">In the box below, comment on </w:t>
      </w:r>
      <w:r>
        <w:rPr>
          <w:bCs/>
          <w:iCs/>
        </w:rPr>
        <w:t xml:space="preserve">capital expenditure for the </w:t>
      </w:r>
      <w:r>
        <w:t>disclosure year, as disclosed in Schedu</w:t>
      </w:r>
      <w:r w:rsidR="00EA2B52">
        <w:t>le 6. This comment must include:</w:t>
      </w:r>
    </w:p>
    <w:p w:rsidR="00EA2B52" w:rsidRDefault="00EA2B52" w:rsidP="00440341">
      <w:pPr>
        <w:pStyle w:val="Para1"/>
        <w:numPr>
          <w:ilvl w:val="1"/>
          <w:numId w:val="61"/>
        </w:numPr>
      </w:pPr>
      <w:r>
        <w:t>a description of the materiality threshold applied to identify material projects and programmes described in Schedule 6;</w:t>
      </w:r>
    </w:p>
    <w:p w:rsidR="00F40DAE" w:rsidRDefault="00AB2FA8" w:rsidP="00440341">
      <w:pPr>
        <w:pStyle w:val="Para1"/>
        <w:numPr>
          <w:ilvl w:val="1"/>
          <w:numId w:val="61"/>
        </w:numPr>
      </w:pPr>
      <w:r>
        <w:t xml:space="preserve">information on reclassified items in accordance with clause </w:t>
      </w:r>
      <w:r w:rsidR="0033518E">
        <w:fldChar w:fldCharType="begin"/>
      </w:r>
      <w:r w:rsidR="00DA59E6">
        <w:instrText xml:space="preserve"> REF _Ref329181706 \r \h </w:instrText>
      </w:r>
      <w:r w:rsidR="0033518E">
        <w:fldChar w:fldCharType="separate"/>
      </w:r>
      <w:r w:rsidR="00B06C04">
        <w:t>2.7.1(2)</w:t>
      </w:r>
      <w:r w:rsidR="0033518E">
        <w:fldChar w:fldCharType="end"/>
      </w:r>
    </w:p>
    <w:tbl>
      <w:tblPr>
        <w:tblStyle w:val="TableGrid"/>
        <w:tblW w:w="0" w:type="auto"/>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F40DAE" w:rsidRDefault="00AB2FA8" w:rsidP="00A96365">
            <w:pPr>
              <w:pStyle w:val="Caption"/>
              <w:keepNext/>
            </w:pPr>
            <w:r>
              <w:t xml:space="preserve">Box </w:t>
            </w:r>
            <w:r w:rsidR="0033518E">
              <w:fldChar w:fldCharType="begin"/>
            </w:r>
            <w:r>
              <w:instrText xml:space="preserve"> SEQ Box \* ARABIC </w:instrText>
            </w:r>
            <w:r w:rsidR="0033518E">
              <w:fldChar w:fldCharType="separate"/>
            </w:r>
            <w:r w:rsidR="00B06C04">
              <w:t>9</w:t>
            </w:r>
            <w:r w:rsidR="0033518E">
              <w:fldChar w:fldCharType="end"/>
            </w:r>
            <w:r>
              <w:t>: Explanation of capital expenditure for the disclosure year</w:t>
            </w:r>
          </w:p>
          <w:p w:rsidR="00AB2FA8" w:rsidRDefault="00AB2FA8">
            <w:pPr>
              <w:pStyle w:val="BodyText"/>
              <w:rPr>
                <w:bCs/>
                <w:iCs/>
              </w:rPr>
            </w:pPr>
            <w:r>
              <w:rPr>
                <w:bCs/>
                <w:iCs/>
              </w:rPr>
              <w:t>[Insert text here]</w:t>
            </w:r>
          </w:p>
          <w:p w:rsidR="00AB2FA8" w:rsidRDefault="00AB2FA8">
            <w:pPr>
              <w:pStyle w:val="BodyText"/>
              <w:rPr>
                <w:bCs/>
                <w:iCs/>
              </w:rPr>
            </w:pPr>
          </w:p>
          <w:p w:rsidR="00AB2FA8" w:rsidRDefault="00AB2FA8">
            <w:pPr>
              <w:pStyle w:val="BodyText"/>
              <w:rPr>
                <w:bCs/>
                <w:iCs/>
              </w:rPr>
            </w:pPr>
          </w:p>
        </w:tc>
      </w:tr>
    </w:tbl>
    <w:p w:rsidR="00AB2FA8" w:rsidRDefault="00AB2FA8" w:rsidP="00AB2FA8">
      <w:pPr>
        <w:pStyle w:val="Singlespacedparagraph"/>
      </w:pPr>
    </w:p>
    <w:p w:rsidR="00AB2FA8" w:rsidRDefault="00AB2FA8" w:rsidP="00AB2FA8">
      <w:pPr>
        <w:pStyle w:val="Heading3"/>
      </w:pPr>
      <w:r>
        <w:t>Operational Expenditure for the Disclosure Year (Schedule 7)</w:t>
      </w:r>
    </w:p>
    <w:p w:rsidR="00F40DAE" w:rsidRDefault="00AB2FA8">
      <w:pPr>
        <w:pStyle w:val="Para1"/>
      </w:pPr>
      <w:r>
        <w:t>In the box below, comment on operational</w:t>
      </w:r>
      <w:r>
        <w:rPr>
          <w:bCs/>
          <w:iCs/>
        </w:rPr>
        <w:t xml:space="preserve"> expenditure for the </w:t>
      </w:r>
      <w:r>
        <w:t>disclosure year, as disclosed in Schedule 7. This comment must include:</w:t>
      </w:r>
    </w:p>
    <w:p w:rsidR="00F40DAE" w:rsidRDefault="00AB2FA8" w:rsidP="00440341">
      <w:pPr>
        <w:pStyle w:val="Para1"/>
        <w:numPr>
          <w:ilvl w:val="1"/>
          <w:numId w:val="61"/>
        </w:numPr>
      </w:pPr>
      <w:r>
        <w:t>Commentary on assets replaced or renewed with Asset replacement and renewal operating expenditure, as reported Schedule 7(</w:t>
      </w:r>
      <w:proofErr w:type="spellStart"/>
      <w:r>
        <w:t>i</w:t>
      </w:r>
      <w:proofErr w:type="spellEnd"/>
      <w:r>
        <w:t>)</w:t>
      </w:r>
    </w:p>
    <w:p w:rsidR="00F40DAE" w:rsidRDefault="00AB2FA8" w:rsidP="00440341">
      <w:pPr>
        <w:pStyle w:val="Para1"/>
        <w:numPr>
          <w:ilvl w:val="1"/>
          <w:numId w:val="61"/>
        </w:numPr>
      </w:pPr>
      <w:r>
        <w:t xml:space="preserve">Information on reclassified items in accordance with clause </w:t>
      </w:r>
      <w:r w:rsidR="0033518E">
        <w:fldChar w:fldCharType="begin"/>
      </w:r>
      <w:r w:rsidR="00113C0B">
        <w:instrText xml:space="preserve"> REF _Ref329181706 \r \h </w:instrText>
      </w:r>
      <w:r w:rsidR="0033518E">
        <w:fldChar w:fldCharType="separate"/>
      </w:r>
      <w:r w:rsidR="00B06C04">
        <w:t>2.7.1(2)</w:t>
      </w:r>
      <w:r w:rsidR="0033518E">
        <w:fldChar w:fldCharType="end"/>
      </w:r>
    </w:p>
    <w:p w:rsidR="00F40DAE" w:rsidRDefault="00EA2B52" w:rsidP="00440341">
      <w:pPr>
        <w:pStyle w:val="Para1"/>
        <w:numPr>
          <w:ilvl w:val="1"/>
          <w:numId w:val="61"/>
        </w:numPr>
      </w:pPr>
      <w:r>
        <w:t xml:space="preserve">Commentary on any material </w:t>
      </w:r>
      <w:r w:rsidRPr="00D56E33">
        <w:t>atypical</w:t>
      </w:r>
      <w:r>
        <w:rPr>
          <w:b/>
        </w:rPr>
        <w:t xml:space="preserve"> </w:t>
      </w:r>
      <w:r>
        <w:t>expenditure included in operational expenditure disclosed in Schedule 7,</w:t>
      </w:r>
      <w:r w:rsidRPr="002638E6">
        <w:t xml:space="preserve"> </w:t>
      </w:r>
      <w:r w:rsidRPr="00604256">
        <w:t xml:space="preserve">a </w:t>
      </w:r>
      <w:r>
        <w:t xml:space="preserve">including the value of the expenditure </w:t>
      </w:r>
      <w:r w:rsidRPr="00604256">
        <w:t xml:space="preserve">the purpose of the </w:t>
      </w:r>
      <w:r>
        <w:t>expenditure</w:t>
      </w:r>
      <w:r w:rsidRPr="00604256">
        <w:t xml:space="preserve">, and the </w:t>
      </w:r>
      <w:r w:rsidRPr="00D56E33">
        <w:t>operational expenditure</w:t>
      </w:r>
      <w:r w:rsidRPr="00604256">
        <w:t xml:space="preserve"> categories the expenditure relates to</w:t>
      </w:r>
      <w:r w:rsidR="00AB2FA8">
        <w:t>.</w:t>
      </w:r>
    </w:p>
    <w:tbl>
      <w:tblPr>
        <w:tblStyle w:val="TableGrid"/>
        <w:tblW w:w="0" w:type="auto"/>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bookmarkStart w:id="782" w:name="_Ref327699880"/>
            <w:r>
              <w:t xml:space="preserve">Box </w:t>
            </w:r>
            <w:r w:rsidR="0033518E">
              <w:fldChar w:fldCharType="begin"/>
            </w:r>
            <w:r>
              <w:instrText xml:space="preserve"> SEQ Box \* ARABIC </w:instrText>
            </w:r>
            <w:r w:rsidR="0033518E">
              <w:fldChar w:fldCharType="separate"/>
            </w:r>
            <w:r w:rsidR="00B06C04">
              <w:rPr>
                <w:noProof/>
              </w:rPr>
              <w:t>10</w:t>
            </w:r>
            <w:r w:rsidR="0033518E">
              <w:fldChar w:fldCharType="end"/>
            </w:r>
            <w:bookmarkEnd w:id="782"/>
            <w:r>
              <w:t>: Explanation of operational expenditure for the disclosure year</w:t>
            </w:r>
          </w:p>
          <w:p w:rsidR="00AB2FA8" w:rsidRDefault="00AB2FA8">
            <w:pPr>
              <w:pStyle w:val="BodyText"/>
              <w:rPr>
                <w:bCs/>
                <w:iCs/>
              </w:rPr>
            </w:pPr>
            <w:r>
              <w:rPr>
                <w:bCs/>
                <w:iCs/>
              </w:rPr>
              <w:t>[Insert text here]</w:t>
            </w:r>
          </w:p>
          <w:p w:rsidR="00AB2FA8" w:rsidRDefault="00AB2FA8">
            <w:pPr>
              <w:pStyle w:val="BodyText"/>
              <w:rPr>
                <w:bCs/>
                <w:iCs/>
              </w:rPr>
            </w:pPr>
          </w:p>
          <w:p w:rsidR="00AB2FA8" w:rsidRDefault="00AB2FA8">
            <w:pPr>
              <w:pStyle w:val="BodyText"/>
              <w:rPr>
                <w:bCs/>
                <w:iCs/>
              </w:rPr>
            </w:pPr>
          </w:p>
        </w:tc>
      </w:tr>
    </w:tbl>
    <w:p w:rsidR="00AB2FA8" w:rsidRDefault="00AB2FA8" w:rsidP="00AB2FA8">
      <w:pPr>
        <w:pStyle w:val="BodyText"/>
        <w:rPr>
          <w:bCs/>
          <w:iCs/>
        </w:rPr>
      </w:pPr>
    </w:p>
    <w:p w:rsidR="00AB2FA8" w:rsidRDefault="00AB2FA8" w:rsidP="00AB2FA8">
      <w:pPr>
        <w:pStyle w:val="Heading3"/>
      </w:pPr>
      <w:r>
        <w:t>Information Relating to Revenue for the Disclosure Year</w:t>
      </w:r>
    </w:p>
    <w:p w:rsidR="00F40DAE" w:rsidRDefault="00AB2FA8">
      <w:pPr>
        <w:pStyle w:val="Para1"/>
      </w:pPr>
      <w:r>
        <w:t>In the box below provide:</w:t>
      </w:r>
    </w:p>
    <w:p w:rsidR="00F40DAE" w:rsidRDefault="00AB2FA8" w:rsidP="00440341">
      <w:pPr>
        <w:pStyle w:val="Para1"/>
        <w:numPr>
          <w:ilvl w:val="1"/>
          <w:numId w:val="61"/>
        </w:numPr>
      </w:pPr>
      <w:r>
        <w:t xml:space="preserve">a comparison of the target revenue disclosed before the start of the </w:t>
      </w:r>
      <w:r w:rsidR="00F86836" w:rsidRPr="00F86836">
        <w:t>disclosure year</w:t>
      </w:r>
      <w:r>
        <w:t xml:space="preserve"> in accordance with clause</w:t>
      </w:r>
      <w:r w:rsidR="00113C0B">
        <w:t xml:space="preserve"> </w:t>
      </w:r>
      <w:r w:rsidR="0033518E">
        <w:fldChar w:fldCharType="begin"/>
      </w:r>
      <w:r w:rsidR="00113C0B">
        <w:instrText xml:space="preserve"> REF _Ref329182222 \r \h </w:instrText>
      </w:r>
      <w:r w:rsidR="0033518E">
        <w:fldChar w:fldCharType="separate"/>
      </w:r>
      <w:r w:rsidR="00B06C04">
        <w:t>2.4.3(3)</w:t>
      </w:r>
      <w:r w:rsidR="0033518E">
        <w:fldChar w:fldCharType="end"/>
      </w:r>
      <w:r w:rsidR="00113C0B">
        <w:t>,</w:t>
      </w:r>
      <w:r>
        <w:t xml:space="preserve"> to total billed </w:t>
      </w:r>
      <w:r w:rsidR="00F86836" w:rsidRPr="00F86836">
        <w:t>line charge revenue</w:t>
      </w:r>
      <w:r>
        <w:t xml:space="preserve"> for the </w:t>
      </w:r>
      <w:r w:rsidR="00F86836" w:rsidRPr="00F86836">
        <w:t>disclosure year</w:t>
      </w:r>
      <w:r>
        <w:t xml:space="preserve">, as disclosed in Schedules 8a and 8b; and </w:t>
      </w:r>
    </w:p>
    <w:p w:rsidR="00F40DAE" w:rsidRDefault="00AB2FA8" w:rsidP="00440341">
      <w:pPr>
        <w:pStyle w:val="Para1"/>
        <w:numPr>
          <w:ilvl w:val="1"/>
          <w:numId w:val="61"/>
        </w:numPr>
      </w:pPr>
      <w:proofErr w:type="gramStart"/>
      <w:r>
        <w:t>explanatory</w:t>
      </w:r>
      <w:proofErr w:type="gramEnd"/>
      <w:r>
        <w:t xml:space="preserve"> comment on reasons for any material differences between target revenue and total billed </w:t>
      </w:r>
      <w:r w:rsidR="00F86836" w:rsidRPr="00F86836">
        <w:t>line charge revenue</w:t>
      </w:r>
      <w:r>
        <w:t>.</w:t>
      </w:r>
    </w:p>
    <w:tbl>
      <w:tblPr>
        <w:tblStyle w:val="TableGrid"/>
        <w:tblW w:w="9243" w:type="dxa"/>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11</w:t>
            </w:r>
            <w:r w:rsidR="0033518E">
              <w:fldChar w:fldCharType="end"/>
            </w:r>
            <w:r>
              <w:t>: Explanatory comment relating to revenue for the disclosure year</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pPr>
    </w:p>
    <w:p w:rsidR="00AB2FA8" w:rsidRDefault="00AB2FA8" w:rsidP="00AB2FA8">
      <w:pPr>
        <w:pStyle w:val="Heading3"/>
      </w:pPr>
      <w:r>
        <w:t>Network Reliability for the Disclosure Year (Schedule 10)</w:t>
      </w:r>
    </w:p>
    <w:p w:rsidR="00F40DAE" w:rsidRDefault="00AB2FA8">
      <w:pPr>
        <w:pStyle w:val="Para1"/>
      </w:pPr>
      <w:r>
        <w:t xml:space="preserve">In the box below, comment on network reliability </w:t>
      </w:r>
      <w:r>
        <w:rPr>
          <w:bCs/>
          <w:iCs/>
        </w:rPr>
        <w:t xml:space="preserve">for the </w:t>
      </w:r>
      <w:r>
        <w:t>disclosure year, as disclosed in Schedule 10.</w:t>
      </w:r>
    </w:p>
    <w:tbl>
      <w:tblPr>
        <w:tblStyle w:val="TableGrid"/>
        <w:tblW w:w="9243" w:type="dxa"/>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12</w:t>
            </w:r>
            <w:r w:rsidR="0033518E">
              <w:fldChar w:fldCharType="end"/>
            </w:r>
            <w:r>
              <w:t>: Commentary on network reliability for the disclosure year</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AB2FA8" w:rsidRDefault="00AB2FA8" w:rsidP="00AB2FA8">
      <w:pPr>
        <w:pStyle w:val="Heading3"/>
      </w:pPr>
      <w:r>
        <w:t>Insurance cover</w:t>
      </w:r>
    </w:p>
    <w:p w:rsidR="00F40DAE" w:rsidRDefault="00AB2FA8">
      <w:pPr>
        <w:pStyle w:val="Para1"/>
      </w:pPr>
      <w:r>
        <w:t>In the box below provide details of any insurance cover for the assets, including:</w:t>
      </w:r>
    </w:p>
    <w:p w:rsidR="00F40DAE" w:rsidRDefault="00AB2FA8" w:rsidP="00440341">
      <w:pPr>
        <w:pStyle w:val="Para1"/>
        <w:numPr>
          <w:ilvl w:val="1"/>
          <w:numId w:val="61"/>
        </w:numPr>
      </w:pPr>
      <w:r w:rsidRPr="00B06C04">
        <w:t xml:space="preserve">The </w:t>
      </w:r>
      <w:r w:rsidR="00F86836" w:rsidRPr="00B06C04">
        <w:t>GTB</w:t>
      </w:r>
      <w:r w:rsidRPr="00B06C04">
        <w:t>’s approaches</w:t>
      </w:r>
      <w:r>
        <w:t xml:space="preserve"> and practices in regard to the insurance of assets, including the level of insurance;</w:t>
      </w:r>
    </w:p>
    <w:p w:rsidR="00F40DAE" w:rsidRDefault="00AB2FA8" w:rsidP="00440341">
      <w:pPr>
        <w:pStyle w:val="Para1"/>
        <w:numPr>
          <w:ilvl w:val="1"/>
          <w:numId w:val="61"/>
        </w:numPr>
      </w:pPr>
      <w:r>
        <w:t>In respect of any self insurance, the level of reserves, details of how reserves are managed and invested, and details of any reinsurance.</w:t>
      </w:r>
    </w:p>
    <w:tbl>
      <w:tblPr>
        <w:tblStyle w:val="TableGrid"/>
        <w:tblW w:w="0" w:type="auto"/>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13</w:t>
            </w:r>
            <w:r w:rsidR="0033518E">
              <w:fldChar w:fldCharType="end"/>
            </w:r>
            <w:r>
              <w:t>: Explanation of insurance cover</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83" w:name="_Toc328819691"/>
      <w:bookmarkStart w:id="784" w:name="_Toc329296399"/>
      <w:r>
        <w:t>Schedule 14a</w:t>
      </w:r>
      <w:r>
        <w:tab/>
        <w:t xml:space="preserve">Mandatory Explanatory Notes </w:t>
      </w:r>
      <w:bookmarkEnd w:id="783"/>
      <w:r w:rsidR="0072051D">
        <w:t>on Forecast Information</w:t>
      </w:r>
      <w:bookmarkEnd w:id="784"/>
    </w:p>
    <w:p w:rsidR="00F40DAE" w:rsidRPr="000F314A" w:rsidRDefault="00AB2FA8" w:rsidP="00440341">
      <w:pPr>
        <w:pStyle w:val="Para1"/>
        <w:numPr>
          <w:ilvl w:val="0"/>
          <w:numId w:val="64"/>
        </w:numPr>
        <w:rPr>
          <w:bCs/>
          <w:iCs/>
        </w:rPr>
      </w:pPr>
      <w:r>
        <w:t xml:space="preserve">This Schedule </w:t>
      </w:r>
      <w:r w:rsidR="00B120AC" w:rsidRPr="00B06C04">
        <w:t>requires</w:t>
      </w:r>
      <w:r w:rsidRPr="00B06C04">
        <w:t xml:space="preserve"> </w:t>
      </w:r>
      <w:r w:rsidR="00B120AC" w:rsidRPr="00B06C04">
        <w:t>GT</w:t>
      </w:r>
      <w:r w:rsidRPr="00B06C04">
        <w:t>Bs to provide</w:t>
      </w:r>
      <w:r>
        <w:t xml:space="preserve"> explanatory notes to reports prepared in </w:t>
      </w:r>
      <w:r w:rsidRPr="000F314A">
        <w:t xml:space="preserve">accordance with clause </w:t>
      </w:r>
      <w:fldSimple w:instr=" REF _Ref310881972 \r \h  \* MERGEFORMAT ">
        <w:r w:rsidR="00B06C04">
          <w:t>2.6.4(6)</w:t>
        </w:r>
      </w:fldSimple>
      <w:r w:rsidRPr="000F314A">
        <w:rPr>
          <w:bCs/>
          <w:iCs/>
        </w:rPr>
        <w:t>.</w:t>
      </w:r>
    </w:p>
    <w:p w:rsidR="00F40DAE" w:rsidRPr="000F314A" w:rsidRDefault="00AB2FA8">
      <w:pPr>
        <w:pStyle w:val="Para1"/>
        <w:rPr>
          <w:bCs/>
          <w:iCs/>
        </w:rPr>
      </w:pPr>
      <w:r w:rsidRPr="000F314A">
        <w:rPr>
          <w:bCs/>
          <w:iCs/>
        </w:rPr>
        <w:t>This Schedule is mandatory—</w:t>
      </w:r>
      <w:r w:rsidR="00B120AC" w:rsidRPr="000F314A">
        <w:rPr>
          <w:bCs/>
          <w:iCs/>
        </w:rPr>
        <w:t>GT</w:t>
      </w:r>
      <w:r w:rsidRPr="000F314A">
        <w:rPr>
          <w:bCs/>
          <w:iCs/>
        </w:rPr>
        <w:t>Bs must provide the explanatory comment specified below, in accordance with clause</w:t>
      </w:r>
      <w:r w:rsidR="00FC02A7">
        <w:rPr>
          <w:bCs/>
          <w:iCs/>
        </w:rPr>
        <w:t xml:space="preserve"> </w:t>
      </w:r>
      <w:r w:rsidR="0033518E">
        <w:rPr>
          <w:bCs/>
          <w:iCs/>
        </w:rPr>
        <w:fldChar w:fldCharType="begin"/>
      </w:r>
      <w:r w:rsidR="00FC02A7">
        <w:rPr>
          <w:bCs/>
          <w:iCs/>
        </w:rPr>
        <w:instrText xml:space="preserve"> REF _Ref329181671 \w \h </w:instrText>
      </w:r>
      <w:r w:rsidR="0033518E">
        <w:rPr>
          <w:bCs/>
          <w:iCs/>
        </w:rPr>
      </w:r>
      <w:r w:rsidR="0033518E">
        <w:rPr>
          <w:bCs/>
          <w:iCs/>
        </w:rPr>
        <w:fldChar w:fldCharType="separate"/>
      </w:r>
      <w:r w:rsidR="00B06C04">
        <w:rPr>
          <w:bCs/>
          <w:iCs/>
        </w:rPr>
        <w:t>2.7.2</w:t>
      </w:r>
      <w:r w:rsidR="0033518E">
        <w:rPr>
          <w:bCs/>
          <w:iCs/>
        </w:rPr>
        <w:fldChar w:fldCharType="end"/>
      </w:r>
      <w:r w:rsidRPr="000F314A">
        <w:rPr>
          <w:bCs/>
          <w:iCs/>
        </w:rPr>
        <w:t xml:space="preserve">. This information is not part of the audited disclosure information, and so is not subject to the assurance requirements specified in section </w:t>
      </w:r>
      <w:fldSimple w:instr=" REF _Ref329181566 \r \h  \* MERGEFORMAT ">
        <w:r w:rsidR="00B06C04" w:rsidRPr="00B06C04">
          <w:rPr>
            <w:bCs/>
            <w:iCs/>
          </w:rPr>
          <w:t>2.8</w:t>
        </w:r>
      </w:fldSimple>
      <w:r w:rsidR="00D91BE1">
        <w:rPr>
          <w:bCs/>
          <w:iCs/>
        </w:rPr>
        <w:t>.</w:t>
      </w:r>
    </w:p>
    <w:p w:rsidR="00AB2FA8" w:rsidRPr="000F314A" w:rsidRDefault="00AB2FA8" w:rsidP="00AB2FA8">
      <w:pPr>
        <w:pStyle w:val="BodyText"/>
        <w:rPr>
          <w:bCs/>
          <w:i/>
          <w:iCs/>
        </w:rPr>
      </w:pPr>
      <w:r w:rsidRPr="000F314A">
        <w:rPr>
          <w:bCs/>
          <w:i/>
          <w:iCs/>
        </w:rPr>
        <w:t>Commentary on difference between nominal and real capital expenditure forecasts (Schedule 11a)</w:t>
      </w:r>
    </w:p>
    <w:p w:rsidR="00F40DAE" w:rsidRDefault="00AB2FA8">
      <w:pPr>
        <w:pStyle w:val="Para1"/>
      </w:pPr>
      <w:r>
        <w:t>In the box below, comment on the difference between nominal and real capital</w:t>
      </w:r>
      <w:r>
        <w:rPr>
          <w:bCs/>
          <w:iCs/>
        </w:rPr>
        <w:t xml:space="preserve"> expenditure for the </w:t>
      </w:r>
      <w:r>
        <w:t>disclosure year, as disclosed in Schedule 11a.</w:t>
      </w:r>
    </w:p>
    <w:tbl>
      <w:tblPr>
        <w:tblStyle w:val="TableGrid"/>
        <w:tblW w:w="9243" w:type="dxa"/>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14</w:t>
            </w:r>
            <w:r w:rsidR="0033518E">
              <w:fldChar w:fldCharType="end"/>
            </w:r>
            <w:r>
              <w:t xml:space="preserve">: Commentary on </w:t>
            </w:r>
            <w:r>
              <w:rPr>
                <w:bCs w:val="0"/>
                <w:iCs/>
              </w:rPr>
              <w:t>difference between nominal and real capital expenditure forecasts</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AB2FA8" w:rsidRDefault="00AB2FA8" w:rsidP="00AB2FA8">
      <w:pPr>
        <w:pStyle w:val="BodyText"/>
        <w:rPr>
          <w:bCs/>
          <w:i/>
          <w:iCs/>
        </w:rPr>
      </w:pPr>
      <w:r>
        <w:rPr>
          <w:bCs/>
          <w:i/>
          <w:iCs/>
        </w:rPr>
        <w:t>Commentary on difference between nominal and real operational expenditure forecasts (Schedule 11b)</w:t>
      </w:r>
    </w:p>
    <w:p w:rsidR="00F40DAE" w:rsidRDefault="00AB2FA8">
      <w:pPr>
        <w:pStyle w:val="Para1"/>
      </w:pPr>
      <w:r>
        <w:t>In the box below, comment on the difference between nominal and real operational</w:t>
      </w:r>
      <w:r>
        <w:rPr>
          <w:bCs/>
          <w:iCs/>
        </w:rPr>
        <w:t xml:space="preserve"> expenditure for the </w:t>
      </w:r>
      <w:r>
        <w:t>disclosure year, as disclosed in Schedule 11b.</w:t>
      </w:r>
    </w:p>
    <w:tbl>
      <w:tblPr>
        <w:tblStyle w:val="TableGrid"/>
        <w:tblW w:w="9243" w:type="dxa"/>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15</w:t>
            </w:r>
            <w:r w:rsidR="0033518E">
              <w:fldChar w:fldCharType="end"/>
            </w:r>
            <w:r>
              <w:t xml:space="preserve">: Commentary on </w:t>
            </w:r>
            <w:r>
              <w:rPr>
                <w:bCs w:val="0"/>
                <w:iCs/>
              </w:rPr>
              <w:t>difference between nominal and real capital expenditure forecasts</w:t>
            </w:r>
          </w:p>
          <w:p w:rsidR="00AB2FA8" w:rsidRDefault="00AB2FA8">
            <w:pPr>
              <w:pStyle w:val="BodyText"/>
              <w:rPr>
                <w:bCs/>
                <w:iCs/>
              </w:rPr>
            </w:pPr>
            <w:r>
              <w:rPr>
                <w:bCs/>
                <w:iCs/>
              </w:rPr>
              <w:t>[Insert text here]</w:t>
            </w:r>
          </w:p>
          <w:p w:rsidR="00AB2FA8" w:rsidRDefault="00AB2FA8">
            <w:pPr>
              <w:pStyle w:val="BodyText"/>
              <w:rPr>
                <w:bCs/>
                <w:iCs/>
              </w:rPr>
            </w:pPr>
          </w:p>
        </w:tc>
      </w:tr>
    </w:tbl>
    <w:p w:rsidR="00AB2FA8" w:rsidRDefault="00AB2FA8" w:rsidP="00AB2FA8">
      <w:pPr>
        <w:pStyle w:val="BodyText"/>
        <w:rPr>
          <w:bCs/>
          <w:iCs/>
        </w:rPr>
      </w:pPr>
    </w:p>
    <w:p w:rsidR="00AB2FA8" w:rsidRDefault="00AB2FA8" w:rsidP="00AB2FA8">
      <w:pPr>
        <w:pStyle w:val="BodyText"/>
      </w:pPr>
    </w:p>
    <w:p w:rsidR="00AB2FA8" w:rsidRDefault="00AB2FA8" w:rsidP="00AB2FA8">
      <w:pPr>
        <w:pStyle w:val="BodyText"/>
      </w:pP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85" w:name="_Toc328819692"/>
      <w:bookmarkStart w:id="786" w:name="_Toc329296400"/>
      <w:r>
        <w:t>Schedule 14b</w:t>
      </w:r>
      <w:r>
        <w:tab/>
        <w:t>Explanatory Notes on Transitional Financial Information</w:t>
      </w:r>
      <w:bookmarkEnd w:id="785"/>
      <w:bookmarkEnd w:id="786"/>
    </w:p>
    <w:p w:rsidR="00F40DAE" w:rsidRPr="000F314A" w:rsidRDefault="00AB2FA8" w:rsidP="00440341">
      <w:pPr>
        <w:pStyle w:val="Para1"/>
        <w:numPr>
          <w:ilvl w:val="0"/>
          <w:numId w:val="65"/>
        </w:numPr>
        <w:rPr>
          <w:bCs/>
          <w:iCs/>
        </w:rPr>
      </w:pPr>
      <w:r w:rsidRPr="000F314A">
        <w:t xml:space="preserve">This Schedule provides for </w:t>
      </w:r>
      <w:r w:rsidR="00B120AC" w:rsidRPr="000F314A">
        <w:t>GTB</w:t>
      </w:r>
      <w:r w:rsidRPr="000F314A">
        <w:t xml:space="preserve">s to provide explanatory notes to the transitional financial </w:t>
      </w:r>
      <w:r w:rsidR="00505A2C" w:rsidRPr="000F314A">
        <w:t xml:space="preserve">information </w:t>
      </w:r>
      <w:r w:rsidRPr="000F314A">
        <w:t xml:space="preserve">disclosed in accordance with clause </w:t>
      </w:r>
      <w:fldSimple w:instr=" REF _Ref279613542 \r \h  \* MERGEFORMAT ">
        <w:r w:rsidR="00B06C04">
          <w:t>2.12.1</w:t>
        </w:r>
      </w:fldSimple>
      <w:r w:rsidRPr="000F314A">
        <w:rPr>
          <w:bCs/>
          <w:iCs/>
        </w:rPr>
        <w:t>.</w:t>
      </w:r>
    </w:p>
    <w:p w:rsidR="00F40DAE" w:rsidRPr="000F314A" w:rsidRDefault="00AB2FA8">
      <w:pPr>
        <w:pStyle w:val="Para1"/>
        <w:rPr>
          <w:bCs/>
          <w:iCs/>
        </w:rPr>
      </w:pPr>
      <w:r w:rsidRPr="000F314A">
        <w:rPr>
          <w:bCs/>
          <w:iCs/>
        </w:rPr>
        <w:t>This Schedule is mandatory—</w:t>
      </w:r>
      <w:r w:rsidR="00B120AC" w:rsidRPr="000F314A">
        <w:rPr>
          <w:bCs/>
          <w:iCs/>
        </w:rPr>
        <w:t>GTB</w:t>
      </w:r>
      <w:r w:rsidRPr="000F314A">
        <w:rPr>
          <w:bCs/>
          <w:iCs/>
        </w:rPr>
        <w:t xml:space="preserve">s must provide the explanatory comment specified below, in accordance with clause </w:t>
      </w:r>
      <w:fldSimple w:instr=" REF _Ref328811155 \n \h  \* MERGEFORMAT ">
        <w:r w:rsidR="00B06C04" w:rsidRPr="00B06C04">
          <w:rPr>
            <w:bCs/>
            <w:iCs/>
          </w:rPr>
          <w:t>2.7.1</w:t>
        </w:r>
      </w:fldSimple>
      <w:r w:rsidRPr="000F314A">
        <w:rPr>
          <w:bCs/>
          <w:iCs/>
        </w:rPr>
        <w:t xml:space="preserve">. This information is part of the audited disclosure information, and so is subject to the assurance requirements specified in section </w:t>
      </w:r>
      <w:fldSimple w:instr=" REF _Ref329181566 \r \h  \* MERGEFORMAT ">
        <w:r w:rsidR="00B06C04" w:rsidRPr="00B06C04">
          <w:rPr>
            <w:bCs/>
            <w:iCs/>
          </w:rPr>
          <w:t>2.8</w:t>
        </w:r>
      </w:fldSimple>
      <w:r w:rsidRPr="000F314A">
        <w:rPr>
          <w:bCs/>
          <w:iCs/>
        </w:rPr>
        <w:t>.</w:t>
      </w:r>
    </w:p>
    <w:p w:rsidR="00096E3C" w:rsidRPr="000F314A" w:rsidRDefault="00096E3C" w:rsidP="00096E3C">
      <w:pPr>
        <w:pStyle w:val="Para1"/>
      </w:pPr>
      <w:r w:rsidRPr="000F314A">
        <w:t>In the box below, provide explanatory comment on the GTB’s initial RAB adjustments, as disclosed in Schedule 4c (Transitional financial information), summarising the adjustments made in accordance with clause 2.2.1 of the IM determination.</w:t>
      </w:r>
    </w:p>
    <w:tbl>
      <w:tblPr>
        <w:tblStyle w:val="TableGrid"/>
        <w:tblW w:w="9243" w:type="dxa"/>
        <w:tblLook w:val="04A0"/>
      </w:tblPr>
      <w:tblGrid>
        <w:gridCol w:w="9243"/>
      </w:tblGrid>
      <w:tr w:rsidR="00096E3C" w:rsidTr="00F40DAE">
        <w:tc>
          <w:tcPr>
            <w:tcW w:w="9243" w:type="dxa"/>
          </w:tcPr>
          <w:p w:rsidR="00096E3C" w:rsidRDefault="00096E3C" w:rsidP="00F40DAE">
            <w:pPr>
              <w:pStyle w:val="Caption"/>
              <w:keepNext/>
            </w:pPr>
            <w:r>
              <w:t xml:space="preserve">Box </w:t>
            </w:r>
            <w:r w:rsidR="0033518E">
              <w:fldChar w:fldCharType="begin"/>
            </w:r>
            <w:r w:rsidR="00072608">
              <w:instrText xml:space="preserve"> SEQ Box \* ARABIC </w:instrText>
            </w:r>
            <w:r w:rsidR="0033518E">
              <w:fldChar w:fldCharType="separate"/>
            </w:r>
            <w:r w:rsidR="00B06C04">
              <w:rPr>
                <w:noProof/>
              </w:rPr>
              <w:t>16</w:t>
            </w:r>
            <w:r w:rsidR="0033518E">
              <w:fldChar w:fldCharType="end"/>
            </w:r>
            <w:r>
              <w:t>: Initial RAB adjustments</w:t>
            </w:r>
          </w:p>
          <w:p w:rsidR="00096E3C" w:rsidRDefault="00096E3C" w:rsidP="00F40DAE">
            <w:pPr>
              <w:pStyle w:val="BodyText"/>
              <w:rPr>
                <w:bCs/>
                <w:iCs/>
              </w:rPr>
            </w:pPr>
            <w:r>
              <w:rPr>
                <w:bCs/>
                <w:iCs/>
              </w:rPr>
              <w:t>[Insert text here]</w:t>
            </w:r>
          </w:p>
          <w:p w:rsidR="00096E3C" w:rsidRDefault="00096E3C" w:rsidP="00F40DAE">
            <w:pPr>
              <w:pStyle w:val="Para2"/>
              <w:numPr>
                <w:ilvl w:val="1"/>
                <w:numId w:val="0"/>
              </w:numPr>
              <w:tabs>
                <w:tab w:val="num" w:pos="1418"/>
              </w:tabs>
              <w:ind w:left="1418" w:hanging="709"/>
              <w:rPr>
                <w:bCs/>
                <w:iCs/>
              </w:rPr>
            </w:pPr>
          </w:p>
        </w:tc>
      </w:tr>
    </w:tbl>
    <w:p w:rsidR="00096E3C" w:rsidRDefault="00096E3C" w:rsidP="00096E3C">
      <w:pPr>
        <w:pStyle w:val="BodyText"/>
      </w:pPr>
    </w:p>
    <w:p w:rsidR="00F40DAE" w:rsidRDefault="00AB2FA8">
      <w:pPr>
        <w:pStyle w:val="Para1"/>
        <w:rPr>
          <w:bCs/>
          <w:iCs/>
        </w:rPr>
      </w:pPr>
      <w:r>
        <w:rPr>
          <w:bCs/>
          <w:iCs/>
        </w:rPr>
        <w:t>In the box below provide explanatory comment on the tax effect of other temporary differences for</w:t>
      </w:r>
      <w:r>
        <w:rPr>
          <w:lang w:eastAsia="en-NZ"/>
        </w:rPr>
        <w:t xml:space="preserve"> the years ending 31 March 2010 and 31 March 2011 (as reported in Schedule </w:t>
      </w:r>
      <w:proofErr w:type="gramStart"/>
      <w:r>
        <w:rPr>
          <w:lang w:eastAsia="en-NZ"/>
        </w:rPr>
        <w:t>4d(</w:t>
      </w:r>
      <w:proofErr w:type="gramEnd"/>
      <w:r>
        <w:rPr>
          <w:lang w:eastAsia="en-NZ"/>
        </w:rPr>
        <w:t>vi)).</w:t>
      </w:r>
    </w:p>
    <w:tbl>
      <w:tblPr>
        <w:tblStyle w:val="TableGrid"/>
        <w:tblW w:w="9243" w:type="dxa"/>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17</w:t>
            </w:r>
            <w:r w:rsidR="0033518E">
              <w:fldChar w:fldCharType="end"/>
            </w:r>
            <w:r>
              <w:t>: Tax effect of other temporary differences (years ended 31 March 2010 and 31 March 2011)</w:t>
            </w:r>
          </w:p>
          <w:p w:rsidR="00AB2FA8" w:rsidRDefault="00AB2FA8">
            <w:pPr>
              <w:pStyle w:val="BodyText"/>
              <w:rPr>
                <w:bCs/>
                <w:iCs/>
              </w:rPr>
            </w:pPr>
            <w:r>
              <w:rPr>
                <w:bCs/>
                <w:iCs/>
              </w:rPr>
              <w:t>[Insert text here]</w:t>
            </w:r>
          </w:p>
          <w:p w:rsidR="00AB2FA8" w:rsidRDefault="00AB2FA8">
            <w:pPr>
              <w:pStyle w:val="Para2"/>
              <w:tabs>
                <w:tab w:val="num" w:pos="1418"/>
              </w:tabs>
              <w:ind w:left="1418" w:hanging="709"/>
              <w:rPr>
                <w:bCs/>
                <w:iCs/>
              </w:rPr>
            </w:pPr>
          </w:p>
        </w:tc>
      </w:tr>
    </w:tbl>
    <w:p w:rsidR="00AB2FA8" w:rsidRDefault="00AB2FA8" w:rsidP="00AB2FA8">
      <w:pPr>
        <w:pStyle w:val="BodyText"/>
        <w:rPr>
          <w:bCs/>
          <w:iCs/>
        </w:rPr>
      </w:pPr>
    </w:p>
    <w:p w:rsidR="00AB2FA8" w:rsidRDefault="00AB2FA8" w:rsidP="00AB2FA8">
      <w:pPr>
        <w:pStyle w:val="BodyText"/>
      </w:pPr>
    </w:p>
    <w:p w:rsidR="00AB2FA8" w:rsidRDefault="00AB2FA8" w:rsidP="00AB2FA8">
      <w:pPr>
        <w:pStyle w:val="Singlespacedparagraph"/>
      </w:pP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87" w:name="_Toc328819693"/>
      <w:bookmarkStart w:id="788" w:name="_Toc329296401"/>
      <w:r>
        <w:t>Schedule 15</w:t>
      </w:r>
      <w:r>
        <w:tab/>
      </w:r>
      <w:r>
        <w:tab/>
        <w:t>Voluntary Explanatory Notes</w:t>
      </w:r>
      <w:bookmarkEnd w:id="787"/>
      <w:bookmarkEnd w:id="788"/>
    </w:p>
    <w:p w:rsidR="00F40DAE" w:rsidRPr="000F314A" w:rsidRDefault="00AB2FA8" w:rsidP="00440341">
      <w:pPr>
        <w:pStyle w:val="Para1"/>
        <w:numPr>
          <w:ilvl w:val="0"/>
          <w:numId w:val="66"/>
        </w:numPr>
        <w:rPr>
          <w:bCs/>
          <w:iCs/>
        </w:rPr>
      </w:pPr>
      <w:r w:rsidRPr="000F314A">
        <w:t xml:space="preserve">This Schedule </w:t>
      </w:r>
      <w:r w:rsidR="00B120AC" w:rsidRPr="000F314A">
        <w:t>enables</w:t>
      </w:r>
      <w:r w:rsidRPr="000F314A">
        <w:t xml:space="preserve"> </w:t>
      </w:r>
      <w:r w:rsidR="00B120AC" w:rsidRPr="000F314A">
        <w:t>GTB</w:t>
      </w:r>
      <w:r w:rsidRPr="000F314A">
        <w:t>s to provide, should they wish to</w:t>
      </w:r>
      <w:r w:rsidR="0072051D" w:rsidRPr="000F314A">
        <w:t>:</w:t>
      </w:r>
    </w:p>
    <w:p w:rsidR="00F40DAE" w:rsidRPr="000F314A" w:rsidRDefault="00AB2FA8" w:rsidP="00440341">
      <w:pPr>
        <w:pStyle w:val="Para1"/>
        <w:numPr>
          <w:ilvl w:val="1"/>
          <w:numId w:val="61"/>
        </w:numPr>
        <w:rPr>
          <w:bCs/>
          <w:iCs/>
        </w:rPr>
      </w:pPr>
      <w:r w:rsidRPr="000F314A">
        <w:t xml:space="preserve">additional explanatory comment to reports prepared in accordance with clauses </w:t>
      </w:r>
      <w:fldSimple w:instr=" REF  _Ref279613342 \h \w  \* MERGEFORMAT ">
        <w:r w:rsidR="00B06C04">
          <w:t>2.3.1</w:t>
        </w:r>
      </w:fldSimple>
      <w:r w:rsidRPr="000F314A">
        <w:t xml:space="preserve">, </w:t>
      </w:r>
      <w:fldSimple w:instr=" REF _Ref329173172 \r \h  \* MERGEFORMAT ">
        <w:r w:rsidR="00B06C04">
          <w:t>2.4.18</w:t>
        </w:r>
      </w:fldSimple>
      <w:r w:rsidRPr="000F314A">
        <w:t xml:space="preserve">, </w:t>
      </w:r>
      <w:fldSimple w:instr=" REF _Ref329178711 \r \h  \* MERGEFORMAT ">
        <w:r w:rsidR="00B06C04">
          <w:t>2.5.1</w:t>
        </w:r>
      </w:fldSimple>
      <w:r w:rsidR="00505A2C" w:rsidRPr="000F314A">
        <w:t xml:space="preserve">, </w:t>
      </w:r>
      <w:fldSimple w:instr=" REF _Ref329178760 \r \h  \* MERGEFORMAT ">
        <w:r w:rsidR="00B06C04">
          <w:t>2.5.2</w:t>
        </w:r>
      </w:fldSimple>
      <w:r w:rsidR="00505A2C" w:rsidRPr="000F314A">
        <w:t xml:space="preserve">, and </w:t>
      </w:r>
      <w:fldSimple w:instr=" REF _Ref329180300 \r \h  \* MERGEFORMAT ">
        <w:r w:rsidR="00B06C04">
          <w:t>2.6.5</w:t>
        </w:r>
      </w:fldSimple>
      <w:r w:rsidR="0072051D" w:rsidRPr="000F314A">
        <w:rPr>
          <w:bCs/>
          <w:iCs/>
        </w:rPr>
        <w:t>;</w:t>
      </w:r>
    </w:p>
    <w:p w:rsidR="0072051D" w:rsidRPr="000F314A" w:rsidRDefault="0072051D" w:rsidP="00440341">
      <w:pPr>
        <w:pStyle w:val="Para1"/>
        <w:numPr>
          <w:ilvl w:val="1"/>
          <w:numId w:val="60"/>
        </w:numPr>
        <w:rPr>
          <w:bCs/>
          <w:iCs/>
        </w:rPr>
      </w:pPr>
      <w:proofErr w:type="gramStart"/>
      <w:r w:rsidRPr="000F314A">
        <w:rPr>
          <w:bCs/>
          <w:iCs/>
        </w:rPr>
        <w:t>information</w:t>
      </w:r>
      <w:proofErr w:type="gramEnd"/>
      <w:r w:rsidRPr="000F314A">
        <w:rPr>
          <w:bCs/>
          <w:iCs/>
        </w:rPr>
        <w:t xml:space="preserve"> on any substantial changes to information disclosed in relation to a prior disclosure year, as a result of final wash-ups.</w:t>
      </w:r>
    </w:p>
    <w:p w:rsidR="0072051D" w:rsidRPr="000F314A" w:rsidRDefault="0072051D" w:rsidP="0072051D">
      <w:pPr>
        <w:pStyle w:val="Para1"/>
        <w:rPr>
          <w:bCs/>
          <w:iCs/>
        </w:rPr>
      </w:pPr>
      <w:r w:rsidRPr="000F314A">
        <w:rPr>
          <w:bCs/>
          <w:iCs/>
        </w:rPr>
        <w:t>Information in this Schedule is not part of the audited disclosure information, and so is not subject to the assurance requirements specified in section</w:t>
      </w:r>
      <w:r w:rsidR="00B120AC" w:rsidRPr="000F314A">
        <w:rPr>
          <w:bCs/>
          <w:iCs/>
        </w:rPr>
        <w:t xml:space="preserve"> </w:t>
      </w:r>
      <w:fldSimple w:instr=" REF _Ref329181566 \r \h  \* MERGEFORMAT ">
        <w:r w:rsidR="00B06C04" w:rsidRPr="00B06C04">
          <w:rPr>
            <w:bCs/>
            <w:iCs/>
          </w:rPr>
          <w:t>2.8</w:t>
        </w:r>
      </w:fldSimple>
    </w:p>
    <w:p w:rsidR="00F40DAE" w:rsidRDefault="00AB2FA8">
      <w:pPr>
        <w:pStyle w:val="Para1"/>
        <w:rPr>
          <w:bCs/>
          <w:iCs/>
        </w:rPr>
      </w:pPr>
      <w:r>
        <w:rPr>
          <w:bCs/>
          <w:iCs/>
        </w:rPr>
        <w:t>Provide additional explanatory comment in the box below.</w:t>
      </w:r>
    </w:p>
    <w:tbl>
      <w:tblPr>
        <w:tblStyle w:val="TableGrid"/>
        <w:tblW w:w="0" w:type="auto"/>
        <w:tblLook w:val="04A0"/>
      </w:tblPr>
      <w:tblGrid>
        <w:gridCol w:w="9243"/>
      </w:tblGrid>
      <w:tr w:rsidR="00AB2FA8" w:rsidTr="00AB2FA8">
        <w:tc>
          <w:tcPr>
            <w:tcW w:w="9243" w:type="dxa"/>
            <w:tcBorders>
              <w:top w:val="single" w:sz="4" w:space="0" w:color="auto"/>
              <w:left w:val="single" w:sz="4" w:space="0" w:color="auto"/>
              <w:bottom w:val="single" w:sz="4" w:space="0" w:color="auto"/>
              <w:right w:val="single" w:sz="4" w:space="0" w:color="auto"/>
            </w:tcBorders>
          </w:tcPr>
          <w:p w:rsidR="00AB2FA8" w:rsidRDefault="00AB2FA8">
            <w:pPr>
              <w:pStyle w:val="Caption"/>
              <w:keepNext/>
            </w:pPr>
            <w:r>
              <w:t xml:space="preserve">Box </w:t>
            </w:r>
            <w:r w:rsidR="0033518E">
              <w:fldChar w:fldCharType="begin"/>
            </w:r>
            <w:r>
              <w:instrText xml:space="preserve"> SEQ Box \* ARABIC </w:instrText>
            </w:r>
            <w:r w:rsidR="0033518E">
              <w:fldChar w:fldCharType="separate"/>
            </w:r>
            <w:r w:rsidR="00B06C04">
              <w:rPr>
                <w:noProof/>
              </w:rPr>
              <w:t>18</w:t>
            </w:r>
            <w:r w:rsidR="0033518E">
              <w:fldChar w:fldCharType="end"/>
            </w:r>
            <w:r>
              <w:t>: Voluntary explanatory comment on disclosed information</w:t>
            </w:r>
          </w:p>
          <w:p w:rsidR="00AB2FA8" w:rsidRDefault="00AB2FA8">
            <w:pPr>
              <w:pStyle w:val="Tablebodytext"/>
            </w:pPr>
            <w:r>
              <w:t>[Insert text below]</w:t>
            </w:r>
          </w:p>
          <w:p w:rsidR="00AB2FA8" w:rsidRDefault="00AB2FA8">
            <w:pPr>
              <w:pStyle w:val="Tablebodytext"/>
            </w:pPr>
          </w:p>
          <w:p w:rsidR="00AB2FA8" w:rsidRDefault="00AB2FA8">
            <w:pPr>
              <w:pStyle w:val="Tablebodytext"/>
            </w:pPr>
          </w:p>
          <w:p w:rsidR="00AB2FA8" w:rsidRDefault="00AB2FA8">
            <w:pPr>
              <w:pStyle w:val="Tablebodytext"/>
            </w:pPr>
          </w:p>
        </w:tc>
      </w:tr>
    </w:tbl>
    <w:p w:rsidR="00AB2FA8" w:rsidRDefault="00AB2FA8" w:rsidP="00AB2FA8">
      <w:pPr>
        <w:pStyle w:val="Tablebodytext"/>
      </w:pPr>
    </w:p>
    <w:p w:rsidR="00AB2FA8" w:rsidRDefault="00AB2FA8" w:rsidP="00AB2FA8">
      <w:pPr>
        <w:pStyle w:val="Singlespacedparagraph"/>
      </w:pPr>
    </w:p>
    <w:p w:rsidR="00AB2FA8" w:rsidRDefault="00AB2FA8" w:rsidP="00AB2FA8">
      <w:pPr>
        <w:pStyle w:val="Singlespacedparagraph"/>
      </w:pPr>
    </w:p>
    <w:p w:rsidR="00AB2FA8" w:rsidRDefault="00AB2FA8" w:rsidP="00AB2FA8">
      <w:pPr>
        <w:sectPr w:rsidR="00AB2FA8">
          <w:pgSz w:w="11907" w:h="16840"/>
          <w:pgMar w:top="1440" w:right="1440" w:bottom="1440" w:left="1440" w:header="1134" w:footer="431" w:gutter="0"/>
          <w:cols w:space="720"/>
        </w:sectPr>
      </w:pPr>
    </w:p>
    <w:p w:rsidR="00AB2FA8" w:rsidRDefault="00AB2FA8" w:rsidP="00AB2FA8">
      <w:pPr>
        <w:pStyle w:val="Heading1"/>
        <w:spacing w:line="264" w:lineRule="auto"/>
        <w:jc w:val="center"/>
      </w:pPr>
      <w:bookmarkStart w:id="789" w:name="_Toc328819694"/>
      <w:bookmarkStart w:id="790" w:name="_Toc329296402"/>
      <w:r>
        <w:t>Schedule 16</w:t>
      </w:r>
      <w:r>
        <w:tab/>
      </w:r>
      <w:r>
        <w:tab/>
        <w:t>Definitions of Terms used in Schedules 1 to 15</w:t>
      </w:r>
      <w:bookmarkEnd w:id="789"/>
      <w:bookmarkEnd w:id="790"/>
    </w:p>
    <w:p w:rsidR="00AB2FA8" w:rsidRDefault="00AB2FA8" w:rsidP="00AB2FA8">
      <w:pPr>
        <w:pStyle w:val="Singlespacedparagraph"/>
      </w:pPr>
    </w:p>
    <w:tbl>
      <w:tblPr>
        <w:tblStyle w:val="TableGrid"/>
        <w:tblW w:w="0" w:type="auto"/>
        <w:tblLook w:val="04A0"/>
      </w:tblPr>
      <w:tblGrid>
        <w:gridCol w:w="2530"/>
        <w:gridCol w:w="6713"/>
      </w:tblGrid>
      <w:tr w:rsidR="00213934" w:rsidRPr="000F314A" w:rsidTr="00EA01E1">
        <w:trPr>
          <w:cantSplit/>
          <w:trHeight w:val="20"/>
        </w:trPr>
        <w:tc>
          <w:tcPr>
            <w:tcW w:w="0" w:type="auto"/>
          </w:tcPr>
          <w:p w:rsidR="00213934" w:rsidRPr="000F314A" w:rsidRDefault="00213934" w:rsidP="005A23C3">
            <w:pPr>
              <w:pStyle w:val="Tableheading"/>
              <w:rPr>
                <w:b w:val="0"/>
                <w:sz w:val="20"/>
                <w:szCs w:val="20"/>
              </w:rPr>
            </w:pPr>
            <w:r w:rsidRPr="000F314A">
              <w:rPr>
                <w:b w:val="0"/>
                <w:sz w:val="20"/>
                <w:szCs w:val="20"/>
              </w:rPr>
              <w:t>Term</w:t>
            </w:r>
          </w:p>
        </w:tc>
        <w:tc>
          <w:tcPr>
            <w:tcW w:w="0" w:type="auto"/>
          </w:tcPr>
          <w:p w:rsidR="00213934" w:rsidRPr="000F314A" w:rsidRDefault="00213934" w:rsidP="005A23C3">
            <w:pPr>
              <w:pStyle w:val="Tableheading"/>
              <w:rPr>
                <w:b w:val="0"/>
                <w:sz w:val="20"/>
                <w:szCs w:val="20"/>
              </w:rPr>
            </w:pPr>
            <w:r w:rsidRPr="000F314A">
              <w:rPr>
                <w:b w:val="0"/>
                <w:sz w:val="20"/>
                <w:szCs w:val="20"/>
              </w:rPr>
              <w:t>Definition</w:t>
            </w:r>
          </w:p>
        </w:tc>
      </w:tr>
      <w:tr w:rsidR="00213934" w:rsidRPr="000F314A" w:rsidTr="00EA01E1">
        <w:trPr>
          <w:cantSplit/>
          <w:trHeight w:val="20"/>
        </w:trPr>
        <w:tc>
          <w:tcPr>
            <w:tcW w:w="0" w:type="auto"/>
          </w:tcPr>
          <w:p w:rsidR="00213934" w:rsidRPr="000F314A" w:rsidRDefault="00213934" w:rsidP="005A23C3">
            <w:pPr>
              <w:rPr>
                <w:color w:val="000000" w:themeColor="text1"/>
                <w:sz w:val="20"/>
                <w:szCs w:val="20"/>
              </w:rPr>
            </w:pPr>
            <w:r w:rsidRPr="000F314A">
              <w:rPr>
                <w:color w:val="000000" w:themeColor="text1"/>
                <w:sz w:val="20"/>
                <w:szCs w:val="20"/>
              </w:rPr>
              <w:t>% of asset forecast to be replaced in next 5 years</w:t>
            </w:r>
          </w:p>
        </w:tc>
        <w:tc>
          <w:tcPr>
            <w:tcW w:w="0" w:type="auto"/>
          </w:tcPr>
          <w:p w:rsidR="00213934" w:rsidRPr="000F314A" w:rsidRDefault="00213934" w:rsidP="005A23C3">
            <w:pPr>
              <w:pStyle w:val="BodyText"/>
              <w:rPr>
                <w:sz w:val="20"/>
                <w:szCs w:val="20"/>
              </w:rPr>
            </w:pPr>
            <w:r w:rsidRPr="000F314A">
              <w:rPr>
                <w:sz w:val="20"/>
                <w:szCs w:val="20"/>
              </w:rPr>
              <w:t xml:space="preserve">% of asset forecast to be replaced in next 5 years consistent with the capital expenditure forecast </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sz w:val="20"/>
                <w:szCs w:val="20"/>
              </w:rPr>
            </w:pPr>
            <w:r w:rsidRPr="000F314A">
              <w:rPr>
                <w:rFonts w:cs="Arial"/>
                <w:bCs/>
                <w:sz w:val="20"/>
                <w:szCs w:val="20"/>
                <w:lang w:eastAsia="en-NZ"/>
              </w:rPr>
              <w:t>% variance</w:t>
            </w:r>
          </w:p>
        </w:tc>
        <w:tc>
          <w:tcPr>
            <w:tcW w:w="0" w:type="auto"/>
          </w:tcPr>
          <w:p w:rsidR="00213934" w:rsidRPr="000F314A" w:rsidRDefault="00213934" w:rsidP="005A23C3">
            <w:pPr>
              <w:pStyle w:val="BodyText"/>
              <w:spacing w:line="264" w:lineRule="auto"/>
              <w:ind w:left="459" w:hanging="425"/>
              <w:rPr>
                <w:sz w:val="20"/>
                <w:szCs w:val="20"/>
              </w:rPr>
            </w:pPr>
            <w:r w:rsidRPr="000F314A">
              <w:rPr>
                <w:rFonts w:cs="Arial"/>
                <w:sz w:val="20"/>
                <w:szCs w:val="20"/>
                <w:lang w:eastAsia="en-NZ"/>
              </w:rPr>
              <w:t>means:</w:t>
            </w:r>
            <w:r w:rsidRPr="000F314A">
              <w:rPr>
                <w:rFonts w:cs="Arial"/>
                <w:sz w:val="20"/>
                <w:szCs w:val="20"/>
                <w:lang w:eastAsia="en-NZ"/>
              </w:rPr>
              <w:br/>
            </w:r>
            <w:r w:rsidRPr="000F314A">
              <w:rPr>
                <w:position w:val="-10"/>
                <w:sz w:val="20"/>
                <w:szCs w:val="20"/>
              </w:rPr>
              <w:object w:dxaOrig="200" w:dyaOrig="240">
                <v:shape id="_x0000_i1030" type="#_x0000_t75" style="width:10.9pt;height:13.1pt" o:ole="">
                  <v:imagedata r:id="rId78" o:title=""/>
                </v:shape>
                <o:OLEObject Type="Embed" ProgID="Equation.3" ShapeID="_x0000_i1030" DrawAspect="Content" ObjectID="_1403043248" r:id="rId79"/>
              </w:object>
            </w:r>
            <w:r w:rsidRPr="000F314A">
              <w:rPr>
                <w:sz w:val="20"/>
                <w:szCs w:val="20"/>
              </w:rPr>
              <w:tab/>
              <w:t>=</w:t>
            </w:r>
            <w:r w:rsidRPr="000F314A">
              <w:rPr>
                <w:sz w:val="20"/>
                <w:szCs w:val="20"/>
              </w:rPr>
              <w:tab/>
            </w:r>
            <w:r w:rsidRPr="000F314A">
              <w:rPr>
                <w:position w:val="-24"/>
                <w:sz w:val="20"/>
                <w:szCs w:val="20"/>
              </w:rPr>
              <w:object w:dxaOrig="1120" w:dyaOrig="620">
                <v:shape id="_x0000_i1031" type="#_x0000_t75" style="width:56.75pt;height:30.55pt" o:ole="">
                  <v:imagedata r:id="rId80" o:title=""/>
                </v:shape>
                <o:OLEObject Type="Embed" ProgID="Equation.3" ShapeID="_x0000_i1031" DrawAspect="Content" ObjectID="_1403043249" r:id="rId81"/>
              </w:object>
            </w:r>
          </w:p>
          <w:p w:rsidR="00213934" w:rsidRPr="000F314A" w:rsidRDefault="00213934" w:rsidP="005A23C3">
            <w:pPr>
              <w:pStyle w:val="BodyText"/>
              <w:spacing w:line="264" w:lineRule="auto"/>
              <w:ind w:left="459" w:hanging="425"/>
              <w:rPr>
                <w:rFonts w:cs="Arial"/>
                <w:sz w:val="20"/>
                <w:szCs w:val="20"/>
                <w:lang w:eastAsia="en-NZ"/>
              </w:rPr>
            </w:pPr>
            <w:r w:rsidRPr="000F314A">
              <w:rPr>
                <w:rFonts w:cs="Arial"/>
                <w:sz w:val="20"/>
                <w:szCs w:val="20"/>
                <w:lang w:eastAsia="en-NZ"/>
              </w:rPr>
              <w:t>where:</w:t>
            </w:r>
          </w:p>
          <w:p w:rsidR="00213934" w:rsidRPr="000F314A" w:rsidRDefault="00213934" w:rsidP="005A23C3">
            <w:pPr>
              <w:pStyle w:val="BodyText"/>
              <w:spacing w:line="264" w:lineRule="auto"/>
              <w:ind w:left="459" w:hanging="425"/>
              <w:rPr>
                <w:rFonts w:cs="Arial"/>
                <w:sz w:val="20"/>
                <w:szCs w:val="20"/>
                <w:lang w:eastAsia="en-NZ"/>
              </w:rPr>
            </w:pPr>
            <w:r w:rsidRPr="000F314A">
              <w:rPr>
                <w:position w:val="-6"/>
                <w:sz w:val="20"/>
                <w:szCs w:val="20"/>
              </w:rPr>
              <w:object w:dxaOrig="200" w:dyaOrig="220">
                <v:shape id="_x0000_i1032" type="#_x0000_t75" style="width:10.9pt;height:12pt" o:ole="">
                  <v:imagedata r:id="rId82" o:title=""/>
                </v:shape>
                <o:OLEObject Type="Embed" ProgID="Equation.3" ShapeID="_x0000_i1032" DrawAspect="Content" ObjectID="_1403043250" r:id="rId83"/>
              </w:object>
            </w:r>
            <w:r w:rsidRPr="000F314A">
              <w:rPr>
                <w:rFonts w:cs="Arial"/>
                <w:sz w:val="20"/>
                <w:szCs w:val="20"/>
                <w:lang w:eastAsia="en-NZ"/>
              </w:rPr>
              <w:t xml:space="preserve"> = actual expenditure</w:t>
            </w:r>
          </w:p>
          <w:p w:rsidR="00213934" w:rsidRPr="000F314A" w:rsidRDefault="00213934" w:rsidP="005A23C3">
            <w:pPr>
              <w:pStyle w:val="BodyText"/>
              <w:spacing w:line="264" w:lineRule="auto"/>
              <w:ind w:left="459" w:hanging="425"/>
              <w:rPr>
                <w:sz w:val="20"/>
                <w:szCs w:val="20"/>
              </w:rPr>
            </w:pPr>
            <w:r w:rsidRPr="000F314A">
              <w:rPr>
                <w:position w:val="-6"/>
                <w:sz w:val="20"/>
                <w:szCs w:val="20"/>
              </w:rPr>
              <w:object w:dxaOrig="200" w:dyaOrig="279">
                <v:shape id="_x0000_i1033" type="#_x0000_t75" style="width:10.9pt;height:15.25pt" o:ole="">
                  <v:imagedata r:id="rId84" o:title=""/>
                </v:shape>
                <o:OLEObject Type="Embed" ProgID="Equation.3" ShapeID="_x0000_i1033" DrawAspect="Content" ObjectID="_1403043251" r:id="rId85"/>
              </w:object>
            </w:r>
            <w:r w:rsidRPr="000F314A">
              <w:rPr>
                <w:rFonts w:cs="Arial"/>
                <w:sz w:val="20"/>
                <w:szCs w:val="20"/>
                <w:lang w:eastAsia="en-NZ"/>
              </w:rPr>
              <w:t>= forecast expenditure</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2009 authorisation assets</w:t>
            </w:r>
          </w:p>
        </w:tc>
        <w:tc>
          <w:tcPr>
            <w:tcW w:w="0" w:type="auto"/>
          </w:tcPr>
          <w:p w:rsidR="00213934" w:rsidRPr="000F314A" w:rsidRDefault="00213934" w:rsidP="005A23C3">
            <w:pPr>
              <w:pStyle w:val="BodyText"/>
              <w:spacing w:line="264" w:lineRule="auto"/>
              <w:rPr>
                <w:rFonts w:cs="Arial"/>
                <w:sz w:val="20"/>
                <w:szCs w:val="20"/>
                <w:lang w:eastAsia="en-NZ"/>
              </w:rPr>
            </w:pPr>
            <w:r w:rsidRPr="000F314A">
              <w:rPr>
                <w:rFonts w:cs="Arial"/>
                <w:sz w:val="20"/>
                <w:szCs w:val="20"/>
                <w:lang w:eastAsia="en-NZ"/>
              </w:rPr>
              <w:t>has the meaning set out in the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2009 disclosed assets</w:t>
            </w:r>
          </w:p>
        </w:tc>
        <w:tc>
          <w:tcPr>
            <w:tcW w:w="0" w:type="auto"/>
          </w:tcPr>
          <w:p w:rsidR="00213934" w:rsidRPr="000F314A" w:rsidRDefault="00213934" w:rsidP="005A23C3">
            <w:pPr>
              <w:pStyle w:val="BodyText"/>
              <w:spacing w:line="264" w:lineRule="auto"/>
              <w:rPr>
                <w:rFonts w:cs="Arial"/>
                <w:sz w:val="20"/>
                <w:szCs w:val="20"/>
                <w:lang w:eastAsia="en-NZ"/>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2009 part year</w:t>
            </w:r>
          </w:p>
        </w:tc>
        <w:tc>
          <w:tcPr>
            <w:tcW w:w="0" w:type="auto"/>
          </w:tcPr>
          <w:p w:rsidR="00213934" w:rsidRPr="000F314A" w:rsidRDefault="00213934" w:rsidP="005A23C3">
            <w:pPr>
              <w:pStyle w:val="BodyText"/>
              <w:spacing w:line="264" w:lineRule="auto"/>
              <w:rPr>
                <w:rFonts w:cs="Arial"/>
                <w:sz w:val="20"/>
                <w:szCs w:val="20"/>
                <w:lang w:eastAsia="en-NZ"/>
              </w:rPr>
            </w:pPr>
            <w:r w:rsidRPr="000F314A">
              <w:rPr>
                <w:rFonts w:cs="Arial"/>
                <w:sz w:val="20"/>
                <w:szCs w:val="20"/>
                <w:lang w:eastAsia="en-NZ"/>
              </w:rPr>
              <w:t>means amounts determined in accordance with the IM determination, in relation to:</w:t>
            </w:r>
          </w:p>
          <w:p w:rsidR="00213934" w:rsidRPr="000F314A" w:rsidRDefault="00213934" w:rsidP="00213934">
            <w:pPr>
              <w:pStyle w:val="BodyText"/>
              <w:numPr>
                <w:ilvl w:val="3"/>
                <w:numId w:val="69"/>
              </w:numPr>
              <w:tabs>
                <w:tab w:val="clear" w:pos="2880"/>
                <w:tab w:val="num" w:pos="459"/>
              </w:tabs>
              <w:spacing w:line="264" w:lineRule="auto"/>
              <w:ind w:left="459" w:hanging="425"/>
              <w:rPr>
                <w:rFonts w:cs="Arial"/>
                <w:sz w:val="20"/>
                <w:szCs w:val="20"/>
                <w:lang w:eastAsia="en-NZ"/>
              </w:rPr>
            </w:pPr>
            <w:r w:rsidRPr="000F314A">
              <w:rPr>
                <w:rFonts w:cs="Arial"/>
                <w:sz w:val="20"/>
                <w:szCs w:val="20"/>
                <w:lang w:eastAsia="en-NZ"/>
              </w:rPr>
              <w:t>Vector Limited, for the period from 1 July 2009 to 30 September 2009; and</w:t>
            </w:r>
          </w:p>
          <w:p w:rsidR="00213934" w:rsidRPr="000F314A" w:rsidRDefault="00213934" w:rsidP="00213934">
            <w:pPr>
              <w:pStyle w:val="BodyText"/>
              <w:numPr>
                <w:ilvl w:val="3"/>
                <w:numId w:val="69"/>
              </w:numPr>
              <w:tabs>
                <w:tab w:val="clear" w:pos="2880"/>
                <w:tab w:val="num" w:pos="459"/>
              </w:tabs>
              <w:spacing w:line="264" w:lineRule="auto"/>
              <w:ind w:left="459" w:hanging="425"/>
              <w:rPr>
                <w:rFonts w:cs="Arial"/>
                <w:sz w:val="20"/>
                <w:szCs w:val="20"/>
                <w:lang w:eastAsia="en-NZ"/>
              </w:rPr>
            </w:pPr>
            <w:r w:rsidRPr="000F314A">
              <w:rPr>
                <w:rFonts w:cs="Arial"/>
                <w:sz w:val="20"/>
                <w:szCs w:val="20"/>
                <w:lang w:eastAsia="en-NZ"/>
              </w:rPr>
              <w:t>Maui Developments Limited (MDL), for the period from 1 January 2009 to 30 September 2009</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25th percentile estimate</w:t>
            </w:r>
          </w:p>
        </w:tc>
        <w:tc>
          <w:tcPr>
            <w:tcW w:w="0" w:type="auto"/>
          </w:tcPr>
          <w:p w:rsidR="00213934" w:rsidRPr="000F314A" w:rsidRDefault="00213934" w:rsidP="005A23C3">
            <w:pPr>
              <w:pStyle w:val="BodyText"/>
              <w:spacing w:line="264" w:lineRule="auto"/>
              <w:ind w:left="34"/>
              <w:rPr>
                <w:rFonts w:cs="Arial"/>
                <w:sz w:val="20"/>
                <w:szCs w:val="20"/>
                <w:lang w:eastAsia="en-NZ"/>
              </w:rPr>
            </w:pPr>
            <w:r w:rsidRPr="000F314A">
              <w:rPr>
                <w:rFonts w:cs="Arial"/>
                <w:sz w:val="20"/>
                <w:szCs w:val="20"/>
                <w:lang w:eastAsia="en-NZ"/>
              </w:rPr>
              <w:t>means the 25th percentile estimate for the range of the</w:t>
            </w:r>
            <w:r w:rsidRPr="000F314A">
              <w:rPr>
                <w:rFonts w:cs="Arial"/>
                <w:bCs/>
                <w:sz w:val="20"/>
                <w:szCs w:val="20"/>
                <w:lang w:eastAsia="en-NZ"/>
              </w:rPr>
              <w:t xml:space="preserve"> mid-point post tax WACC</w:t>
            </w:r>
            <w:r w:rsidRPr="000F314A">
              <w:rPr>
                <w:rFonts w:cs="Arial"/>
                <w:sz w:val="20"/>
                <w:szCs w:val="20"/>
                <w:lang w:eastAsia="en-NZ"/>
              </w:rPr>
              <w:t xml:space="preserve"> or </w:t>
            </w:r>
            <w:r w:rsidRPr="000F314A">
              <w:rPr>
                <w:rFonts w:cs="Arial"/>
                <w:bCs/>
                <w:sz w:val="20"/>
                <w:szCs w:val="20"/>
                <w:lang w:eastAsia="en-NZ"/>
              </w:rPr>
              <w:t>mid-point vanilla WACC</w:t>
            </w:r>
            <w:r w:rsidRPr="000F314A">
              <w:rPr>
                <w:rFonts w:cs="Arial"/>
                <w:sz w:val="20"/>
                <w:szCs w:val="20"/>
                <w:lang w:eastAsia="en-NZ"/>
              </w:rPr>
              <w:t xml:space="preserve"> determined by the </w:t>
            </w:r>
            <w:r w:rsidRPr="000F314A">
              <w:rPr>
                <w:rFonts w:cs="Arial"/>
                <w:bCs/>
                <w:sz w:val="20"/>
                <w:szCs w:val="20"/>
                <w:lang w:eastAsia="en-NZ"/>
              </w:rPr>
              <w:t>Commission</w:t>
            </w:r>
            <w:r w:rsidRPr="000F314A">
              <w:rPr>
                <w:rFonts w:cs="Arial"/>
                <w:sz w:val="20"/>
                <w:szCs w:val="20"/>
                <w:lang w:eastAsia="en-NZ"/>
              </w:rPr>
              <w:t xml:space="preserve"> in accordance with clause 2.4.7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75th percentile estimate</w:t>
            </w:r>
          </w:p>
        </w:tc>
        <w:tc>
          <w:tcPr>
            <w:tcW w:w="0" w:type="auto"/>
          </w:tcPr>
          <w:p w:rsidR="00213934" w:rsidRPr="000F314A" w:rsidRDefault="00213934" w:rsidP="005A23C3">
            <w:pPr>
              <w:pStyle w:val="BodyText"/>
              <w:spacing w:line="264" w:lineRule="auto"/>
              <w:rPr>
                <w:rFonts w:cs="Arial"/>
                <w:sz w:val="20"/>
                <w:szCs w:val="20"/>
                <w:lang w:eastAsia="en-NZ"/>
              </w:rPr>
            </w:pPr>
            <w:r w:rsidRPr="000F314A">
              <w:rPr>
                <w:rFonts w:cs="Arial"/>
                <w:sz w:val="20"/>
                <w:szCs w:val="20"/>
                <w:lang w:eastAsia="en-NZ"/>
              </w:rPr>
              <w:t>means the 75th percentile estimate for the range of the</w:t>
            </w:r>
            <w:r w:rsidRPr="000F314A">
              <w:rPr>
                <w:rFonts w:cs="Arial"/>
                <w:bCs/>
                <w:sz w:val="20"/>
                <w:szCs w:val="20"/>
                <w:lang w:eastAsia="en-NZ"/>
              </w:rPr>
              <w:t xml:space="preserve"> mid-point post tax WACC</w:t>
            </w:r>
            <w:r w:rsidRPr="000F314A">
              <w:rPr>
                <w:rFonts w:cs="Arial"/>
                <w:sz w:val="20"/>
                <w:szCs w:val="20"/>
                <w:lang w:eastAsia="en-NZ"/>
              </w:rPr>
              <w:t xml:space="preserve"> or </w:t>
            </w:r>
            <w:r w:rsidRPr="000F314A">
              <w:rPr>
                <w:rFonts w:cs="Arial"/>
                <w:bCs/>
                <w:sz w:val="20"/>
                <w:szCs w:val="20"/>
                <w:lang w:eastAsia="en-NZ"/>
              </w:rPr>
              <w:t>mid-point vanilla WACC</w:t>
            </w:r>
            <w:r w:rsidRPr="000F314A">
              <w:rPr>
                <w:rFonts w:cs="Arial"/>
                <w:sz w:val="20"/>
                <w:szCs w:val="20"/>
                <w:lang w:eastAsia="en-NZ"/>
              </w:rPr>
              <w:t xml:space="preserve"> determined by the </w:t>
            </w:r>
            <w:r w:rsidRPr="000F314A">
              <w:rPr>
                <w:rFonts w:cs="Arial"/>
                <w:bCs/>
                <w:sz w:val="20"/>
                <w:szCs w:val="20"/>
                <w:lang w:eastAsia="en-NZ"/>
              </w:rPr>
              <w:t>Commission</w:t>
            </w:r>
            <w:r w:rsidRPr="000F314A">
              <w:rPr>
                <w:rFonts w:cs="Arial"/>
                <w:sz w:val="20"/>
                <w:szCs w:val="20"/>
                <w:lang w:eastAsia="en-NZ"/>
              </w:rPr>
              <w:t xml:space="preserve"> in accordance with clause 2.4.7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 xml:space="preserve">Actual controllable </w:t>
            </w:r>
            <w:proofErr w:type="spellStart"/>
            <w:r w:rsidRPr="000F314A">
              <w:rPr>
                <w:rFonts w:cs="Arial"/>
                <w:bCs/>
                <w:sz w:val="20"/>
                <w:szCs w:val="20"/>
                <w:lang w:eastAsia="en-NZ"/>
              </w:rPr>
              <w:t>opex</w:t>
            </w:r>
            <w:proofErr w:type="spellEnd"/>
          </w:p>
        </w:tc>
        <w:tc>
          <w:tcPr>
            <w:tcW w:w="0" w:type="auto"/>
          </w:tcPr>
          <w:p w:rsidR="00213934" w:rsidRPr="000F314A" w:rsidRDefault="00213934" w:rsidP="005A23C3">
            <w:pPr>
              <w:pStyle w:val="BodyText"/>
              <w:spacing w:line="264" w:lineRule="auto"/>
              <w:rPr>
                <w:rFonts w:cs="Arial"/>
                <w:sz w:val="20"/>
                <w:szCs w:val="20"/>
                <w:lang w:eastAsia="en-NZ"/>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Actual expenditure</w:t>
            </w:r>
          </w:p>
        </w:tc>
        <w:tc>
          <w:tcPr>
            <w:tcW w:w="0" w:type="auto"/>
          </w:tcPr>
          <w:p w:rsidR="00213934" w:rsidRPr="000F314A" w:rsidRDefault="00213934" w:rsidP="005A23C3">
            <w:pPr>
              <w:spacing w:line="264" w:lineRule="auto"/>
              <w:ind w:left="459" w:hanging="459"/>
              <w:rPr>
                <w:rFonts w:cs="Arial"/>
                <w:sz w:val="20"/>
                <w:szCs w:val="20"/>
                <w:lang w:eastAsia="en-NZ"/>
              </w:rPr>
            </w:pPr>
            <w:r w:rsidRPr="000F314A">
              <w:rPr>
                <w:rFonts w:cs="Arial"/>
                <w:sz w:val="20"/>
                <w:szCs w:val="20"/>
                <w:lang w:eastAsia="en-NZ"/>
              </w:rPr>
              <w:t>means, in relation to:</w:t>
            </w:r>
          </w:p>
          <w:p w:rsidR="00213934" w:rsidRPr="000F314A" w:rsidRDefault="00213934" w:rsidP="00213934">
            <w:pPr>
              <w:pStyle w:val="ListParagraph"/>
              <w:numPr>
                <w:ilvl w:val="4"/>
                <w:numId w:val="69"/>
              </w:numPr>
              <w:spacing w:line="264" w:lineRule="auto"/>
              <w:ind w:left="459" w:hanging="459"/>
              <w:rPr>
                <w:rFonts w:cs="Arial"/>
                <w:sz w:val="20"/>
                <w:szCs w:val="20"/>
                <w:lang w:eastAsia="en-NZ"/>
              </w:rPr>
            </w:pPr>
            <w:r w:rsidRPr="000F314A">
              <w:rPr>
                <w:rFonts w:cs="Arial"/>
                <w:sz w:val="20"/>
                <w:szCs w:val="20"/>
                <w:lang w:eastAsia="en-NZ"/>
              </w:rPr>
              <w:t>a disclosure year, expenditure for the disclosure year</w:t>
            </w:r>
          </w:p>
          <w:p w:rsidR="00213934" w:rsidRPr="000F314A" w:rsidRDefault="00213934" w:rsidP="00213934">
            <w:pPr>
              <w:pStyle w:val="ListParagraph"/>
              <w:numPr>
                <w:ilvl w:val="4"/>
                <w:numId w:val="69"/>
              </w:numPr>
              <w:tabs>
                <w:tab w:val="left" w:pos="4045"/>
              </w:tabs>
              <w:spacing w:line="264" w:lineRule="auto"/>
              <w:ind w:left="459" w:hanging="459"/>
              <w:rPr>
                <w:rFonts w:cs="Arial"/>
                <w:sz w:val="20"/>
                <w:szCs w:val="20"/>
                <w:lang w:eastAsia="en-NZ"/>
              </w:rPr>
            </w:pPr>
            <w:r w:rsidRPr="000F314A">
              <w:rPr>
                <w:rFonts w:cs="Arial"/>
                <w:sz w:val="20"/>
                <w:szCs w:val="20"/>
                <w:lang w:eastAsia="en-NZ"/>
              </w:rPr>
              <w:t>the regulatory period, expenditure for the disclosure years from the start of the regulatory period to the current disclosure year</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Adjusted depreciation</w:t>
            </w:r>
          </w:p>
        </w:tc>
        <w:tc>
          <w:tcPr>
            <w:tcW w:w="0" w:type="auto"/>
          </w:tcPr>
          <w:p w:rsidR="00213934" w:rsidRPr="000F314A" w:rsidRDefault="00213934" w:rsidP="005A23C3">
            <w:pPr>
              <w:spacing w:line="264" w:lineRule="auto"/>
              <w:ind w:left="34"/>
              <w:rPr>
                <w:rFonts w:cs="Arial"/>
                <w:sz w:val="20"/>
                <w:szCs w:val="20"/>
                <w:lang w:eastAsia="en-NZ"/>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Adjustment resulting from asset allocation</w:t>
            </w:r>
          </w:p>
        </w:tc>
        <w:tc>
          <w:tcPr>
            <w:tcW w:w="0" w:type="auto"/>
          </w:tcPr>
          <w:p w:rsidR="00213934" w:rsidRPr="000F314A" w:rsidRDefault="00213934" w:rsidP="005A23C3">
            <w:pPr>
              <w:pStyle w:val="EquationsL2"/>
              <w:spacing w:line="264" w:lineRule="auto"/>
              <w:ind w:left="0" w:firstLine="0"/>
              <w:rPr>
                <w:sz w:val="20"/>
                <w:szCs w:val="20"/>
              </w:rPr>
            </w:pPr>
            <w:r w:rsidRPr="000F314A">
              <w:rPr>
                <w:rFonts w:cs="Arial"/>
                <w:sz w:val="20"/>
                <w:szCs w:val="20"/>
                <w:lang w:eastAsia="en-NZ"/>
              </w:rPr>
              <w:t xml:space="preserve">means </w:t>
            </w:r>
          </w:p>
          <w:p w:rsidR="00213934" w:rsidRPr="000F314A" w:rsidRDefault="00213934" w:rsidP="00213934">
            <w:pPr>
              <w:pStyle w:val="EquationsL2"/>
              <w:numPr>
                <w:ilvl w:val="0"/>
                <w:numId w:val="70"/>
              </w:numPr>
              <w:spacing w:line="264" w:lineRule="auto"/>
              <w:ind w:left="459" w:hanging="425"/>
              <w:rPr>
                <w:sz w:val="20"/>
                <w:szCs w:val="20"/>
              </w:rPr>
            </w:pPr>
            <w:r w:rsidRPr="000F314A">
              <w:rPr>
                <w:rFonts w:cs="Arial"/>
                <w:sz w:val="20"/>
                <w:szCs w:val="20"/>
                <w:lang w:eastAsia="en-NZ"/>
              </w:rPr>
              <w:t xml:space="preserve">in relation to the </w:t>
            </w:r>
            <w:r w:rsidRPr="000F314A">
              <w:rPr>
                <w:rFonts w:cs="Arial"/>
                <w:bCs/>
                <w:sz w:val="20"/>
                <w:szCs w:val="20"/>
                <w:lang w:eastAsia="en-NZ"/>
              </w:rPr>
              <w:t>works under construction</w:t>
            </w:r>
            <w:r w:rsidRPr="000F314A">
              <w:rPr>
                <w:rFonts w:cs="Arial"/>
                <w:sz w:val="20"/>
                <w:szCs w:val="20"/>
                <w:lang w:eastAsia="en-NZ"/>
              </w:rPr>
              <w:t xml:space="preserve"> roll-forward, the change in </w:t>
            </w:r>
            <w:r w:rsidRPr="000F314A">
              <w:rPr>
                <w:rFonts w:cs="Arial"/>
                <w:bCs/>
                <w:sz w:val="20"/>
                <w:szCs w:val="20"/>
                <w:lang w:eastAsia="en-NZ"/>
              </w:rPr>
              <w:t>works under construction</w:t>
            </w:r>
            <w:r w:rsidRPr="000F314A">
              <w:rPr>
                <w:rFonts w:cs="Arial"/>
                <w:sz w:val="20"/>
                <w:szCs w:val="20"/>
                <w:lang w:eastAsia="en-NZ"/>
              </w:rPr>
              <w:t xml:space="preserve"> resulting from a change in asset allocation assumptions for assets included in </w:t>
            </w:r>
            <w:r w:rsidRPr="000F314A">
              <w:rPr>
                <w:rFonts w:cs="Arial"/>
                <w:bCs/>
                <w:sz w:val="20"/>
                <w:szCs w:val="20"/>
                <w:lang w:eastAsia="en-NZ"/>
              </w:rPr>
              <w:t xml:space="preserve">works under construction, </w:t>
            </w:r>
            <w:r w:rsidRPr="000F314A">
              <w:rPr>
                <w:rFonts w:cs="Arial"/>
                <w:sz w:val="20"/>
                <w:szCs w:val="20"/>
                <w:lang w:eastAsia="en-NZ"/>
              </w:rPr>
              <w:t xml:space="preserve">where increases in the value of </w:t>
            </w:r>
            <w:r w:rsidRPr="000F314A">
              <w:rPr>
                <w:rFonts w:cs="Arial"/>
                <w:bCs/>
                <w:sz w:val="20"/>
                <w:szCs w:val="20"/>
                <w:lang w:eastAsia="en-NZ"/>
              </w:rPr>
              <w:t xml:space="preserve">works under construction </w:t>
            </w:r>
            <w:r w:rsidRPr="000F314A">
              <w:rPr>
                <w:rFonts w:cs="Arial"/>
                <w:sz w:val="20"/>
                <w:szCs w:val="20"/>
                <w:lang w:eastAsia="en-NZ"/>
              </w:rPr>
              <w:t>are positive and decreases are negative</w:t>
            </w:r>
          </w:p>
          <w:p w:rsidR="00213934" w:rsidRPr="000F314A" w:rsidRDefault="00213934" w:rsidP="00213934">
            <w:pPr>
              <w:pStyle w:val="EquationsL2"/>
              <w:numPr>
                <w:ilvl w:val="0"/>
                <w:numId w:val="70"/>
              </w:numPr>
              <w:spacing w:line="264" w:lineRule="auto"/>
              <w:ind w:left="459" w:hanging="425"/>
              <w:rPr>
                <w:sz w:val="20"/>
                <w:szCs w:val="20"/>
              </w:rPr>
            </w:pPr>
            <w:r w:rsidRPr="000F314A">
              <w:rPr>
                <w:rFonts w:cs="Arial"/>
                <w:sz w:val="20"/>
                <w:szCs w:val="20"/>
                <w:lang w:eastAsia="en-NZ"/>
              </w:rPr>
              <w:t xml:space="preserve">in all other instances, the value of </w:t>
            </w:r>
            <w:r w:rsidRPr="000F314A">
              <w:rPr>
                <w:rFonts w:cs="Arial"/>
                <w:i/>
                <w:sz w:val="20"/>
                <w:szCs w:val="20"/>
                <w:lang w:eastAsia="en-NZ"/>
              </w:rPr>
              <w:t>q</w:t>
            </w:r>
            <w:r w:rsidRPr="000F314A">
              <w:rPr>
                <w:rFonts w:cs="Arial"/>
                <w:sz w:val="20"/>
                <w:szCs w:val="20"/>
                <w:lang w:eastAsia="en-NZ"/>
              </w:rPr>
              <w:t xml:space="preserve"> calculated using the following formula:</w:t>
            </w:r>
          </w:p>
          <w:p w:rsidR="00213934" w:rsidRPr="000F314A" w:rsidRDefault="00213934" w:rsidP="005A23C3">
            <w:pPr>
              <w:pStyle w:val="EquationsL2"/>
              <w:spacing w:line="264" w:lineRule="auto"/>
              <w:ind w:left="1134" w:firstLine="0"/>
              <w:rPr>
                <w:sz w:val="20"/>
                <w:szCs w:val="20"/>
              </w:rPr>
            </w:pPr>
            <w:r w:rsidRPr="000F314A">
              <w:rPr>
                <w:position w:val="-10"/>
                <w:sz w:val="20"/>
                <w:szCs w:val="20"/>
              </w:rPr>
              <w:object w:dxaOrig="200" w:dyaOrig="240">
                <v:shape id="_x0000_i1034" type="#_x0000_t75" style="width:10.9pt;height:13.1pt" o:ole="">
                  <v:imagedata r:id="rId86" o:title=""/>
                </v:shape>
                <o:OLEObject Type="Embed" ProgID="Equation.3" ShapeID="_x0000_i1034" DrawAspect="Content" ObjectID="_1403043252" r:id="rId87"/>
              </w:object>
            </w:r>
            <w:r w:rsidRPr="000F314A">
              <w:rPr>
                <w:sz w:val="20"/>
                <w:szCs w:val="20"/>
              </w:rPr>
              <w:tab/>
              <w:t>=</w:t>
            </w:r>
            <w:r w:rsidRPr="000F314A">
              <w:rPr>
                <w:sz w:val="20"/>
                <w:szCs w:val="20"/>
              </w:rPr>
              <w:tab/>
            </w:r>
            <w:r w:rsidRPr="000F314A">
              <w:rPr>
                <w:position w:val="-10"/>
                <w:sz w:val="20"/>
                <w:szCs w:val="20"/>
              </w:rPr>
              <w:object w:dxaOrig="2240" w:dyaOrig="320">
                <v:shape id="_x0000_i1035" type="#_x0000_t75" style="width:112.35pt;height:16.35pt" o:ole="">
                  <v:imagedata r:id="rId88" o:title=""/>
                </v:shape>
                <o:OLEObject Type="Embed" ProgID="Equation.3" ShapeID="_x0000_i1035" DrawAspect="Content" ObjectID="_1403043253" r:id="rId89"/>
              </w:object>
            </w:r>
          </w:p>
          <w:p w:rsidR="00213934" w:rsidRPr="000F314A" w:rsidRDefault="00213934" w:rsidP="005A23C3">
            <w:pPr>
              <w:spacing w:line="264" w:lineRule="auto"/>
              <w:ind w:left="34"/>
              <w:rPr>
                <w:rFonts w:cs="Arial"/>
                <w:sz w:val="20"/>
                <w:szCs w:val="20"/>
                <w:lang w:eastAsia="en-NZ"/>
              </w:rPr>
            </w:pPr>
            <w:r w:rsidRPr="000F314A">
              <w:rPr>
                <w:rFonts w:cs="Arial"/>
                <w:sz w:val="20"/>
                <w:szCs w:val="20"/>
                <w:lang w:eastAsia="en-NZ"/>
              </w:rPr>
              <w:t>where:</w:t>
            </w:r>
            <w:r w:rsidRPr="000F314A">
              <w:rPr>
                <w:rFonts w:cs="Arial"/>
                <w:sz w:val="20"/>
                <w:szCs w:val="20"/>
                <w:lang w:eastAsia="en-NZ"/>
              </w:rPr>
              <w:br/>
            </w:r>
            <w:r w:rsidRPr="000F314A">
              <w:rPr>
                <w:position w:val="-6"/>
                <w:sz w:val="20"/>
                <w:szCs w:val="20"/>
              </w:rPr>
              <w:object w:dxaOrig="200" w:dyaOrig="220">
                <v:shape id="_x0000_i1036" type="#_x0000_t75" style="width:10.9pt;height:12pt" o:ole="">
                  <v:imagedata r:id="rId90" o:title=""/>
                </v:shape>
                <o:OLEObject Type="Embed" ProgID="Equation.3" ShapeID="_x0000_i1036" DrawAspect="Content" ObjectID="_1403043254" r:id="rId91"/>
              </w:object>
            </w:r>
            <w:r w:rsidRPr="000F314A">
              <w:rPr>
                <w:rFonts w:cs="Arial"/>
                <w:sz w:val="20"/>
                <w:szCs w:val="20"/>
                <w:lang w:eastAsia="en-NZ"/>
              </w:rPr>
              <w:t xml:space="preserve"> = total closing RAB value</w:t>
            </w:r>
            <w:r w:rsidRPr="000F314A">
              <w:rPr>
                <w:rFonts w:cs="Arial"/>
                <w:sz w:val="20"/>
                <w:szCs w:val="20"/>
                <w:lang w:eastAsia="en-NZ"/>
              </w:rPr>
              <w:br/>
            </w:r>
            <w:r w:rsidRPr="000F314A">
              <w:rPr>
                <w:position w:val="-6"/>
                <w:sz w:val="20"/>
                <w:szCs w:val="20"/>
              </w:rPr>
              <w:object w:dxaOrig="200" w:dyaOrig="279">
                <v:shape id="_x0000_i1037" type="#_x0000_t75" style="width:10.9pt;height:15.25pt" o:ole="">
                  <v:imagedata r:id="rId92" o:title=""/>
                </v:shape>
                <o:OLEObject Type="Embed" ProgID="Equation.3" ShapeID="_x0000_i1037" DrawAspect="Content" ObjectID="_1403043255" r:id="rId93"/>
              </w:object>
            </w:r>
            <w:r w:rsidRPr="000F314A">
              <w:rPr>
                <w:rFonts w:cs="Arial"/>
                <w:sz w:val="20"/>
                <w:szCs w:val="20"/>
                <w:lang w:eastAsia="en-NZ"/>
              </w:rPr>
              <w:t xml:space="preserve"> = total opening RAB value</w:t>
            </w:r>
            <w:r w:rsidRPr="000F314A">
              <w:rPr>
                <w:rFonts w:cs="Arial"/>
                <w:sz w:val="20"/>
                <w:szCs w:val="20"/>
                <w:lang w:eastAsia="en-NZ"/>
              </w:rPr>
              <w:br/>
            </w:r>
            <w:r w:rsidRPr="000F314A">
              <w:rPr>
                <w:position w:val="-6"/>
                <w:sz w:val="20"/>
                <w:szCs w:val="20"/>
              </w:rPr>
              <w:object w:dxaOrig="180" w:dyaOrig="220">
                <v:shape id="_x0000_i1038" type="#_x0000_t75" style="width:10.9pt;height:12pt" o:ole="">
                  <v:imagedata r:id="rId94" o:title=""/>
                </v:shape>
                <o:OLEObject Type="Embed" ProgID="Equation.3" ShapeID="_x0000_i1038" DrawAspect="Content" ObjectID="_1403043256" r:id="rId95"/>
              </w:object>
            </w:r>
            <w:r w:rsidRPr="000F314A">
              <w:rPr>
                <w:rFonts w:cs="Arial"/>
                <w:sz w:val="20"/>
                <w:szCs w:val="20"/>
                <w:lang w:eastAsia="en-NZ"/>
              </w:rPr>
              <w:t xml:space="preserve"> = </w:t>
            </w:r>
            <w:r w:rsidRPr="000F314A">
              <w:rPr>
                <w:rFonts w:cs="Arial"/>
                <w:bCs/>
                <w:sz w:val="20"/>
                <w:szCs w:val="20"/>
                <w:lang w:eastAsia="en-NZ"/>
              </w:rPr>
              <w:t>total depreciation</w:t>
            </w:r>
            <w:r w:rsidRPr="000F314A">
              <w:rPr>
                <w:rFonts w:cs="Arial"/>
                <w:sz w:val="20"/>
                <w:szCs w:val="20"/>
                <w:lang w:eastAsia="en-NZ"/>
              </w:rPr>
              <w:br/>
            </w:r>
            <w:r w:rsidRPr="000F314A">
              <w:rPr>
                <w:position w:val="-6"/>
                <w:sz w:val="20"/>
                <w:szCs w:val="20"/>
              </w:rPr>
              <w:object w:dxaOrig="220" w:dyaOrig="279">
                <v:shape id="_x0000_i1039" type="#_x0000_t75" style="width:12pt;height:15.25pt" o:ole="">
                  <v:imagedata r:id="rId96" o:title=""/>
                </v:shape>
                <o:OLEObject Type="Embed" ProgID="Equation.3" ShapeID="_x0000_i1039" DrawAspect="Content" ObjectID="_1403043257" r:id="rId97"/>
              </w:object>
            </w:r>
            <w:r w:rsidRPr="000F314A">
              <w:rPr>
                <w:rFonts w:cs="Arial"/>
                <w:sz w:val="20"/>
                <w:szCs w:val="20"/>
                <w:lang w:eastAsia="en-NZ"/>
              </w:rPr>
              <w:t xml:space="preserve">  = </w:t>
            </w:r>
            <w:r w:rsidRPr="000F314A">
              <w:rPr>
                <w:rFonts w:cs="Arial"/>
                <w:bCs/>
                <w:sz w:val="20"/>
                <w:szCs w:val="20"/>
                <w:lang w:eastAsia="en-NZ"/>
              </w:rPr>
              <w:t>total CPI revaluations</w:t>
            </w:r>
            <w:r w:rsidRPr="000F314A">
              <w:rPr>
                <w:rFonts w:cs="Arial"/>
                <w:sz w:val="20"/>
                <w:szCs w:val="20"/>
                <w:lang w:eastAsia="en-NZ"/>
              </w:rPr>
              <w:br/>
            </w:r>
            <w:r w:rsidRPr="000F314A">
              <w:rPr>
                <w:position w:val="-6"/>
                <w:sz w:val="20"/>
                <w:szCs w:val="20"/>
              </w:rPr>
              <w:object w:dxaOrig="180" w:dyaOrig="220">
                <v:shape id="_x0000_i1040" type="#_x0000_t75" style="width:10.9pt;height:12pt" o:ole="">
                  <v:imagedata r:id="rId98" o:title=""/>
                </v:shape>
                <o:OLEObject Type="Embed" ProgID="Equation.3" ShapeID="_x0000_i1040" DrawAspect="Content" ObjectID="_1403043258" r:id="rId99"/>
              </w:object>
            </w:r>
            <w:r w:rsidRPr="000F314A">
              <w:rPr>
                <w:position w:val="-6"/>
                <w:sz w:val="20"/>
                <w:szCs w:val="20"/>
              </w:rPr>
              <w:t xml:space="preserve"> </w:t>
            </w:r>
            <w:r w:rsidRPr="000F314A">
              <w:rPr>
                <w:rFonts w:cs="Arial"/>
                <w:sz w:val="20"/>
                <w:szCs w:val="20"/>
                <w:lang w:eastAsia="en-NZ"/>
              </w:rPr>
              <w:t xml:space="preserve">= </w:t>
            </w:r>
            <w:r w:rsidRPr="000F314A">
              <w:rPr>
                <w:rFonts w:cs="Arial"/>
                <w:bCs/>
                <w:sz w:val="20"/>
                <w:szCs w:val="20"/>
                <w:lang w:eastAsia="en-NZ"/>
              </w:rPr>
              <w:t>assets commissioned</w:t>
            </w:r>
            <w:r w:rsidRPr="000F314A">
              <w:rPr>
                <w:rFonts w:cs="Arial"/>
                <w:sz w:val="20"/>
                <w:szCs w:val="20"/>
                <w:lang w:eastAsia="en-NZ"/>
              </w:rPr>
              <w:t xml:space="preserve"> </w:t>
            </w:r>
          </w:p>
          <w:p w:rsidR="00213934" w:rsidRPr="000F314A" w:rsidRDefault="00213934" w:rsidP="005A23C3">
            <w:pPr>
              <w:spacing w:line="264" w:lineRule="auto"/>
              <w:ind w:left="34"/>
              <w:rPr>
                <w:rFonts w:cs="Arial"/>
                <w:sz w:val="20"/>
                <w:szCs w:val="20"/>
                <w:lang w:eastAsia="en-NZ"/>
              </w:rPr>
            </w:pPr>
            <w:r w:rsidRPr="000F314A">
              <w:rPr>
                <w:position w:val="-10"/>
                <w:sz w:val="20"/>
                <w:szCs w:val="20"/>
              </w:rPr>
              <w:object w:dxaOrig="240" w:dyaOrig="320">
                <v:shape id="_x0000_i1041" type="#_x0000_t75" style="width:13.1pt;height:16.35pt" o:ole="">
                  <v:imagedata r:id="rId100" o:title=""/>
                </v:shape>
                <o:OLEObject Type="Embed" ProgID="Equation.3" ShapeID="_x0000_i1041" DrawAspect="Content" ObjectID="_1403043259" r:id="rId101"/>
              </w:object>
            </w:r>
            <w:r w:rsidRPr="000F314A">
              <w:rPr>
                <w:position w:val="-10"/>
                <w:sz w:val="20"/>
                <w:szCs w:val="20"/>
              </w:rPr>
              <w:t xml:space="preserve"> </w:t>
            </w:r>
            <w:r w:rsidRPr="000F314A">
              <w:rPr>
                <w:rFonts w:cs="Arial"/>
                <w:sz w:val="20"/>
                <w:szCs w:val="20"/>
                <w:lang w:eastAsia="en-NZ"/>
              </w:rPr>
              <w:t xml:space="preserve">= </w:t>
            </w:r>
            <w:r w:rsidRPr="000F314A">
              <w:rPr>
                <w:rFonts w:cs="Arial"/>
                <w:bCs/>
                <w:sz w:val="20"/>
                <w:szCs w:val="20"/>
                <w:lang w:eastAsia="en-NZ"/>
              </w:rPr>
              <w:t>asset disposals</w:t>
            </w:r>
            <w:r w:rsidRPr="000F314A">
              <w:rPr>
                <w:rFonts w:cs="Arial"/>
                <w:sz w:val="20"/>
                <w:szCs w:val="20"/>
                <w:lang w:eastAsia="en-NZ"/>
              </w:rPr>
              <w:br/>
            </w:r>
            <w:r w:rsidRPr="000F314A">
              <w:rPr>
                <w:position w:val="-10"/>
                <w:sz w:val="20"/>
                <w:szCs w:val="20"/>
              </w:rPr>
              <w:object w:dxaOrig="220" w:dyaOrig="260">
                <v:shape id="_x0000_i1042" type="#_x0000_t75" style="width:12pt;height:13.1pt" o:ole="">
                  <v:imagedata r:id="rId102" o:title=""/>
                </v:shape>
                <o:OLEObject Type="Embed" ProgID="Equation.3" ShapeID="_x0000_i1042" DrawAspect="Content" ObjectID="_1403043260" r:id="rId103"/>
              </w:object>
            </w:r>
            <w:r w:rsidRPr="000F314A">
              <w:rPr>
                <w:position w:val="-10"/>
                <w:sz w:val="20"/>
                <w:szCs w:val="20"/>
              </w:rPr>
              <w:t xml:space="preserve"> </w:t>
            </w:r>
            <w:r w:rsidRPr="000F314A">
              <w:rPr>
                <w:rFonts w:cs="Arial"/>
                <w:sz w:val="20"/>
                <w:szCs w:val="20"/>
                <w:lang w:eastAsia="en-NZ"/>
              </w:rPr>
              <w:t xml:space="preserve">= </w:t>
            </w:r>
            <w:r w:rsidRPr="000F314A">
              <w:rPr>
                <w:rFonts w:cs="Arial"/>
                <w:bCs/>
                <w:sz w:val="20"/>
                <w:szCs w:val="20"/>
                <w:lang w:eastAsia="en-NZ"/>
              </w:rPr>
              <w:t>lost and found assets adjustment</w:t>
            </w:r>
            <w:r w:rsidRPr="000F314A">
              <w:rPr>
                <w:rFonts w:cs="Arial"/>
                <w:sz w:val="20"/>
                <w:szCs w:val="20"/>
                <w:lang w:eastAsia="en-NZ"/>
              </w:rPr>
              <w:br/>
            </w:r>
          </w:p>
          <w:p w:rsidR="00213934" w:rsidRPr="000F314A" w:rsidRDefault="00213934" w:rsidP="005A23C3">
            <w:pPr>
              <w:spacing w:line="264" w:lineRule="auto"/>
              <w:ind w:left="34"/>
              <w:rPr>
                <w:rFonts w:cs="Arial"/>
                <w:sz w:val="20"/>
                <w:szCs w:val="20"/>
                <w:lang w:eastAsia="en-NZ"/>
              </w:rPr>
            </w:pPr>
            <w:r w:rsidRPr="000F314A">
              <w:rPr>
                <w:rFonts w:cs="Arial"/>
                <w:sz w:val="20"/>
                <w:szCs w:val="20"/>
                <w:lang w:eastAsia="en-NZ"/>
              </w:rPr>
              <w:t xml:space="preserve">The formula must be calculated using component values that relate to the </w:t>
            </w:r>
            <w:r w:rsidRPr="000F314A">
              <w:rPr>
                <w:rFonts w:cs="Arial"/>
                <w:bCs/>
                <w:sz w:val="20"/>
                <w:szCs w:val="20"/>
                <w:lang w:eastAsia="en-NZ"/>
              </w:rPr>
              <w:t>RAB</w:t>
            </w:r>
            <w:r w:rsidR="009C2C2C" w:rsidRPr="000F314A">
              <w:rPr>
                <w:rFonts w:cs="Arial"/>
                <w:bCs/>
                <w:sz w:val="20"/>
                <w:szCs w:val="20"/>
                <w:lang w:eastAsia="en-NZ"/>
              </w:rPr>
              <w:t xml:space="preserve">. </w:t>
            </w:r>
            <w:r w:rsidRPr="000F314A">
              <w:rPr>
                <w:rFonts w:cs="Arial"/>
                <w:sz w:val="20"/>
                <w:szCs w:val="20"/>
                <w:lang w:eastAsia="en-NZ"/>
              </w:rPr>
              <w:t xml:space="preserve">These inputs are the values that result from the application of clause 2.1.1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Adjustment to reinstate 2009 modified asset values to unallocated amounts</w:t>
            </w:r>
          </w:p>
        </w:tc>
        <w:tc>
          <w:tcPr>
            <w:tcW w:w="0" w:type="auto"/>
          </w:tcPr>
          <w:p w:rsidR="00213934" w:rsidRPr="000F314A" w:rsidRDefault="00213934" w:rsidP="005A23C3">
            <w:pPr>
              <w:pStyle w:val="EquationsL2"/>
              <w:ind w:left="34" w:firstLine="0"/>
              <w:rPr>
                <w:rFonts w:cs="Arial"/>
                <w:sz w:val="20"/>
                <w:szCs w:val="20"/>
                <w:lang w:eastAsia="en-NZ"/>
              </w:rPr>
            </w:pPr>
            <w:r w:rsidRPr="000F314A">
              <w:rPr>
                <w:rFonts w:cs="Arial"/>
                <w:sz w:val="20"/>
                <w:szCs w:val="20"/>
                <w:lang w:eastAsia="en-NZ"/>
              </w:rPr>
              <w:t xml:space="preserve">means the value of the adjustment required to the </w:t>
            </w:r>
            <w:r w:rsidRPr="000F314A">
              <w:rPr>
                <w:rFonts w:cs="Arial"/>
                <w:bCs/>
                <w:sz w:val="20"/>
                <w:szCs w:val="20"/>
                <w:lang w:eastAsia="en-NZ"/>
              </w:rPr>
              <w:t xml:space="preserve">2009 modified asset values </w:t>
            </w:r>
            <w:r w:rsidRPr="000F314A">
              <w:rPr>
                <w:rFonts w:cs="Arial"/>
                <w:sz w:val="20"/>
                <w:szCs w:val="20"/>
                <w:lang w:eastAsia="en-NZ"/>
              </w:rPr>
              <w:t xml:space="preserve">so the resultant value represents the unallocated </w:t>
            </w:r>
            <w:r w:rsidRPr="000F314A">
              <w:rPr>
                <w:rFonts w:cs="Arial"/>
                <w:bCs/>
                <w:sz w:val="20"/>
                <w:szCs w:val="20"/>
                <w:lang w:eastAsia="en-NZ"/>
              </w:rPr>
              <w:t>2009 modified asset values</w:t>
            </w:r>
          </w:p>
        </w:tc>
      </w:tr>
      <w:tr w:rsidR="00213934" w:rsidRPr="000F314A" w:rsidTr="00EA01E1">
        <w:trPr>
          <w:cantSplit/>
          <w:trHeight w:val="20"/>
        </w:trPr>
        <w:tc>
          <w:tcPr>
            <w:tcW w:w="0" w:type="auto"/>
          </w:tcPr>
          <w:p w:rsidR="00213934" w:rsidRPr="000F314A" w:rsidRDefault="00213934" w:rsidP="005A23C3">
            <w:pPr>
              <w:rPr>
                <w:color w:val="000000"/>
                <w:sz w:val="20"/>
                <w:szCs w:val="20"/>
                <w:lang w:val="en-AU"/>
              </w:rPr>
            </w:pPr>
            <w:r w:rsidRPr="000F314A">
              <w:rPr>
                <w:color w:val="000000"/>
                <w:sz w:val="20"/>
                <w:szCs w:val="20"/>
                <w:lang w:val="en-AU"/>
              </w:rPr>
              <w:t>All other projects or programmes</w:t>
            </w:r>
          </w:p>
        </w:tc>
        <w:tc>
          <w:tcPr>
            <w:tcW w:w="0" w:type="auto"/>
          </w:tcPr>
          <w:p w:rsidR="00213934" w:rsidRPr="000F314A" w:rsidRDefault="00213934" w:rsidP="005A23C3">
            <w:pPr>
              <w:pStyle w:val="BodyText"/>
              <w:rPr>
                <w:sz w:val="20"/>
                <w:szCs w:val="20"/>
                <w:lang w:val="en-AU"/>
              </w:rPr>
            </w:pPr>
            <w:proofErr w:type="gramStart"/>
            <w:r w:rsidRPr="000F314A">
              <w:rPr>
                <w:sz w:val="20"/>
                <w:szCs w:val="20"/>
                <w:lang w:val="en-AU"/>
              </w:rPr>
              <w:t>means</w:t>
            </w:r>
            <w:proofErr w:type="gramEnd"/>
            <w:r w:rsidRPr="000F314A">
              <w:rPr>
                <w:sz w:val="20"/>
                <w:szCs w:val="20"/>
                <w:lang w:val="en-AU"/>
              </w:rPr>
              <w:t>, within an expenditure category, the total of projects and programmes that are not material projects and programmes.</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Allocator metric</w:t>
            </w:r>
          </w:p>
        </w:tc>
        <w:tc>
          <w:tcPr>
            <w:tcW w:w="0" w:type="auto"/>
          </w:tcPr>
          <w:p w:rsidR="00213934" w:rsidRPr="000F314A" w:rsidRDefault="00213934" w:rsidP="005A23C3">
            <w:pPr>
              <w:pStyle w:val="EquationsL2"/>
              <w:ind w:left="34" w:firstLine="0"/>
              <w:rPr>
                <w:rFonts w:cs="Arial"/>
                <w:sz w:val="20"/>
                <w:szCs w:val="20"/>
                <w:lang w:eastAsia="en-NZ"/>
              </w:rPr>
            </w:pPr>
            <w:r w:rsidRPr="000F314A">
              <w:rPr>
                <w:rFonts w:cs="Arial"/>
                <w:sz w:val="20"/>
                <w:szCs w:val="20"/>
                <w:lang w:eastAsia="en-NZ"/>
              </w:rPr>
              <w:t>has the meaning set out in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Allocator type</w:t>
            </w:r>
          </w:p>
        </w:tc>
        <w:tc>
          <w:tcPr>
            <w:tcW w:w="0" w:type="auto"/>
          </w:tcPr>
          <w:p w:rsidR="00213934" w:rsidRPr="000F314A" w:rsidRDefault="00213934" w:rsidP="005A23C3">
            <w:pPr>
              <w:pStyle w:val="EquationsL2"/>
              <w:ind w:left="34" w:firstLine="0"/>
              <w:rPr>
                <w:rFonts w:cs="Arial"/>
                <w:sz w:val="20"/>
                <w:szCs w:val="20"/>
                <w:lang w:eastAsia="en-NZ"/>
              </w:rPr>
            </w:pPr>
            <w:r w:rsidRPr="000F314A">
              <w:rPr>
                <w:rFonts w:cs="Arial"/>
                <w:sz w:val="20"/>
                <w:szCs w:val="20"/>
                <w:lang w:eastAsia="en-NZ"/>
              </w:rPr>
              <w:t>has the meaning set out in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 xml:space="preserve">Allowed controllable </w:t>
            </w:r>
            <w:proofErr w:type="spellStart"/>
            <w:r w:rsidRPr="000F314A">
              <w:rPr>
                <w:rFonts w:cs="Arial"/>
                <w:bCs/>
                <w:sz w:val="20"/>
                <w:szCs w:val="20"/>
                <w:lang w:eastAsia="en-NZ"/>
              </w:rPr>
              <w:t>opex</w:t>
            </w:r>
            <w:proofErr w:type="spellEnd"/>
          </w:p>
        </w:tc>
        <w:tc>
          <w:tcPr>
            <w:tcW w:w="0" w:type="auto"/>
          </w:tcPr>
          <w:p w:rsidR="00213934" w:rsidRPr="000F314A" w:rsidRDefault="00213934" w:rsidP="005A23C3">
            <w:pPr>
              <w:pStyle w:val="EquationsL2"/>
              <w:ind w:left="34" w:firstLine="0"/>
              <w:rPr>
                <w:rFonts w:cs="Arial"/>
                <w:sz w:val="20"/>
                <w:szCs w:val="20"/>
                <w:lang w:eastAsia="en-NZ"/>
              </w:rPr>
            </w:pPr>
            <w:r w:rsidRPr="000F314A">
              <w:rPr>
                <w:rFonts w:cs="Arial"/>
                <w:sz w:val="20"/>
                <w:szCs w:val="20"/>
                <w:lang w:eastAsia="en-NZ"/>
              </w:rPr>
              <w:t>has the meaning set out in the IM determination</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Alternative closing RIV</w:t>
            </w:r>
          </w:p>
        </w:tc>
        <w:tc>
          <w:tcPr>
            <w:tcW w:w="0" w:type="auto"/>
          </w:tcPr>
          <w:p w:rsidR="00213934" w:rsidRPr="000F314A" w:rsidRDefault="00213934" w:rsidP="005A23C3">
            <w:pPr>
              <w:rPr>
                <w:sz w:val="20"/>
                <w:szCs w:val="20"/>
              </w:rPr>
            </w:pPr>
            <w:r w:rsidRPr="000F314A">
              <w:rPr>
                <w:sz w:val="20"/>
                <w:szCs w:val="20"/>
              </w:rPr>
              <w:t>means total closing RAB value less adjustment resulting from cost allocation less lost and found assets adjustment plus revenue related working capital</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Alternative opening RIV</w:t>
            </w:r>
          </w:p>
        </w:tc>
        <w:tc>
          <w:tcPr>
            <w:tcW w:w="0" w:type="auto"/>
          </w:tcPr>
          <w:p w:rsidR="00213934" w:rsidRPr="000F314A" w:rsidRDefault="00213934" w:rsidP="005A23C3">
            <w:pPr>
              <w:rPr>
                <w:sz w:val="20"/>
                <w:szCs w:val="20"/>
              </w:rPr>
            </w:pPr>
            <w:r w:rsidRPr="000F314A">
              <w:rPr>
                <w:sz w:val="20"/>
                <w:szCs w:val="20"/>
              </w:rPr>
              <w:t xml:space="preserve">means the sum of total opening RAB value plus revenue related working capital </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Alternative ROI – comparable to a post-tax WACC</w:t>
            </w:r>
          </w:p>
        </w:tc>
        <w:tc>
          <w:tcPr>
            <w:tcW w:w="0" w:type="auto"/>
          </w:tcPr>
          <w:p w:rsidR="00213934" w:rsidRPr="000F314A" w:rsidRDefault="00213934" w:rsidP="005A23C3">
            <w:pPr>
              <w:rPr>
                <w:sz w:val="20"/>
                <w:szCs w:val="20"/>
              </w:rPr>
            </w:pPr>
            <w:r w:rsidRPr="000F314A">
              <w:rPr>
                <w:sz w:val="20"/>
                <w:szCs w:val="20"/>
              </w:rPr>
              <w:t xml:space="preserve">means the alternative </w:t>
            </w:r>
            <w:r w:rsidRPr="000F314A">
              <w:rPr>
                <w:bCs/>
                <w:sz w:val="20"/>
                <w:szCs w:val="20"/>
              </w:rPr>
              <w:t>ROI comparable to the vanilla WACC</w:t>
            </w:r>
            <w:r w:rsidRPr="000F314A">
              <w:rPr>
                <w:sz w:val="20"/>
                <w:szCs w:val="20"/>
              </w:rPr>
              <w:t xml:space="preserve"> less the product of the </w:t>
            </w:r>
            <w:r w:rsidRPr="000F314A">
              <w:rPr>
                <w:bCs/>
                <w:sz w:val="20"/>
                <w:szCs w:val="20"/>
              </w:rPr>
              <w:t>cost of debt (%), the leverage</w:t>
            </w:r>
            <w:r w:rsidRPr="000F314A">
              <w:rPr>
                <w:sz w:val="20"/>
                <w:szCs w:val="20"/>
              </w:rPr>
              <w:t xml:space="preserve"> and the </w:t>
            </w:r>
            <w:r w:rsidRPr="000F314A">
              <w:rPr>
                <w:bCs/>
                <w:sz w:val="20"/>
                <w:szCs w:val="20"/>
              </w:rPr>
              <w:t>corporate tax rate</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Alternative ROI – comparable to a vanilla WACC</w:t>
            </w:r>
          </w:p>
        </w:tc>
        <w:tc>
          <w:tcPr>
            <w:tcW w:w="0" w:type="auto"/>
          </w:tcPr>
          <w:p w:rsidR="00213934" w:rsidRPr="000F314A" w:rsidRDefault="00213934" w:rsidP="005A23C3">
            <w:pPr>
              <w:spacing w:line="264" w:lineRule="auto"/>
              <w:rPr>
                <w:sz w:val="20"/>
                <w:szCs w:val="20"/>
              </w:rPr>
            </w:pPr>
            <w:r w:rsidRPr="000F314A">
              <w:rPr>
                <w:sz w:val="20"/>
                <w:szCs w:val="20"/>
              </w:rPr>
              <w:t>means:</w:t>
            </w:r>
          </w:p>
          <w:p w:rsidR="00213934" w:rsidRPr="000F314A" w:rsidRDefault="00213934" w:rsidP="005A23C3">
            <w:pPr>
              <w:spacing w:line="264" w:lineRule="auto"/>
              <w:rPr>
                <w:i/>
                <w:sz w:val="20"/>
                <w:szCs w:val="20"/>
              </w:rPr>
            </w:pPr>
            <w:r w:rsidRPr="000F314A">
              <w:rPr>
                <w:sz w:val="20"/>
                <w:szCs w:val="20"/>
              </w:rPr>
              <w:tab/>
            </w:r>
            <w:r w:rsidRPr="000F314A">
              <w:rPr>
                <w:i/>
                <w:sz w:val="20"/>
                <w:szCs w:val="20"/>
              </w:rPr>
              <w:t>q = (1 + monthly IRR)</w:t>
            </w:r>
            <w:r w:rsidRPr="000F314A">
              <w:rPr>
                <w:i/>
                <w:sz w:val="20"/>
                <w:szCs w:val="20"/>
                <w:vertAlign w:val="superscript"/>
              </w:rPr>
              <w:t>12</w:t>
            </w:r>
            <w:r w:rsidRPr="000F314A">
              <w:rPr>
                <w:i/>
                <w:sz w:val="20"/>
                <w:szCs w:val="20"/>
              </w:rPr>
              <w:t xml:space="preserve"> – 1</w:t>
            </w:r>
          </w:p>
          <w:p w:rsidR="00213934" w:rsidRPr="000F314A" w:rsidRDefault="00213934" w:rsidP="005A23C3">
            <w:pPr>
              <w:spacing w:line="264" w:lineRule="auto"/>
              <w:ind w:left="459"/>
              <w:rPr>
                <w:sz w:val="20"/>
                <w:szCs w:val="20"/>
              </w:rPr>
            </w:pPr>
          </w:p>
          <w:p w:rsidR="00213934" w:rsidRPr="000F314A" w:rsidRDefault="00213934" w:rsidP="005A23C3">
            <w:pPr>
              <w:spacing w:line="264" w:lineRule="auto"/>
              <w:ind w:left="34"/>
              <w:rPr>
                <w:sz w:val="20"/>
                <w:szCs w:val="20"/>
              </w:rPr>
            </w:pPr>
            <w:r w:rsidRPr="000F314A">
              <w:rPr>
                <w:sz w:val="20"/>
                <w:szCs w:val="20"/>
              </w:rPr>
              <w:t>where:</w:t>
            </w:r>
          </w:p>
          <w:p w:rsidR="00213934" w:rsidRPr="000F314A" w:rsidRDefault="00213934" w:rsidP="005A23C3">
            <w:pPr>
              <w:spacing w:line="264" w:lineRule="auto"/>
              <w:ind w:left="34"/>
              <w:rPr>
                <w:sz w:val="20"/>
                <w:szCs w:val="20"/>
              </w:rPr>
            </w:pPr>
            <w:r w:rsidRPr="000F314A">
              <w:rPr>
                <w:i/>
                <w:sz w:val="20"/>
                <w:szCs w:val="20"/>
              </w:rPr>
              <w:t>monthly IRR</w:t>
            </w:r>
            <w:r w:rsidRPr="000F314A">
              <w:rPr>
                <w:sz w:val="20"/>
                <w:szCs w:val="20"/>
              </w:rPr>
              <w:t xml:space="preserve"> = IRR (13 monthly amounts)</w:t>
            </w:r>
          </w:p>
          <w:p w:rsidR="00213934" w:rsidRPr="000F314A" w:rsidRDefault="00213934" w:rsidP="005A23C3">
            <w:pPr>
              <w:spacing w:line="264" w:lineRule="auto"/>
              <w:ind w:left="34"/>
              <w:rPr>
                <w:sz w:val="20"/>
                <w:szCs w:val="20"/>
              </w:rPr>
            </w:pPr>
          </w:p>
          <w:p w:rsidR="00213934" w:rsidRPr="000F314A" w:rsidRDefault="00213934" w:rsidP="005A23C3">
            <w:pPr>
              <w:spacing w:line="264" w:lineRule="auto"/>
              <w:ind w:left="34"/>
              <w:rPr>
                <w:sz w:val="20"/>
                <w:szCs w:val="20"/>
              </w:rPr>
            </w:pPr>
            <w:r w:rsidRPr="000F314A">
              <w:rPr>
                <w:sz w:val="20"/>
                <w:szCs w:val="20"/>
              </w:rPr>
              <w:t>where the 13 monthly amounts are:</w:t>
            </w:r>
          </w:p>
          <w:p w:rsidR="00213934" w:rsidRPr="000F314A" w:rsidRDefault="00213934" w:rsidP="005A23C3">
            <w:pPr>
              <w:pStyle w:val="Tablebullet"/>
              <w:tabs>
                <w:tab w:val="clear" w:pos="284"/>
                <w:tab w:val="num" w:pos="317"/>
              </w:tabs>
              <w:spacing w:after="0" w:line="264" w:lineRule="auto"/>
              <w:ind w:left="317" w:hanging="283"/>
              <w:rPr>
                <w:sz w:val="20"/>
                <w:szCs w:val="20"/>
              </w:rPr>
            </w:pPr>
            <w:r w:rsidRPr="000F314A">
              <w:rPr>
                <w:sz w:val="20"/>
                <w:szCs w:val="20"/>
              </w:rPr>
              <w:t xml:space="preserve">the negative of alternative </w:t>
            </w:r>
            <w:r w:rsidRPr="000F314A">
              <w:rPr>
                <w:bCs/>
                <w:sz w:val="20"/>
                <w:szCs w:val="20"/>
              </w:rPr>
              <w:t>opening RIV</w:t>
            </w:r>
          </w:p>
          <w:p w:rsidR="00213934" w:rsidRPr="000F314A" w:rsidRDefault="00213934" w:rsidP="005A23C3">
            <w:pPr>
              <w:pStyle w:val="Tablebullet"/>
              <w:tabs>
                <w:tab w:val="clear" w:pos="284"/>
                <w:tab w:val="num" w:pos="317"/>
              </w:tabs>
              <w:spacing w:after="0" w:line="264" w:lineRule="auto"/>
              <w:ind w:left="317" w:hanging="283"/>
              <w:rPr>
                <w:sz w:val="20"/>
                <w:szCs w:val="20"/>
              </w:rPr>
            </w:pPr>
            <w:r w:rsidRPr="000F314A">
              <w:rPr>
                <w:sz w:val="20"/>
                <w:szCs w:val="20"/>
              </w:rPr>
              <w:t xml:space="preserve">the 11 end-of-month </w:t>
            </w:r>
            <w:r w:rsidRPr="000F314A">
              <w:rPr>
                <w:bCs/>
                <w:sz w:val="20"/>
                <w:szCs w:val="20"/>
              </w:rPr>
              <w:t>notional net cash flows</w:t>
            </w:r>
            <w:r w:rsidRPr="000F314A">
              <w:rPr>
                <w:sz w:val="20"/>
                <w:szCs w:val="20"/>
              </w:rPr>
              <w:t xml:space="preserve"> for October to August of the assessment period </w:t>
            </w:r>
          </w:p>
          <w:p w:rsidR="00213934" w:rsidRPr="000F314A" w:rsidRDefault="00213934" w:rsidP="005A23C3">
            <w:pPr>
              <w:pStyle w:val="Tablebullet"/>
              <w:tabs>
                <w:tab w:val="clear" w:pos="284"/>
                <w:tab w:val="num" w:pos="317"/>
              </w:tabs>
              <w:spacing w:after="0" w:line="264" w:lineRule="auto"/>
              <w:ind w:left="317" w:hanging="283"/>
              <w:rPr>
                <w:sz w:val="20"/>
                <w:szCs w:val="20"/>
              </w:rPr>
            </w:pPr>
            <w:r w:rsidRPr="000F314A">
              <w:rPr>
                <w:sz w:val="20"/>
                <w:szCs w:val="20"/>
              </w:rPr>
              <w:t xml:space="preserve">notional net cash flows for September for the assessment period plus alternative </w:t>
            </w:r>
            <w:r w:rsidRPr="000F314A">
              <w:rPr>
                <w:bCs/>
                <w:sz w:val="20"/>
                <w:szCs w:val="20"/>
              </w:rPr>
              <w:t xml:space="preserve">closing RIV </w:t>
            </w:r>
            <w:r w:rsidRPr="000F314A">
              <w:rPr>
                <w:sz w:val="20"/>
                <w:szCs w:val="20"/>
              </w:rPr>
              <w:t xml:space="preserve">less </w:t>
            </w:r>
            <w:r w:rsidRPr="000F314A">
              <w:rPr>
                <w:bCs/>
                <w:sz w:val="20"/>
                <w:szCs w:val="20"/>
              </w:rPr>
              <w:t>term credit spread differential allowance</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Arm’s-length deduction</w:t>
            </w:r>
          </w:p>
        </w:tc>
        <w:tc>
          <w:tcPr>
            <w:tcW w:w="0" w:type="auto"/>
          </w:tcPr>
          <w:p w:rsidR="00213934" w:rsidRPr="000F314A" w:rsidRDefault="00213934" w:rsidP="005A23C3">
            <w:pPr>
              <w:pStyle w:val="EquationsL2"/>
              <w:ind w:left="34" w:firstLine="0"/>
              <w:rPr>
                <w:rFonts w:cs="Arial"/>
                <w:sz w:val="20"/>
                <w:szCs w:val="20"/>
                <w:lang w:eastAsia="en-NZ"/>
              </w:rPr>
            </w:pPr>
            <w:r w:rsidRPr="000F314A">
              <w:rPr>
                <w:rFonts w:cs="Arial"/>
                <w:sz w:val="20"/>
                <w:szCs w:val="20"/>
                <w:lang w:eastAsia="en-NZ"/>
              </w:rPr>
              <w:t>has the meaning set out in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Asset age</w:t>
            </w:r>
          </w:p>
        </w:tc>
        <w:tc>
          <w:tcPr>
            <w:tcW w:w="0" w:type="auto"/>
          </w:tcPr>
          <w:p w:rsidR="00213934" w:rsidRPr="000F314A" w:rsidRDefault="00213934" w:rsidP="005A23C3">
            <w:pPr>
              <w:pStyle w:val="ListParagraph"/>
              <w:ind w:left="34"/>
              <w:rPr>
                <w:rFonts w:cs="Arial"/>
                <w:sz w:val="20"/>
                <w:szCs w:val="20"/>
                <w:lang w:eastAsia="en-NZ"/>
              </w:rPr>
            </w:pPr>
            <w:proofErr w:type="gramStart"/>
            <w:r w:rsidRPr="000F314A">
              <w:rPr>
                <w:rFonts w:cs="Arial"/>
                <w:sz w:val="20"/>
                <w:szCs w:val="20"/>
                <w:lang w:eastAsia="en-NZ"/>
              </w:rPr>
              <w:t>means</w:t>
            </w:r>
            <w:proofErr w:type="gramEnd"/>
            <w:r w:rsidRPr="000F314A">
              <w:rPr>
                <w:rFonts w:cs="Arial"/>
                <w:sz w:val="20"/>
                <w:szCs w:val="20"/>
                <w:lang w:eastAsia="en-NZ"/>
              </w:rPr>
              <w:t>, in relation to the asset age disclosure requirements in Schedule 16, the number of assets at the end of the most recent disclosure year excluding stores and spares, categorised by asset class and the disclosure year in which the asset was originally commissioned on the network</w:t>
            </w:r>
            <w:r w:rsidR="009C2C2C" w:rsidRPr="000F314A">
              <w:rPr>
                <w:rFonts w:cs="Arial"/>
                <w:sz w:val="20"/>
                <w:szCs w:val="20"/>
                <w:lang w:eastAsia="en-NZ"/>
              </w:rPr>
              <w:t xml:space="preserve">. </w:t>
            </w:r>
            <w:r w:rsidRPr="000F314A">
              <w:rPr>
                <w:rFonts w:cs="Arial"/>
                <w:sz w:val="20"/>
                <w:szCs w:val="20"/>
                <w:lang w:eastAsia="en-NZ"/>
              </w:rPr>
              <w:t xml:space="preserve">If the original year in which the asset was commissioned is not known, then </w:t>
            </w:r>
          </w:p>
          <w:p w:rsidR="00213934" w:rsidRPr="000F314A" w:rsidRDefault="00213934" w:rsidP="005A23C3">
            <w:pPr>
              <w:pStyle w:val="Tablebullet"/>
              <w:tabs>
                <w:tab w:val="clear" w:pos="284"/>
                <w:tab w:val="num" w:pos="317"/>
              </w:tabs>
              <w:spacing w:after="0" w:line="264" w:lineRule="auto"/>
              <w:ind w:left="317" w:hanging="283"/>
              <w:rPr>
                <w:sz w:val="20"/>
                <w:szCs w:val="20"/>
              </w:rPr>
            </w:pPr>
            <w:r w:rsidRPr="000F314A">
              <w:rPr>
                <w:sz w:val="20"/>
                <w:szCs w:val="20"/>
              </w:rPr>
              <w:t>the commissioning year categorisation may be made using-</w:t>
            </w:r>
          </w:p>
          <w:p w:rsidR="00213934" w:rsidRPr="000F314A" w:rsidRDefault="00213934" w:rsidP="00213934">
            <w:pPr>
              <w:pStyle w:val="Tablebullet"/>
              <w:numPr>
                <w:ilvl w:val="0"/>
                <w:numId w:val="71"/>
              </w:numPr>
              <w:tabs>
                <w:tab w:val="clear" w:pos="284"/>
                <w:tab w:val="num" w:pos="601"/>
              </w:tabs>
              <w:spacing w:after="0" w:line="264" w:lineRule="auto"/>
              <w:ind w:left="601"/>
              <w:rPr>
                <w:sz w:val="20"/>
                <w:szCs w:val="20"/>
                <w:lang w:eastAsia="en-NZ"/>
              </w:rPr>
            </w:pPr>
            <w:r w:rsidRPr="000F314A">
              <w:rPr>
                <w:sz w:val="20"/>
                <w:szCs w:val="20"/>
              </w:rPr>
              <w:t>an estimated commissioning date (the use of estimates should be reflected in the data accuracy rating disclosed in the column ‘data accuracy’)</w:t>
            </w:r>
          </w:p>
          <w:p w:rsidR="00213934" w:rsidRPr="000F314A" w:rsidRDefault="00213934" w:rsidP="00213934">
            <w:pPr>
              <w:pStyle w:val="Tablebullet"/>
              <w:numPr>
                <w:ilvl w:val="0"/>
                <w:numId w:val="71"/>
              </w:numPr>
              <w:tabs>
                <w:tab w:val="clear" w:pos="284"/>
                <w:tab w:val="num" w:pos="601"/>
              </w:tabs>
              <w:spacing w:after="0" w:line="264" w:lineRule="auto"/>
              <w:ind w:left="601"/>
              <w:rPr>
                <w:sz w:val="20"/>
                <w:szCs w:val="20"/>
                <w:lang w:eastAsia="en-NZ"/>
              </w:rPr>
            </w:pPr>
            <w:r w:rsidRPr="000F314A">
              <w:rPr>
                <w:sz w:val="20"/>
                <w:szCs w:val="20"/>
              </w:rPr>
              <w:t>a default date (the number of assets for which default dates are used is to be disclosed in the column “No. with default dates”)</w:t>
            </w:r>
          </w:p>
          <w:p w:rsidR="00213934" w:rsidRPr="000F314A" w:rsidRDefault="00213934" w:rsidP="005A23C3">
            <w:pPr>
              <w:pStyle w:val="Tablebullet"/>
              <w:tabs>
                <w:tab w:val="clear" w:pos="284"/>
                <w:tab w:val="num" w:pos="317"/>
              </w:tabs>
              <w:spacing w:after="0" w:line="264" w:lineRule="auto"/>
              <w:ind w:left="317" w:hanging="283"/>
              <w:rPr>
                <w:sz w:val="20"/>
                <w:szCs w:val="20"/>
                <w:lang w:eastAsia="en-NZ"/>
              </w:rPr>
            </w:pPr>
            <w:r w:rsidRPr="000F314A">
              <w:rPr>
                <w:sz w:val="20"/>
                <w:szCs w:val="20"/>
                <w:lang w:eastAsia="en-NZ"/>
              </w:rPr>
              <w:t>the asset is not categorised by commissioning date (the number of assets not categorised by commissioning date is entered in the “No. with age unknown” column)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Asset category transfers</w:t>
            </w:r>
          </w:p>
        </w:tc>
        <w:tc>
          <w:tcPr>
            <w:tcW w:w="0" w:type="auto"/>
          </w:tcPr>
          <w:p w:rsidR="00213934" w:rsidRPr="000F314A" w:rsidRDefault="00213934" w:rsidP="005A23C3">
            <w:pPr>
              <w:pStyle w:val="ListParagraph"/>
              <w:spacing w:line="264" w:lineRule="auto"/>
              <w:ind w:left="34"/>
              <w:rPr>
                <w:rFonts w:cs="Arial"/>
                <w:sz w:val="20"/>
                <w:szCs w:val="20"/>
                <w:lang w:eastAsia="en-NZ"/>
              </w:rPr>
            </w:pPr>
            <w:r w:rsidRPr="000F314A">
              <w:rPr>
                <w:rFonts w:cs="Arial"/>
                <w:sz w:val="20"/>
                <w:szCs w:val="20"/>
                <w:lang w:eastAsia="en-NZ"/>
              </w:rPr>
              <w:t>means the value of an asset transferred between asset categories</w:t>
            </w:r>
          </w:p>
        </w:tc>
      </w:tr>
      <w:tr w:rsidR="00213934" w:rsidRPr="000F314A" w:rsidTr="00EA01E1">
        <w:trPr>
          <w:cantSplit/>
          <w:trHeight w:val="20"/>
        </w:trPr>
        <w:tc>
          <w:tcPr>
            <w:tcW w:w="0" w:type="auto"/>
          </w:tcPr>
          <w:p w:rsidR="00213934" w:rsidRPr="000F314A" w:rsidRDefault="00213934" w:rsidP="005A23C3">
            <w:pPr>
              <w:rPr>
                <w:color w:val="000000" w:themeColor="text1"/>
                <w:sz w:val="20"/>
                <w:szCs w:val="20"/>
              </w:rPr>
            </w:pPr>
            <w:r w:rsidRPr="000F314A">
              <w:rPr>
                <w:color w:val="000000" w:themeColor="text1"/>
                <w:sz w:val="20"/>
                <w:szCs w:val="20"/>
              </w:rPr>
              <w:t>Asset Condition at end of year (percentage by grade)</w:t>
            </w:r>
          </w:p>
        </w:tc>
        <w:tc>
          <w:tcPr>
            <w:tcW w:w="0" w:type="auto"/>
          </w:tcPr>
          <w:p w:rsidR="00213934" w:rsidRPr="000F314A" w:rsidRDefault="00213934" w:rsidP="005A23C3">
            <w:pPr>
              <w:pStyle w:val="BodyText"/>
              <w:rPr>
                <w:sz w:val="20"/>
                <w:szCs w:val="20"/>
              </w:rPr>
            </w:pPr>
            <w:r w:rsidRPr="000F314A">
              <w:rPr>
                <w:sz w:val="20"/>
                <w:szCs w:val="20"/>
              </w:rPr>
              <w:t xml:space="preserve">Proportion of each asset class assessed against the asset condition categories (grade 1 to 4), reflecting the likelihood of short, </w:t>
            </w:r>
            <w:proofErr w:type="gramStart"/>
            <w:r w:rsidRPr="000F314A">
              <w:rPr>
                <w:sz w:val="20"/>
                <w:szCs w:val="20"/>
              </w:rPr>
              <w:t>medium</w:t>
            </w:r>
            <w:proofErr w:type="gramEnd"/>
            <w:r w:rsidRPr="000F314A">
              <w:rPr>
                <w:sz w:val="20"/>
                <w:szCs w:val="20"/>
              </w:rPr>
              <w:t xml:space="preserve"> or longer term intervention</w:t>
            </w:r>
            <w:r w:rsidR="009C2C2C" w:rsidRPr="000F314A">
              <w:rPr>
                <w:sz w:val="20"/>
                <w:szCs w:val="20"/>
              </w:rPr>
              <w:t xml:space="preserve">. </w:t>
            </w:r>
            <w:r w:rsidRPr="000F314A">
              <w:rPr>
                <w:sz w:val="20"/>
                <w:szCs w:val="20"/>
              </w:rPr>
              <w:t>Suppliers are able to apply their own criteria for intervention when populating the table.</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Asset disposals</w:t>
            </w:r>
          </w:p>
        </w:tc>
        <w:tc>
          <w:tcPr>
            <w:tcW w:w="0" w:type="auto"/>
          </w:tcPr>
          <w:p w:rsidR="00213934" w:rsidRPr="000F314A" w:rsidRDefault="00213934" w:rsidP="005A23C3">
            <w:pPr>
              <w:pStyle w:val="ListParagraph"/>
              <w:ind w:left="459" w:hanging="425"/>
              <w:rPr>
                <w:rFonts w:cs="Arial"/>
                <w:sz w:val="20"/>
                <w:szCs w:val="20"/>
                <w:lang w:eastAsia="en-NZ"/>
              </w:rPr>
            </w:pPr>
            <w:r w:rsidRPr="000F314A">
              <w:rPr>
                <w:rFonts w:cs="Arial"/>
                <w:sz w:val="20"/>
                <w:szCs w:val="20"/>
                <w:lang w:eastAsia="en-NZ"/>
              </w:rPr>
              <w:t>means:</w:t>
            </w:r>
          </w:p>
          <w:p w:rsidR="00213934" w:rsidRPr="000F314A" w:rsidRDefault="00213934" w:rsidP="00213934">
            <w:pPr>
              <w:pStyle w:val="ListParagraph"/>
              <w:numPr>
                <w:ilvl w:val="0"/>
                <w:numId w:val="72"/>
              </w:numPr>
              <w:ind w:left="459" w:hanging="425"/>
              <w:rPr>
                <w:rFonts w:cs="Arial"/>
                <w:sz w:val="20"/>
                <w:szCs w:val="20"/>
                <w:lang w:eastAsia="en-NZ"/>
              </w:rPr>
            </w:pPr>
            <w:r w:rsidRPr="000F314A">
              <w:rPr>
                <w:rFonts w:cs="Arial"/>
                <w:sz w:val="20"/>
                <w:szCs w:val="20"/>
                <w:lang w:eastAsia="en-NZ"/>
              </w:rPr>
              <w:t xml:space="preserve">in relation to the </w:t>
            </w:r>
            <w:r w:rsidRPr="000F314A">
              <w:rPr>
                <w:rFonts w:cs="Arial"/>
                <w:bCs/>
                <w:sz w:val="20"/>
                <w:szCs w:val="20"/>
                <w:lang w:eastAsia="en-NZ"/>
              </w:rPr>
              <w:t>unallocated RAB</w:t>
            </w:r>
            <w:r w:rsidRPr="000F314A">
              <w:rPr>
                <w:rFonts w:cs="Arial"/>
                <w:sz w:val="20"/>
                <w:szCs w:val="20"/>
                <w:lang w:eastAsia="en-NZ"/>
              </w:rPr>
              <w:t xml:space="preserve">, the sum of unallocated opening RAB values less regulatory depreciation of </w:t>
            </w:r>
            <w:r w:rsidRPr="000F314A">
              <w:rPr>
                <w:rFonts w:cs="Arial"/>
                <w:bCs/>
                <w:sz w:val="20"/>
                <w:szCs w:val="20"/>
                <w:lang w:eastAsia="en-NZ"/>
              </w:rPr>
              <w:t xml:space="preserve">disposed assets, </w:t>
            </w:r>
            <w:r w:rsidRPr="000F314A">
              <w:rPr>
                <w:rFonts w:cs="Arial"/>
                <w:sz w:val="20"/>
                <w:szCs w:val="20"/>
                <w:lang w:eastAsia="en-NZ"/>
              </w:rPr>
              <w:t xml:space="preserve">as determined in accordance with the input methodologies identified as applicable to that asset in the </w:t>
            </w:r>
            <w:r w:rsidRPr="000F314A">
              <w:rPr>
                <w:rFonts w:cs="Arial"/>
                <w:bCs/>
                <w:sz w:val="20"/>
                <w:szCs w:val="20"/>
                <w:lang w:eastAsia="en-NZ"/>
              </w:rPr>
              <w:t>IM determination</w:t>
            </w:r>
            <w:r w:rsidRPr="000F314A">
              <w:rPr>
                <w:rFonts w:cs="Arial"/>
                <w:sz w:val="20"/>
                <w:szCs w:val="20"/>
                <w:lang w:eastAsia="en-NZ"/>
              </w:rPr>
              <w:t>;</w:t>
            </w:r>
          </w:p>
          <w:p w:rsidR="00213934" w:rsidRPr="000F314A" w:rsidRDefault="00213934" w:rsidP="00213934">
            <w:pPr>
              <w:pStyle w:val="ListParagraph"/>
              <w:numPr>
                <w:ilvl w:val="0"/>
                <w:numId w:val="72"/>
              </w:numPr>
              <w:ind w:left="459" w:hanging="425"/>
              <w:rPr>
                <w:rFonts w:cs="Arial"/>
                <w:sz w:val="20"/>
                <w:szCs w:val="20"/>
                <w:lang w:eastAsia="en-NZ"/>
              </w:rPr>
            </w:pPr>
            <w:r w:rsidRPr="000F314A">
              <w:rPr>
                <w:rFonts w:cs="Arial"/>
                <w:sz w:val="20"/>
                <w:szCs w:val="20"/>
                <w:lang w:eastAsia="en-NZ"/>
              </w:rPr>
              <w:t xml:space="preserve">in relation to the RAB, the value (as determined in accordance with paragraph (a)) which was allocated to gas transmission services in accordance with clause 2.1.1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Asset disposals (other)</w:t>
            </w:r>
          </w:p>
        </w:tc>
        <w:tc>
          <w:tcPr>
            <w:tcW w:w="0" w:type="auto"/>
          </w:tcPr>
          <w:p w:rsidR="00213934" w:rsidRPr="000F314A" w:rsidRDefault="00213934" w:rsidP="005A23C3">
            <w:pPr>
              <w:pStyle w:val="ListParagraph"/>
              <w:spacing w:line="264" w:lineRule="auto"/>
              <w:ind w:left="34"/>
              <w:rPr>
                <w:rFonts w:cs="Arial"/>
                <w:sz w:val="20"/>
                <w:szCs w:val="20"/>
                <w:lang w:eastAsia="en-NZ"/>
              </w:rPr>
            </w:pPr>
            <w:r w:rsidRPr="000F314A">
              <w:rPr>
                <w:rFonts w:cs="Arial"/>
                <w:sz w:val="20"/>
                <w:szCs w:val="20"/>
                <w:lang w:eastAsia="en-NZ"/>
              </w:rPr>
              <w:t>means asset disposals other than asset disposals to a regulated supplier and asset disposals to a related party</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Asset disposals to a regulated supplier</w:t>
            </w:r>
          </w:p>
        </w:tc>
        <w:tc>
          <w:tcPr>
            <w:tcW w:w="0" w:type="auto"/>
          </w:tcPr>
          <w:p w:rsidR="00213934" w:rsidRPr="000F314A" w:rsidRDefault="00213934" w:rsidP="005A23C3">
            <w:pPr>
              <w:pStyle w:val="ListParagraph"/>
              <w:spacing w:line="264" w:lineRule="auto"/>
              <w:ind w:left="34"/>
              <w:rPr>
                <w:rFonts w:cs="Arial"/>
                <w:sz w:val="20"/>
                <w:szCs w:val="20"/>
                <w:lang w:eastAsia="en-NZ"/>
              </w:rPr>
            </w:pPr>
            <w:r w:rsidRPr="000F314A">
              <w:rPr>
                <w:rFonts w:cs="Arial"/>
                <w:sz w:val="20"/>
                <w:szCs w:val="20"/>
                <w:lang w:eastAsia="en-NZ"/>
              </w:rPr>
              <w:t>means asset disposals disposed of to a regulated supplier</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Asset disposals to a related party</w:t>
            </w:r>
          </w:p>
        </w:tc>
        <w:tc>
          <w:tcPr>
            <w:tcW w:w="0" w:type="auto"/>
          </w:tcPr>
          <w:p w:rsidR="00213934" w:rsidRPr="000F314A" w:rsidRDefault="00213934" w:rsidP="005A23C3">
            <w:pPr>
              <w:pStyle w:val="ListParagraph"/>
              <w:spacing w:line="264" w:lineRule="auto"/>
              <w:ind w:left="34"/>
              <w:rPr>
                <w:rFonts w:cs="Arial"/>
                <w:sz w:val="20"/>
                <w:szCs w:val="20"/>
                <w:lang w:eastAsia="en-NZ"/>
              </w:rPr>
            </w:pPr>
            <w:r w:rsidRPr="000F314A">
              <w:rPr>
                <w:rFonts w:cs="Arial"/>
                <w:sz w:val="20"/>
                <w:szCs w:val="20"/>
                <w:lang w:eastAsia="en-NZ"/>
              </w:rPr>
              <w:t xml:space="preserve">means asset disposals disposed of to a </w:t>
            </w:r>
            <w:r w:rsidRPr="000F314A">
              <w:rPr>
                <w:rFonts w:cs="Arial"/>
                <w:bCs/>
                <w:sz w:val="20"/>
                <w:szCs w:val="20"/>
                <w:lang w:eastAsia="en-NZ"/>
              </w:rPr>
              <w:t>related party</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Asset or assets with non-standard depreciation</w:t>
            </w:r>
          </w:p>
        </w:tc>
        <w:tc>
          <w:tcPr>
            <w:tcW w:w="0" w:type="auto"/>
          </w:tcPr>
          <w:p w:rsidR="00213934" w:rsidRPr="000F314A" w:rsidRDefault="00213934" w:rsidP="005A23C3">
            <w:pPr>
              <w:pStyle w:val="ListParagraph"/>
              <w:spacing w:line="264" w:lineRule="auto"/>
              <w:ind w:left="34"/>
              <w:rPr>
                <w:rFonts w:cs="Arial"/>
                <w:sz w:val="20"/>
                <w:szCs w:val="20"/>
                <w:lang w:eastAsia="en-NZ"/>
              </w:rPr>
            </w:pPr>
            <w:r w:rsidRPr="000F314A">
              <w:rPr>
                <w:rFonts w:cs="Arial"/>
                <w:sz w:val="20"/>
                <w:szCs w:val="20"/>
                <w:lang w:eastAsia="en-NZ"/>
              </w:rPr>
              <w:t xml:space="preserve">means a description of assets or groups of assets where depreciation is not included in </w:t>
            </w:r>
            <w:r w:rsidRPr="000F314A">
              <w:rPr>
                <w:rFonts w:cs="Arial"/>
                <w:bCs/>
                <w:sz w:val="20"/>
                <w:szCs w:val="20"/>
                <w:lang w:eastAsia="en-NZ"/>
              </w:rPr>
              <w:t>Depreciation – standard</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Assets acquired from a regulated supplier</w:t>
            </w:r>
          </w:p>
        </w:tc>
        <w:tc>
          <w:tcPr>
            <w:tcW w:w="0" w:type="auto"/>
          </w:tcPr>
          <w:p w:rsidR="00213934" w:rsidRPr="000F314A" w:rsidRDefault="00213934" w:rsidP="005A23C3">
            <w:pPr>
              <w:pStyle w:val="ListParagraph"/>
              <w:spacing w:line="264" w:lineRule="auto"/>
              <w:ind w:left="34"/>
              <w:rPr>
                <w:rFonts w:cs="Arial"/>
                <w:sz w:val="20"/>
                <w:szCs w:val="20"/>
                <w:lang w:eastAsia="en-NZ"/>
              </w:rPr>
            </w:pPr>
            <w:r w:rsidRPr="000F314A">
              <w:rPr>
                <w:rFonts w:cs="Arial"/>
                <w:sz w:val="20"/>
                <w:szCs w:val="20"/>
                <w:lang w:eastAsia="en-NZ"/>
              </w:rPr>
              <w:t>means:</w:t>
            </w:r>
          </w:p>
          <w:p w:rsidR="00213934" w:rsidRPr="000F314A" w:rsidRDefault="00213934" w:rsidP="00213934">
            <w:pPr>
              <w:pStyle w:val="ListParagraph"/>
              <w:numPr>
                <w:ilvl w:val="0"/>
                <w:numId w:val="73"/>
              </w:numPr>
              <w:spacing w:line="264" w:lineRule="auto"/>
              <w:ind w:left="459" w:hanging="425"/>
              <w:rPr>
                <w:rFonts w:cs="Arial"/>
                <w:sz w:val="20"/>
                <w:szCs w:val="20"/>
                <w:lang w:eastAsia="en-NZ"/>
              </w:rPr>
            </w:pPr>
            <w:r w:rsidRPr="000F314A">
              <w:rPr>
                <w:rFonts w:cs="Arial"/>
                <w:sz w:val="20"/>
                <w:szCs w:val="20"/>
                <w:lang w:eastAsia="en-NZ"/>
              </w:rPr>
              <w:t xml:space="preserve">in relation to the </w:t>
            </w:r>
            <w:r w:rsidRPr="000F314A">
              <w:rPr>
                <w:rFonts w:cs="Arial"/>
                <w:bCs/>
                <w:sz w:val="20"/>
                <w:szCs w:val="20"/>
                <w:lang w:eastAsia="en-NZ"/>
              </w:rPr>
              <w:t>unallocated RAB</w:t>
            </w:r>
            <w:r w:rsidRPr="000F314A">
              <w:rPr>
                <w:rFonts w:cs="Arial"/>
                <w:sz w:val="20"/>
                <w:szCs w:val="20"/>
                <w:lang w:eastAsia="en-NZ"/>
              </w:rPr>
              <w:t>, the sum of value of assets acquired from another</w:t>
            </w:r>
            <w:r w:rsidRPr="000F314A">
              <w:rPr>
                <w:rFonts w:cs="Arial"/>
                <w:bCs/>
                <w:sz w:val="20"/>
                <w:szCs w:val="20"/>
                <w:lang w:eastAsia="en-NZ"/>
              </w:rPr>
              <w:t xml:space="preserve"> regulated supplier </w:t>
            </w:r>
            <w:r w:rsidRPr="000F314A">
              <w:rPr>
                <w:rFonts w:cs="Arial"/>
                <w:sz w:val="20"/>
                <w:szCs w:val="20"/>
                <w:lang w:eastAsia="en-NZ"/>
              </w:rPr>
              <w:t xml:space="preserve">as determined in accordance with clause 2.2.11(1)(e) of the </w:t>
            </w:r>
            <w:r w:rsidRPr="000F314A">
              <w:rPr>
                <w:rFonts w:cs="Arial"/>
                <w:bCs/>
                <w:sz w:val="20"/>
                <w:szCs w:val="20"/>
                <w:lang w:eastAsia="en-NZ"/>
              </w:rPr>
              <w:t>IM determination</w:t>
            </w:r>
            <w:r w:rsidRPr="000F314A">
              <w:rPr>
                <w:rFonts w:cs="Arial"/>
                <w:sz w:val="20"/>
                <w:szCs w:val="20"/>
                <w:lang w:eastAsia="en-NZ"/>
              </w:rPr>
              <w:t>;</w:t>
            </w:r>
          </w:p>
          <w:p w:rsidR="00213934" w:rsidRPr="000F314A" w:rsidRDefault="00213934" w:rsidP="00213934">
            <w:pPr>
              <w:pStyle w:val="ListParagraph"/>
              <w:numPr>
                <w:ilvl w:val="0"/>
                <w:numId w:val="73"/>
              </w:numPr>
              <w:spacing w:line="264" w:lineRule="auto"/>
              <w:ind w:left="459" w:hanging="425"/>
              <w:rPr>
                <w:rFonts w:cs="Arial"/>
                <w:sz w:val="20"/>
                <w:szCs w:val="20"/>
                <w:lang w:eastAsia="en-NZ"/>
              </w:rPr>
            </w:pPr>
            <w:r w:rsidRPr="000F314A">
              <w:rPr>
                <w:rFonts w:cs="Arial"/>
                <w:sz w:val="20"/>
                <w:szCs w:val="20"/>
                <w:lang w:eastAsia="en-NZ"/>
              </w:rPr>
              <w:t xml:space="preserve">in relation to the </w:t>
            </w:r>
            <w:r w:rsidRPr="000F314A">
              <w:rPr>
                <w:rFonts w:cs="Arial"/>
                <w:bCs/>
                <w:sz w:val="20"/>
                <w:szCs w:val="20"/>
                <w:lang w:eastAsia="en-NZ"/>
              </w:rPr>
              <w:t>RAB,</w:t>
            </w:r>
            <w:r w:rsidRPr="000F314A">
              <w:rPr>
                <w:rFonts w:cs="Arial"/>
                <w:sz w:val="20"/>
                <w:szCs w:val="20"/>
                <w:lang w:eastAsia="en-NZ"/>
              </w:rPr>
              <w:t xml:space="preserve"> the sum of value of the assets (as determined in accordance with paragraph (a)) which is allocated to the gas transmission services in accordance with clause 2.1.1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Associates</w:t>
            </w:r>
          </w:p>
        </w:tc>
        <w:tc>
          <w:tcPr>
            <w:tcW w:w="0" w:type="auto"/>
          </w:tcPr>
          <w:p w:rsidR="00213934" w:rsidRPr="000F314A" w:rsidRDefault="00213934" w:rsidP="005A23C3">
            <w:pPr>
              <w:pStyle w:val="EquationsL2"/>
              <w:spacing w:line="264" w:lineRule="auto"/>
              <w:ind w:left="0" w:firstLine="0"/>
              <w:rPr>
                <w:rFonts w:cs="Arial"/>
                <w:sz w:val="20"/>
                <w:szCs w:val="20"/>
                <w:lang w:eastAsia="en-NZ"/>
              </w:rPr>
            </w:pPr>
            <w:r w:rsidRPr="000F314A">
              <w:rPr>
                <w:rFonts w:cs="Arial"/>
                <w:sz w:val="20"/>
                <w:szCs w:val="20"/>
                <w:lang w:eastAsia="en-NZ"/>
              </w:rPr>
              <w:t xml:space="preserve">in relation to the definition of involved in, </w:t>
            </w:r>
            <w:r w:rsidRPr="000F314A">
              <w:rPr>
                <w:sz w:val="20"/>
                <w:szCs w:val="20"/>
              </w:rPr>
              <w:t xml:space="preserve">has the meaning set out in the </w:t>
            </w:r>
            <w:r w:rsidRPr="000F314A">
              <w:rPr>
                <w:rFonts w:cs="Arial"/>
                <w:sz w:val="20"/>
                <w:szCs w:val="20"/>
                <w:lang w:eastAsia="en-NZ"/>
              </w:rPr>
              <w:t>Electricity Industry Act 2010</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Attribution rate</w:t>
            </w:r>
          </w:p>
        </w:tc>
        <w:tc>
          <w:tcPr>
            <w:tcW w:w="0" w:type="auto"/>
          </w:tcPr>
          <w:p w:rsidR="00213934" w:rsidRPr="000F314A" w:rsidRDefault="00213934" w:rsidP="005A23C3">
            <w:pPr>
              <w:pStyle w:val="EquationsL2"/>
              <w:spacing w:line="264" w:lineRule="auto"/>
              <w:ind w:left="567"/>
              <w:rPr>
                <w:sz w:val="20"/>
                <w:szCs w:val="20"/>
              </w:rPr>
            </w:pPr>
            <w:r w:rsidRPr="000F314A">
              <w:rPr>
                <w:rFonts w:cs="Arial"/>
                <w:sz w:val="20"/>
                <w:szCs w:val="20"/>
                <w:lang w:eastAsia="en-NZ"/>
              </w:rPr>
              <w:t>means:</w:t>
            </w:r>
            <w:r w:rsidRPr="000F314A">
              <w:rPr>
                <w:rFonts w:cs="Arial"/>
                <w:sz w:val="20"/>
                <w:szCs w:val="20"/>
                <w:lang w:eastAsia="en-NZ"/>
              </w:rPr>
              <w:br/>
            </w:r>
            <w:r w:rsidRPr="000F314A">
              <w:rPr>
                <w:position w:val="-10"/>
                <w:sz w:val="20"/>
                <w:szCs w:val="20"/>
              </w:rPr>
              <w:object w:dxaOrig="200" w:dyaOrig="240">
                <v:shape id="_x0000_i1043" type="#_x0000_t75" style="width:10.9pt;height:13.1pt" o:ole="">
                  <v:imagedata r:id="rId104" o:title=""/>
                </v:shape>
                <o:OLEObject Type="Embed" ProgID="Equation.3" ShapeID="_x0000_i1043" DrawAspect="Content" ObjectID="_1403043261" r:id="rId105"/>
              </w:object>
            </w:r>
            <w:r w:rsidRPr="000F314A">
              <w:rPr>
                <w:sz w:val="20"/>
                <w:szCs w:val="20"/>
              </w:rPr>
              <w:tab/>
              <w:t>=</w:t>
            </w:r>
            <w:r w:rsidRPr="000F314A">
              <w:rPr>
                <w:sz w:val="20"/>
                <w:szCs w:val="20"/>
              </w:rPr>
              <w:tab/>
            </w:r>
            <w:r w:rsidRPr="000F314A">
              <w:rPr>
                <w:position w:val="-22"/>
                <w:sz w:val="20"/>
                <w:szCs w:val="20"/>
              </w:rPr>
              <w:object w:dxaOrig="520" w:dyaOrig="580">
                <v:shape id="_x0000_i1044" type="#_x0000_t75" style="width:27.25pt;height:29.45pt" o:ole="">
                  <v:imagedata r:id="rId106" o:title=""/>
                </v:shape>
                <o:OLEObject Type="Embed" ProgID="Equation.3" ShapeID="_x0000_i1044" DrawAspect="Content" ObjectID="_1403043262" r:id="rId107"/>
              </w:object>
            </w:r>
          </w:p>
          <w:p w:rsidR="00213934" w:rsidRPr="000F314A" w:rsidRDefault="00213934" w:rsidP="005A23C3">
            <w:pPr>
              <w:tabs>
                <w:tab w:val="left" w:pos="4045"/>
              </w:tabs>
              <w:spacing w:line="264" w:lineRule="auto"/>
              <w:ind w:left="108"/>
              <w:rPr>
                <w:rFonts w:cs="Arial"/>
                <w:sz w:val="20"/>
                <w:szCs w:val="20"/>
                <w:lang w:eastAsia="en-NZ"/>
              </w:rPr>
            </w:pPr>
            <w:r w:rsidRPr="000F314A">
              <w:rPr>
                <w:rFonts w:cs="Arial"/>
                <w:sz w:val="20"/>
                <w:szCs w:val="20"/>
                <w:lang w:eastAsia="en-NZ"/>
              </w:rPr>
              <w:t>where:</w:t>
            </w:r>
            <w:r w:rsidRPr="000F314A">
              <w:rPr>
                <w:rFonts w:cs="Arial"/>
                <w:sz w:val="20"/>
                <w:szCs w:val="20"/>
                <w:lang w:eastAsia="en-NZ"/>
              </w:rPr>
              <w:br/>
            </w:r>
            <w:r w:rsidRPr="000F314A">
              <w:rPr>
                <w:position w:val="-6"/>
                <w:sz w:val="20"/>
                <w:szCs w:val="20"/>
              </w:rPr>
              <w:object w:dxaOrig="200" w:dyaOrig="220">
                <v:shape id="_x0000_i1045" type="#_x0000_t75" style="width:10.9pt;height:12pt" o:ole="">
                  <v:imagedata r:id="rId108" o:title=""/>
                </v:shape>
                <o:OLEObject Type="Embed" ProgID="Equation.3" ShapeID="_x0000_i1045" DrawAspect="Content" ObjectID="_1403043263" r:id="rId109"/>
              </w:object>
            </w:r>
            <w:r w:rsidRPr="000F314A">
              <w:rPr>
                <w:rFonts w:cs="Arial"/>
                <w:sz w:val="20"/>
                <w:szCs w:val="20"/>
                <w:lang w:eastAsia="en-NZ"/>
              </w:rPr>
              <w:t xml:space="preserve"> = </w:t>
            </w:r>
            <w:r w:rsidRPr="000F314A">
              <w:rPr>
                <w:rFonts w:cs="Arial"/>
                <w:bCs/>
                <w:sz w:val="20"/>
                <w:szCs w:val="20"/>
                <w:lang w:eastAsia="en-NZ"/>
              </w:rPr>
              <w:t>average opening and closing RAB values</w:t>
            </w:r>
            <w:r w:rsidRPr="000F314A">
              <w:rPr>
                <w:rFonts w:cs="Arial"/>
                <w:sz w:val="20"/>
                <w:szCs w:val="20"/>
                <w:lang w:eastAsia="en-NZ"/>
              </w:rPr>
              <w:br/>
            </w:r>
            <w:r w:rsidRPr="000F314A">
              <w:rPr>
                <w:position w:val="-6"/>
                <w:sz w:val="20"/>
                <w:szCs w:val="20"/>
              </w:rPr>
              <w:object w:dxaOrig="200" w:dyaOrig="279">
                <v:shape id="_x0000_i1046" type="#_x0000_t75" style="width:10.9pt;height:15.25pt" o:ole="">
                  <v:imagedata r:id="rId110" o:title=""/>
                </v:shape>
                <o:OLEObject Type="Embed" ProgID="Equation.3" ShapeID="_x0000_i1046" DrawAspect="Content" ObjectID="_1403043264" r:id="rId111"/>
              </w:object>
            </w:r>
            <w:r w:rsidRPr="000F314A">
              <w:rPr>
                <w:rFonts w:cs="Arial"/>
                <w:sz w:val="20"/>
                <w:szCs w:val="20"/>
                <w:lang w:eastAsia="en-NZ"/>
              </w:rPr>
              <w:t xml:space="preserve"> = </w:t>
            </w:r>
            <w:r w:rsidRPr="000F314A">
              <w:rPr>
                <w:rFonts w:cs="Arial"/>
                <w:bCs/>
                <w:sz w:val="20"/>
                <w:szCs w:val="20"/>
                <w:lang w:eastAsia="en-NZ"/>
              </w:rPr>
              <w:t>a leverage rate of 44%</w:t>
            </w:r>
            <w:r w:rsidRPr="000F314A">
              <w:rPr>
                <w:rFonts w:cs="Arial"/>
                <w:sz w:val="20"/>
                <w:szCs w:val="20"/>
                <w:lang w:eastAsia="en-NZ"/>
              </w:rPr>
              <w:br/>
            </w:r>
            <w:r w:rsidRPr="000F314A">
              <w:rPr>
                <w:position w:val="-6"/>
                <w:sz w:val="20"/>
                <w:szCs w:val="20"/>
              </w:rPr>
              <w:object w:dxaOrig="180" w:dyaOrig="220">
                <v:shape id="_x0000_i1047" type="#_x0000_t75" style="width:10.9pt;height:12pt" o:ole="">
                  <v:imagedata r:id="rId112" o:title=""/>
                </v:shape>
                <o:OLEObject Type="Embed" ProgID="Equation.3" ShapeID="_x0000_i1047" DrawAspect="Content" ObjectID="_1403043265" r:id="rId113"/>
              </w:object>
            </w:r>
            <w:r w:rsidRPr="000F314A">
              <w:rPr>
                <w:rFonts w:cs="Arial"/>
                <w:sz w:val="20"/>
                <w:szCs w:val="20"/>
                <w:lang w:eastAsia="en-NZ"/>
              </w:rPr>
              <w:t xml:space="preserve"> = </w:t>
            </w:r>
            <w:r w:rsidRPr="000F314A">
              <w:rPr>
                <w:rFonts w:cs="Arial"/>
                <w:bCs/>
                <w:sz w:val="20"/>
                <w:szCs w:val="20"/>
                <w:lang w:eastAsia="en-NZ"/>
              </w:rPr>
              <w:t>total book value of interest bearing debt</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Average opening and closing RAB values</w:t>
            </w:r>
          </w:p>
        </w:tc>
        <w:tc>
          <w:tcPr>
            <w:tcW w:w="0" w:type="auto"/>
          </w:tcPr>
          <w:p w:rsidR="00213934" w:rsidRPr="000F314A" w:rsidRDefault="00213934" w:rsidP="005A23C3">
            <w:pPr>
              <w:pStyle w:val="EquationsL2"/>
              <w:spacing w:line="264" w:lineRule="auto"/>
              <w:ind w:left="567"/>
              <w:rPr>
                <w:sz w:val="20"/>
                <w:szCs w:val="20"/>
              </w:rPr>
            </w:pPr>
            <w:r w:rsidRPr="000F314A">
              <w:rPr>
                <w:rFonts w:cs="Arial"/>
                <w:sz w:val="20"/>
                <w:szCs w:val="20"/>
                <w:lang w:eastAsia="en-NZ"/>
              </w:rPr>
              <w:t>means;</w:t>
            </w:r>
            <w:r w:rsidRPr="000F314A">
              <w:rPr>
                <w:rFonts w:cs="Arial"/>
                <w:sz w:val="20"/>
                <w:szCs w:val="20"/>
                <w:lang w:eastAsia="en-NZ"/>
              </w:rPr>
              <w:br/>
            </w:r>
            <w:r w:rsidRPr="000F314A">
              <w:rPr>
                <w:position w:val="-10"/>
                <w:sz w:val="20"/>
                <w:szCs w:val="20"/>
              </w:rPr>
              <w:object w:dxaOrig="200" w:dyaOrig="240">
                <v:shape id="_x0000_i1048" type="#_x0000_t75" style="width:10.9pt;height:13.1pt" o:ole="">
                  <v:imagedata r:id="rId114" o:title=""/>
                </v:shape>
                <o:OLEObject Type="Embed" ProgID="Equation.3" ShapeID="_x0000_i1048" DrawAspect="Content" ObjectID="_1403043266" r:id="rId115"/>
              </w:object>
            </w:r>
            <w:r w:rsidRPr="000F314A">
              <w:rPr>
                <w:sz w:val="20"/>
                <w:szCs w:val="20"/>
              </w:rPr>
              <w:tab/>
              <w:t>=</w:t>
            </w:r>
            <w:r w:rsidRPr="000F314A">
              <w:rPr>
                <w:sz w:val="20"/>
                <w:szCs w:val="20"/>
              </w:rPr>
              <w:tab/>
            </w:r>
            <w:r w:rsidRPr="000F314A">
              <w:rPr>
                <w:sz w:val="20"/>
                <w:szCs w:val="20"/>
              </w:rPr>
              <w:tab/>
            </w:r>
            <w:r w:rsidRPr="000F314A">
              <w:rPr>
                <w:position w:val="-24"/>
                <w:sz w:val="20"/>
                <w:szCs w:val="20"/>
              </w:rPr>
              <w:object w:dxaOrig="580" w:dyaOrig="620">
                <v:shape id="_x0000_i1049" type="#_x0000_t75" style="width:29.45pt;height:30.55pt" o:ole="">
                  <v:imagedata r:id="rId116" o:title=""/>
                </v:shape>
                <o:OLEObject Type="Embed" ProgID="Equation.3" ShapeID="_x0000_i1049" DrawAspect="Content" ObjectID="_1403043267" r:id="rId117"/>
              </w:object>
            </w:r>
          </w:p>
          <w:p w:rsidR="00213934" w:rsidRPr="000F314A" w:rsidRDefault="00213934" w:rsidP="005A23C3">
            <w:pPr>
              <w:tabs>
                <w:tab w:val="left" w:pos="4045"/>
              </w:tabs>
              <w:spacing w:line="264" w:lineRule="auto"/>
              <w:ind w:left="108"/>
              <w:rPr>
                <w:rFonts w:cs="Arial"/>
                <w:sz w:val="20"/>
                <w:szCs w:val="20"/>
                <w:lang w:eastAsia="en-NZ"/>
              </w:rPr>
            </w:pPr>
            <w:r w:rsidRPr="000F314A">
              <w:rPr>
                <w:rFonts w:cs="Arial"/>
                <w:sz w:val="20"/>
                <w:szCs w:val="20"/>
                <w:lang w:eastAsia="en-NZ"/>
              </w:rPr>
              <w:t>where:</w:t>
            </w:r>
            <w:r w:rsidRPr="000F314A">
              <w:rPr>
                <w:rFonts w:cs="Arial"/>
                <w:sz w:val="20"/>
                <w:szCs w:val="20"/>
                <w:lang w:eastAsia="en-NZ"/>
              </w:rPr>
              <w:br/>
            </w:r>
            <w:r w:rsidRPr="000F314A">
              <w:rPr>
                <w:position w:val="-6"/>
                <w:sz w:val="20"/>
                <w:szCs w:val="20"/>
              </w:rPr>
              <w:object w:dxaOrig="200" w:dyaOrig="220">
                <v:shape id="_x0000_i1050" type="#_x0000_t75" style="width:10.9pt;height:12pt" o:ole="">
                  <v:imagedata r:id="rId108" o:title=""/>
                </v:shape>
                <o:OLEObject Type="Embed" ProgID="Equation.3" ShapeID="_x0000_i1050" DrawAspect="Content" ObjectID="_1403043268" r:id="rId118"/>
              </w:object>
            </w:r>
            <w:r w:rsidRPr="000F314A">
              <w:rPr>
                <w:rFonts w:cs="Arial"/>
                <w:sz w:val="20"/>
                <w:szCs w:val="20"/>
                <w:lang w:eastAsia="en-NZ"/>
              </w:rPr>
              <w:t xml:space="preserve"> = </w:t>
            </w:r>
            <w:r w:rsidRPr="000F314A">
              <w:rPr>
                <w:rFonts w:cs="Arial"/>
                <w:bCs/>
                <w:sz w:val="20"/>
                <w:szCs w:val="20"/>
                <w:lang w:eastAsia="en-NZ"/>
              </w:rPr>
              <w:t>total opening RAB value</w:t>
            </w:r>
            <w:r w:rsidRPr="000F314A">
              <w:rPr>
                <w:rFonts w:cs="Arial"/>
                <w:sz w:val="20"/>
                <w:szCs w:val="20"/>
                <w:lang w:eastAsia="en-NZ"/>
              </w:rPr>
              <w:br/>
            </w:r>
            <w:r w:rsidRPr="000F314A">
              <w:rPr>
                <w:position w:val="-6"/>
                <w:sz w:val="20"/>
                <w:szCs w:val="20"/>
              </w:rPr>
              <w:object w:dxaOrig="200" w:dyaOrig="279">
                <v:shape id="_x0000_i1051" type="#_x0000_t75" style="width:10.9pt;height:15.25pt" o:ole="">
                  <v:imagedata r:id="rId110" o:title=""/>
                </v:shape>
                <o:OLEObject Type="Embed" ProgID="Equation.3" ShapeID="_x0000_i1051" DrawAspect="Content" ObjectID="_1403043269" r:id="rId119"/>
              </w:object>
            </w:r>
            <w:r w:rsidRPr="000F314A">
              <w:rPr>
                <w:rFonts w:cs="Arial"/>
                <w:sz w:val="20"/>
                <w:szCs w:val="20"/>
                <w:lang w:eastAsia="en-NZ"/>
              </w:rPr>
              <w:t xml:space="preserve"> = </w:t>
            </w:r>
            <w:r w:rsidRPr="000F314A">
              <w:rPr>
                <w:rFonts w:cs="Arial"/>
                <w:bCs/>
                <w:sz w:val="20"/>
                <w:szCs w:val="20"/>
                <w:lang w:eastAsia="en-NZ"/>
              </w:rPr>
              <w:t>total closing RAB value</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Balancing gas costs</w:t>
            </w:r>
          </w:p>
        </w:tc>
        <w:tc>
          <w:tcPr>
            <w:tcW w:w="0" w:type="auto"/>
          </w:tcPr>
          <w:p w:rsidR="00213934" w:rsidRPr="000F314A" w:rsidRDefault="00213934" w:rsidP="005A23C3">
            <w:pPr>
              <w:pStyle w:val="EquationsL2"/>
              <w:spacing w:line="264" w:lineRule="auto"/>
              <w:ind w:left="34" w:firstLine="0"/>
              <w:rPr>
                <w:rFonts w:cs="Arial"/>
                <w:sz w:val="20"/>
                <w:szCs w:val="20"/>
                <w:lang w:eastAsia="en-NZ"/>
              </w:rPr>
            </w:pPr>
            <w:r w:rsidRPr="000F314A">
              <w:rPr>
                <w:rFonts w:cs="Arial"/>
                <w:sz w:val="20"/>
                <w:szCs w:val="20"/>
                <w:lang w:eastAsia="en-NZ"/>
              </w:rPr>
              <w:t>means a cost or credit specified in clause 3.1.3(c) of the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 xml:space="preserve">Basis for determining value </w:t>
            </w:r>
          </w:p>
        </w:tc>
        <w:tc>
          <w:tcPr>
            <w:tcW w:w="0" w:type="auto"/>
          </w:tcPr>
          <w:p w:rsidR="00213934" w:rsidRPr="000F314A" w:rsidRDefault="00213934" w:rsidP="005A23C3">
            <w:pPr>
              <w:pStyle w:val="EquationsL2"/>
              <w:spacing w:line="264" w:lineRule="auto"/>
              <w:ind w:left="34" w:firstLine="0"/>
              <w:rPr>
                <w:rFonts w:cs="Arial"/>
                <w:sz w:val="20"/>
                <w:szCs w:val="20"/>
                <w:lang w:eastAsia="en-NZ"/>
              </w:rPr>
            </w:pPr>
            <w:r w:rsidRPr="000F314A">
              <w:rPr>
                <w:rFonts w:cs="Arial"/>
                <w:sz w:val="20"/>
                <w:szCs w:val="20"/>
                <w:lang w:eastAsia="en-NZ"/>
              </w:rPr>
              <w:t>means the basis for determining the value of the related party transaction in accordance with clause 5.2 of section 2.3 of this determination</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Billed quantities</w:t>
            </w:r>
          </w:p>
        </w:tc>
        <w:tc>
          <w:tcPr>
            <w:tcW w:w="0" w:type="auto"/>
          </w:tcPr>
          <w:p w:rsidR="00213934" w:rsidRPr="000F314A" w:rsidRDefault="00213934" w:rsidP="005A23C3">
            <w:pPr>
              <w:pStyle w:val="BodyText"/>
              <w:rPr>
                <w:i/>
                <w:sz w:val="20"/>
                <w:szCs w:val="20"/>
              </w:rPr>
            </w:pPr>
            <w:r w:rsidRPr="000F314A">
              <w:rPr>
                <w:sz w:val="20"/>
                <w:szCs w:val="20"/>
              </w:rPr>
              <w:t xml:space="preserve">means the quantities associated with charge types upon which the </w:t>
            </w:r>
            <w:r w:rsidRPr="000F314A">
              <w:rPr>
                <w:bCs/>
                <w:sz w:val="20"/>
                <w:szCs w:val="20"/>
              </w:rPr>
              <w:t>consumer’s</w:t>
            </w:r>
            <w:r w:rsidRPr="000F314A">
              <w:rPr>
                <w:sz w:val="20"/>
                <w:szCs w:val="20"/>
              </w:rPr>
              <w:t xml:space="preserve"> bill for gas pipeline services is based, expressed in the units of measure used by the GTB for setting prices (for example volumes of gas delivered in GJ).</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Book value</w:t>
            </w:r>
          </w:p>
        </w:tc>
        <w:tc>
          <w:tcPr>
            <w:tcW w:w="0" w:type="auto"/>
          </w:tcPr>
          <w:p w:rsidR="00213934" w:rsidRPr="000F314A" w:rsidRDefault="00213934" w:rsidP="005A23C3">
            <w:pPr>
              <w:spacing w:line="264" w:lineRule="auto"/>
              <w:ind w:left="459" w:hanging="425"/>
              <w:rPr>
                <w:rFonts w:cs="Arial"/>
                <w:sz w:val="20"/>
                <w:szCs w:val="20"/>
                <w:lang w:eastAsia="en-NZ"/>
              </w:rPr>
            </w:pPr>
            <w:r w:rsidRPr="000F314A">
              <w:rPr>
                <w:rFonts w:cs="Arial"/>
                <w:sz w:val="20"/>
                <w:szCs w:val="20"/>
                <w:lang w:eastAsia="en-NZ"/>
              </w:rPr>
              <w:t>means:</w:t>
            </w:r>
          </w:p>
          <w:p w:rsidR="00213934" w:rsidRPr="000F314A" w:rsidRDefault="00213934" w:rsidP="00213934">
            <w:pPr>
              <w:pStyle w:val="ListParagraph"/>
              <w:numPr>
                <w:ilvl w:val="0"/>
                <w:numId w:val="74"/>
              </w:numPr>
              <w:spacing w:line="264" w:lineRule="auto"/>
              <w:ind w:left="459" w:hanging="425"/>
              <w:rPr>
                <w:rFonts w:cs="Arial"/>
                <w:sz w:val="20"/>
                <w:szCs w:val="20"/>
                <w:lang w:eastAsia="en-NZ"/>
              </w:rPr>
            </w:pPr>
            <w:r w:rsidRPr="000F314A">
              <w:rPr>
                <w:rFonts w:cs="Arial"/>
                <w:sz w:val="20"/>
                <w:szCs w:val="20"/>
                <w:lang w:eastAsia="en-NZ"/>
              </w:rPr>
              <w:t xml:space="preserve">in relation to the issue date, the book value in New Zealand dollars of a </w:t>
            </w:r>
            <w:r w:rsidRPr="000F314A">
              <w:rPr>
                <w:rFonts w:cs="Arial"/>
                <w:bCs/>
                <w:sz w:val="20"/>
                <w:szCs w:val="20"/>
                <w:lang w:eastAsia="en-NZ"/>
              </w:rPr>
              <w:t>qualifying debt</w:t>
            </w:r>
            <w:r w:rsidRPr="000F314A">
              <w:rPr>
                <w:rFonts w:cs="Arial"/>
                <w:sz w:val="20"/>
                <w:szCs w:val="20"/>
                <w:lang w:eastAsia="en-NZ"/>
              </w:rPr>
              <w:t xml:space="preserve"> or </w:t>
            </w:r>
            <w:r w:rsidRPr="000F314A">
              <w:rPr>
                <w:rFonts w:cs="Arial"/>
                <w:bCs/>
                <w:sz w:val="20"/>
                <w:szCs w:val="20"/>
                <w:lang w:eastAsia="en-NZ"/>
              </w:rPr>
              <w:t>non-qualifying debt</w:t>
            </w:r>
            <w:r w:rsidRPr="000F314A">
              <w:rPr>
                <w:rFonts w:cs="Arial"/>
                <w:sz w:val="20"/>
                <w:szCs w:val="20"/>
                <w:lang w:eastAsia="en-NZ"/>
              </w:rPr>
              <w:t xml:space="preserve"> on the </w:t>
            </w:r>
            <w:r w:rsidRPr="000F314A">
              <w:rPr>
                <w:rFonts w:cs="Arial"/>
                <w:bCs/>
                <w:sz w:val="20"/>
                <w:szCs w:val="20"/>
                <w:lang w:eastAsia="en-NZ"/>
              </w:rPr>
              <w:t>issue date</w:t>
            </w:r>
            <w:r w:rsidRPr="000F314A">
              <w:rPr>
                <w:rFonts w:cs="Arial"/>
                <w:sz w:val="20"/>
                <w:szCs w:val="20"/>
                <w:lang w:eastAsia="en-NZ"/>
              </w:rPr>
              <w:t xml:space="preserve"> </w:t>
            </w:r>
          </w:p>
          <w:p w:rsidR="00213934" w:rsidRPr="000F314A" w:rsidRDefault="00213934" w:rsidP="00213934">
            <w:pPr>
              <w:pStyle w:val="ListParagraph"/>
              <w:numPr>
                <w:ilvl w:val="0"/>
                <w:numId w:val="74"/>
              </w:numPr>
              <w:tabs>
                <w:tab w:val="left" w:pos="4045"/>
              </w:tabs>
              <w:spacing w:line="264" w:lineRule="auto"/>
              <w:ind w:left="459" w:hanging="425"/>
              <w:rPr>
                <w:rFonts w:cs="Arial"/>
                <w:sz w:val="20"/>
                <w:szCs w:val="20"/>
                <w:lang w:eastAsia="en-NZ"/>
              </w:rPr>
            </w:pPr>
            <w:r w:rsidRPr="000F314A">
              <w:rPr>
                <w:rFonts w:cs="Arial"/>
                <w:sz w:val="20"/>
                <w:szCs w:val="20"/>
                <w:lang w:eastAsia="en-NZ"/>
              </w:rPr>
              <w:t>in relation to the date of financial statements, the book value in New Zealand dollars of a qualifying debt or non-qualifying debt as at the end of the period of the GTB’s latest general purpose financial statements</w:t>
            </w:r>
          </w:p>
        </w:tc>
      </w:tr>
      <w:tr w:rsidR="0096387E" w:rsidRPr="000F314A" w:rsidTr="00EA01E1">
        <w:trPr>
          <w:cantSplit/>
          <w:trHeight w:val="20"/>
        </w:trPr>
        <w:tc>
          <w:tcPr>
            <w:tcW w:w="0" w:type="auto"/>
          </w:tcPr>
          <w:p w:rsidR="0096387E" w:rsidRPr="000F314A" w:rsidRDefault="0096387E" w:rsidP="005A23C3">
            <w:pPr>
              <w:pStyle w:val="BodyText"/>
              <w:spacing w:line="264" w:lineRule="auto"/>
              <w:rPr>
                <w:rFonts w:cs="Arial"/>
                <w:bCs/>
                <w:sz w:val="20"/>
                <w:szCs w:val="20"/>
                <w:lang w:eastAsia="en-NZ"/>
              </w:rPr>
            </w:pPr>
            <w:r w:rsidRPr="000F314A">
              <w:rPr>
                <w:sz w:val="20"/>
                <w:szCs w:val="20"/>
              </w:rPr>
              <w:t>Business support</w:t>
            </w:r>
          </w:p>
        </w:tc>
        <w:tc>
          <w:tcPr>
            <w:tcW w:w="0" w:type="auto"/>
          </w:tcPr>
          <w:p w:rsidR="0096387E" w:rsidRPr="000F314A" w:rsidRDefault="0096387E" w:rsidP="004D1973">
            <w:pPr>
              <w:spacing w:line="264" w:lineRule="auto"/>
              <w:rPr>
                <w:sz w:val="20"/>
                <w:szCs w:val="20"/>
              </w:rPr>
            </w:pPr>
            <w:r w:rsidRPr="000F314A">
              <w:rPr>
                <w:sz w:val="20"/>
                <w:szCs w:val="20"/>
              </w:rPr>
              <w:t>in relation to expenditure, means operational expenditure associated with the following corporate activities:</w:t>
            </w:r>
          </w:p>
          <w:p w:rsidR="0096387E" w:rsidRPr="000F314A" w:rsidRDefault="0096387E" w:rsidP="0096387E">
            <w:pPr>
              <w:pStyle w:val="Bullet"/>
              <w:numPr>
                <w:ilvl w:val="0"/>
                <w:numId w:val="87"/>
              </w:numPr>
              <w:tabs>
                <w:tab w:val="num" w:pos="709"/>
              </w:tabs>
              <w:spacing w:before="60" w:after="60" w:line="264" w:lineRule="auto"/>
              <w:ind w:left="318" w:hanging="318"/>
              <w:rPr>
                <w:sz w:val="20"/>
                <w:szCs w:val="20"/>
              </w:rPr>
            </w:pPr>
            <w:r w:rsidRPr="000F314A">
              <w:rPr>
                <w:sz w:val="20"/>
                <w:szCs w:val="20"/>
              </w:rPr>
              <w:t>HR and training (other than operational training)</w:t>
            </w:r>
          </w:p>
          <w:p w:rsidR="0096387E" w:rsidRPr="000F314A" w:rsidRDefault="0096387E" w:rsidP="0096387E">
            <w:pPr>
              <w:pStyle w:val="Bullet"/>
              <w:numPr>
                <w:ilvl w:val="0"/>
                <w:numId w:val="87"/>
              </w:numPr>
              <w:tabs>
                <w:tab w:val="num" w:pos="709"/>
              </w:tabs>
              <w:spacing w:before="60" w:after="60" w:line="264" w:lineRule="auto"/>
              <w:ind w:left="318" w:hanging="318"/>
              <w:rPr>
                <w:sz w:val="20"/>
                <w:szCs w:val="20"/>
              </w:rPr>
            </w:pPr>
            <w:r w:rsidRPr="000F314A">
              <w:rPr>
                <w:sz w:val="20"/>
                <w:szCs w:val="20"/>
              </w:rPr>
              <w:t>finance and regulation including compliance activities, valuations and auditing</w:t>
            </w:r>
          </w:p>
          <w:p w:rsidR="0096387E" w:rsidRPr="000F314A" w:rsidRDefault="0096387E" w:rsidP="0096387E">
            <w:pPr>
              <w:pStyle w:val="Bullet"/>
              <w:numPr>
                <w:ilvl w:val="0"/>
                <w:numId w:val="87"/>
              </w:numPr>
              <w:tabs>
                <w:tab w:val="num" w:pos="709"/>
              </w:tabs>
              <w:spacing w:before="60" w:after="60" w:line="264" w:lineRule="auto"/>
              <w:ind w:left="318" w:hanging="318"/>
              <w:rPr>
                <w:sz w:val="20"/>
                <w:szCs w:val="20"/>
              </w:rPr>
            </w:pPr>
            <w:r w:rsidRPr="000F314A">
              <w:rPr>
                <w:sz w:val="20"/>
                <w:szCs w:val="20"/>
              </w:rPr>
              <w:t>CEO and director costs</w:t>
            </w:r>
          </w:p>
          <w:p w:rsidR="0096387E" w:rsidRPr="000F314A" w:rsidRDefault="0096387E" w:rsidP="0096387E">
            <w:pPr>
              <w:pStyle w:val="Bullet"/>
              <w:numPr>
                <w:ilvl w:val="0"/>
                <w:numId w:val="87"/>
              </w:numPr>
              <w:tabs>
                <w:tab w:val="num" w:pos="709"/>
              </w:tabs>
              <w:spacing w:before="60" w:after="60" w:line="264" w:lineRule="auto"/>
              <w:ind w:left="318" w:hanging="318"/>
              <w:rPr>
                <w:sz w:val="20"/>
                <w:szCs w:val="20"/>
              </w:rPr>
            </w:pPr>
            <w:r w:rsidRPr="000F314A">
              <w:rPr>
                <w:sz w:val="20"/>
                <w:szCs w:val="20"/>
              </w:rPr>
              <w:t xml:space="preserve">legal services </w:t>
            </w:r>
          </w:p>
          <w:p w:rsidR="0096387E" w:rsidRPr="000F314A" w:rsidRDefault="0096387E" w:rsidP="0096387E">
            <w:pPr>
              <w:pStyle w:val="Bullet"/>
              <w:numPr>
                <w:ilvl w:val="0"/>
                <w:numId w:val="87"/>
              </w:numPr>
              <w:tabs>
                <w:tab w:val="num" w:pos="709"/>
              </w:tabs>
              <w:spacing w:before="60" w:after="60" w:line="264" w:lineRule="auto"/>
              <w:ind w:left="318" w:hanging="318"/>
              <w:rPr>
                <w:sz w:val="20"/>
                <w:szCs w:val="20"/>
              </w:rPr>
            </w:pPr>
            <w:r w:rsidRPr="000F314A">
              <w:rPr>
                <w:sz w:val="20"/>
                <w:szCs w:val="20"/>
              </w:rPr>
              <w:t>consulting services (excluding engineering/technical consulting)</w:t>
            </w:r>
          </w:p>
          <w:p w:rsidR="0096387E" w:rsidRPr="000F314A" w:rsidRDefault="0096387E" w:rsidP="0096387E">
            <w:pPr>
              <w:pStyle w:val="Bullet"/>
              <w:numPr>
                <w:ilvl w:val="0"/>
                <w:numId w:val="87"/>
              </w:numPr>
              <w:tabs>
                <w:tab w:val="num" w:pos="709"/>
              </w:tabs>
              <w:spacing w:before="60" w:after="60" w:line="264" w:lineRule="auto"/>
              <w:ind w:left="318" w:hanging="318"/>
              <w:rPr>
                <w:sz w:val="20"/>
                <w:szCs w:val="20"/>
              </w:rPr>
            </w:pPr>
            <w:r w:rsidRPr="000F314A">
              <w:rPr>
                <w:sz w:val="20"/>
                <w:szCs w:val="20"/>
              </w:rPr>
              <w:t>property management</w:t>
            </w:r>
          </w:p>
          <w:p w:rsidR="0096387E" w:rsidRPr="000F314A" w:rsidRDefault="0096387E" w:rsidP="0096387E">
            <w:pPr>
              <w:pStyle w:val="Bullet"/>
              <w:numPr>
                <w:ilvl w:val="0"/>
                <w:numId w:val="87"/>
              </w:numPr>
              <w:tabs>
                <w:tab w:val="num" w:pos="709"/>
              </w:tabs>
              <w:spacing w:before="60" w:after="60" w:line="264" w:lineRule="auto"/>
              <w:ind w:left="318" w:hanging="318"/>
              <w:rPr>
                <w:sz w:val="20"/>
                <w:szCs w:val="20"/>
              </w:rPr>
            </w:pPr>
            <w:r w:rsidRPr="000F314A">
              <w:rPr>
                <w:sz w:val="20"/>
                <w:szCs w:val="20"/>
              </w:rPr>
              <w:t>corporate communications</w:t>
            </w:r>
          </w:p>
          <w:p w:rsidR="0096387E" w:rsidRPr="000F314A" w:rsidRDefault="0096387E" w:rsidP="0096387E">
            <w:pPr>
              <w:pStyle w:val="Bullet"/>
              <w:numPr>
                <w:ilvl w:val="0"/>
                <w:numId w:val="87"/>
              </w:numPr>
              <w:tabs>
                <w:tab w:val="num" w:pos="709"/>
              </w:tabs>
              <w:spacing w:before="60" w:after="60" w:line="264" w:lineRule="auto"/>
              <w:ind w:left="318" w:hanging="318"/>
              <w:rPr>
                <w:sz w:val="20"/>
                <w:szCs w:val="20"/>
              </w:rPr>
            </w:pPr>
            <w:r w:rsidRPr="000F314A">
              <w:rPr>
                <w:sz w:val="20"/>
                <w:szCs w:val="20"/>
              </w:rPr>
              <w:t>corporate IT</w:t>
            </w:r>
          </w:p>
          <w:p w:rsidR="0096387E" w:rsidRPr="000F314A" w:rsidRDefault="0096387E" w:rsidP="0096387E">
            <w:pPr>
              <w:pStyle w:val="Bullet"/>
              <w:numPr>
                <w:ilvl w:val="0"/>
                <w:numId w:val="87"/>
              </w:numPr>
              <w:tabs>
                <w:tab w:val="num" w:pos="709"/>
              </w:tabs>
              <w:spacing w:before="60" w:after="60" w:line="264" w:lineRule="auto"/>
              <w:ind w:left="318" w:hanging="318"/>
              <w:rPr>
                <w:sz w:val="20"/>
                <w:szCs w:val="20"/>
              </w:rPr>
            </w:pPr>
            <w:r w:rsidRPr="000F314A">
              <w:rPr>
                <w:sz w:val="20"/>
                <w:szCs w:val="20"/>
              </w:rPr>
              <w:t>industry liaison and participation</w:t>
            </w:r>
          </w:p>
          <w:p w:rsidR="0096387E" w:rsidRPr="000F314A" w:rsidRDefault="0096387E" w:rsidP="0096387E">
            <w:pPr>
              <w:pStyle w:val="Tablebullet"/>
              <w:numPr>
                <w:ilvl w:val="0"/>
                <w:numId w:val="63"/>
              </w:numPr>
              <w:spacing w:after="120"/>
              <w:rPr>
                <w:sz w:val="20"/>
                <w:szCs w:val="20"/>
              </w:rPr>
            </w:pPr>
            <w:r w:rsidRPr="000F314A">
              <w:rPr>
                <w:sz w:val="20"/>
                <w:szCs w:val="20"/>
              </w:rPr>
              <w:t xml:space="preserve">commercial activities including pricing, billing, revenue collection and marketing </w:t>
            </w:r>
          </w:p>
          <w:p w:rsidR="0096387E" w:rsidRPr="000F314A" w:rsidRDefault="0096387E" w:rsidP="0096387E">
            <w:pPr>
              <w:pStyle w:val="Tablebullet"/>
              <w:numPr>
                <w:ilvl w:val="0"/>
                <w:numId w:val="63"/>
              </w:numPr>
              <w:spacing w:after="120"/>
              <w:rPr>
                <w:sz w:val="20"/>
                <w:szCs w:val="20"/>
              </w:rPr>
            </w:pPr>
            <w:r w:rsidRPr="000F314A">
              <w:rPr>
                <w:sz w:val="20"/>
                <w:szCs w:val="20"/>
              </w:rPr>
              <w:t>liaison with shippers and welded parties</w:t>
            </w:r>
          </w:p>
        </w:tc>
      </w:tr>
      <w:tr w:rsidR="00213934" w:rsidRPr="000F314A" w:rsidTr="00EA01E1">
        <w:trPr>
          <w:cantSplit/>
          <w:trHeight w:val="20"/>
        </w:trPr>
        <w:tc>
          <w:tcPr>
            <w:tcW w:w="0" w:type="auto"/>
          </w:tcPr>
          <w:p w:rsidR="00213934" w:rsidRPr="000F314A" w:rsidRDefault="00213934" w:rsidP="005A23C3">
            <w:pPr>
              <w:rPr>
                <w:color w:val="000000"/>
                <w:sz w:val="20"/>
                <w:szCs w:val="20"/>
                <w:lang w:val="en-AU"/>
              </w:rPr>
            </w:pPr>
            <w:r w:rsidRPr="000F314A">
              <w:rPr>
                <w:color w:val="000000"/>
                <w:sz w:val="20"/>
                <w:szCs w:val="20"/>
                <w:lang w:val="en-AU"/>
              </w:rPr>
              <w:t>Capital contributions</w:t>
            </w:r>
          </w:p>
        </w:tc>
        <w:tc>
          <w:tcPr>
            <w:tcW w:w="0" w:type="auto"/>
          </w:tcPr>
          <w:p w:rsidR="00213934" w:rsidRPr="000F314A" w:rsidRDefault="00213934" w:rsidP="005A23C3">
            <w:pPr>
              <w:pStyle w:val="BodyText"/>
              <w:rPr>
                <w:sz w:val="20"/>
                <w:szCs w:val="20"/>
                <w:lang w:val="en-AU"/>
              </w:rPr>
            </w:pPr>
            <w:proofErr w:type="gramStart"/>
            <w:r w:rsidRPr="000F314A">
              <w:rPr>
                <w:rFonts w:cs="Arial"/>
                <w:sz w:val="20"/>
                <w:szCs w:val="20"/>
                <w:lang w:eastAsia="en-NZ"/>
              </w:rPr>
              <w:t>has</w:t>
            </w:r>
            <w:proofErr w:type="gramEnd"/>
            <w:r w:rsidRPr="000F314A">
              <w:rPr>
                <w:rFonts w:cs="Arial"/>
                <w:sz w:val="20"/>
                <w:szCs w:val="20"/>
                <w:lang w:eastAsia="en-NZ"/>
              </w:rPr>
              <w:t xml:space="preserve"> the meaning set out in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rPr>
                <w:color w:val="000000"/>
                <w:sz w:val="20"/>
                <w:szCs w:val="20"/>
                <w:lang w:val="en-AU"/>
              </w:rPr>
            </w:pPr>
            <w:r w:rsidRPr="000F314A">
              <w:rPr>
                <w:color w:val="000000"/>
                <w:sz w:val="20"/>
                <w:szCs w:val="20"/>
                <w:lang w:val="en-AU"/>
              </w:rPr>
              <w:t>Capital contributions funding customer connection expenditure</w:t>
            </w:r>
          </w:p>
        </w:tc>
        <w:tc>
          <w:tcPr>
            <w:tcW w:w="0" w:type="auto"/>
          </w:tcPr>
          <w:p w:rsidR="00213934" w:rsidRPr="000F314A" w:rsidRDefault="00213934" w:rsidP="005A23C3">
            <w:pPr>
              <w:pStyle w:val="BodyText"/>
              <w:rPr>
                <w:sz w:val="20"/>
                <w:szCs w:val="20"/>
                <w:lang w:val="en-AU"/>
              </w:rPr>
            </w:pPr>
            <w:proofErr w:type="gramStart"/>
            <w:r w:rsidRPr="000F314A">
              <w:rPr>
                <w:sz w:val="20"/>
                <w:szCs w:val="20"/>
                <w:lang w:val="en-AU"/>
              </w:rPr>
              <w:t>means</w:t>
            </w:r>
            <w:proofErr w:type="gramEnd"/>
            <w:r w:rsidRPr="000F314A">
              <w:rPr>
                <w:sz w:val="20"/>
                <w:szCs w:val="20"/>
                <w:lang w:val="en-AU"/>
              </w:rPr>
              <w:t xml:space="preserve"> capital contributions that are paid to the GTB in relation to customer connection expenditure.</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proofErr w:type="spellStart"/>
            <w:r w:rsidRPr="000F314A">
              <w:rPr>
                <w:color w:val="000000"/>
                <w:sz w:val="20"/>
                <w:szCs w:val="20"/>
                <w:lang w:val="en-AU"/>
              </w:rPr>
              <w:t>Cathodic</w:t>
            </w:r>
            <w:proofErr w:type="spellEnd"/>
            <w:r w:rsidRPr="000F314A">
              <w:rPr>
                <w:color w:val="000000"/>
                <w:sz w:val="20"/>
                <w:szCs w:val="20"/>
                <w:lang w:val="en-AU"/>
              </w:rPr>
              <w:t xml:space="preserve"> protection  </w:t>
            </w:r>
          </w:p>
        </w:tc>
        <w:tc>
          <w:tcPr>
            <w:tcW w:w="0" w:type="auto"/>
          </w:tcPr>
          <w:p w:rsidR="00213934" w:rsidRPr="000F314A" w:rsidRDefault="00213934" w:rsidP="005A23C3">
            <w:pPr>
              <w:pStyle w:val="Tablebodytext"/>
              <w:rPr>
                <w:sz w:val="20"/>
                <w:szCs w:val="20"/>
              </w:rPr>
            </w:pPr>
            <w:proofErr w:type="gramStart"/>
            <w:r w:rsidRPr="000F314A">
              <w:rPr>
                <w:sz w:val="20"/>
                <w:szCs w:val="20"/>
                <w:lang w:val="en-AU"/>
              </w:rPr>
              <w:t>means</w:t>
            </w:r>
            <w:proofErr w:type="gramEnd"/>
            <w:r w:rsidRPr="000F314A">
              <w:rPr>
                <w:sz w:val="20"/>
                <w:szCs w:val="20"/>
                <w:lang w:val="en-AU"/>
              </w:rPr>
              <w:t xml:space="preserve"> a system that inhibits the corrosion of a metallic gas pipe by means of an impressed current or sacrificial anodes.</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Charge Type</w:t>
            </w:r>
          </w:p>
        </w:tc>
        <w:tc>
          <w:tcPr>
            <w:tcW w:w="0" w:type="auto"/>
          </w:tcPr>
          <w:p w:rsidR="00213934" w:rsidRPr="000F314A" w:rsidRDefault="00213934" w:rsidP="005A23C3">
            <w:pPr>
              <w:pStyle w:val="BodyText"/>
              <w:rPr>
                <w:i/>
                <w:sz w:val="20"/>
                <w:szCs w:val="20"/>
              </w:rPr>
            </w:pPr>
            <w:r w:rsidRPr="000F314A">
              <w:rPr>
                <w:sz w:val="20"/>
                <w:szCs w:val="20"/>
              </w:rPr>
              <w:t>A rate that is a component of a multi-part line charge – for example, a daily rate in c/day or a volume rate in c/kWh</w:t>
            </w:r>
          </w:p>
        </w:tc>
      </w:tr>
      <w:tr w:rsidR="00213934" w:rsidRPr="000F314A" w:rsidTr="00EA01E1">
        <w:trPr>
          <w:cantSplit/>
          <w:trHeight w:val="20"/>
        </w:trPr>
        <w:tc>
          <w:tcPr>
            <w:tcW w:w="0" w:type="auto"/>
          </w:tcPr>
          <w:p w:rsidR="00213934" w:rsidRPr="000F314A" w:rsidRDefault="00213934" w:rsidP="005A23C3">
            <w:pPr>
              <w:rPr>
                <w:color w:val="000000"/>
                <w:sz w:val="20"/>
                <w:szCs w:val="20"/>
                <w:lang w:val="en-AU"/>
              </w:rPr>
            </w:pPr>
            <w:r w:rsidRPr="000F314A">
              <w:rPr>
                <w:color w:val="000000"/>
                <w:sz w:val="20"/>
                <w:szCs w:val="20"/>
                <w:lang w:val="en-AU"/>
              </w:rPr>
              <w:t>Chromatographs</w:t>
            </w:r>
          </w:p>
        </w:tc>
        <w:tc>
          <w:tcPr>
            <w:tcW w:w="0" w:type="auto"/>
          </w:tcPr>
          <w:p w:rsidR="00213934" w:rsidRPr="000F314A" w:rsidRDefault="00213934" w:rsidP="005A23C3">
            <w:pPr>
              <w:pStyle w:val="BodyText"/>
              <w:rPr>
                <w:sz w:val="20"/>
                <w:szCs w:val="20"/>
                <w:lang w:val="en-AU"/>
              </w:rPr>
            </w:pPr>
            <w:r w:rsidRPr="000F314A">
              <w:rPr>
                <w:sz w:val="20"/>
                <w:szCs w:val="20"/>
                <w:lang w:val="en-AU"/>
              </w:rPr>
              <w:t>Means a device for determining the chemical composition of the contents of the transmission system</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Closing RAB (tax value)</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means the sum of </w:t>
            </w:r>
            <w:r w:rsidRPr="000F314A">
              <w:rPr>
                <w:rFonts w:cs="Arial"/>
                <w:bCs/>
                <w:sz w:val="20"/>
                <w:szCs w:val="20"/>
                <w:lang w:eastAsia="en-NZ"/>
              </w:rPr>
              <w:t>regulatory tax asset values</w:t>
            </w:r>
            <w:r w:rsidRPr="000F314A">
              <w:rPr>
                <w:rFonts w:cs="Arial"/>
                <w:sz w:val="20"/>
                <w:szCs w:val="20"/>
                <w:lang w:eastAsia="en-NZ"/>
              </w:rPr>
              <w:t xml:space="preserve"> for assets have a value included in </w:t>
            </w:r>
            <w:r w:rsidRPr="000F314A">
              <w:rPr>
                <w:rFonts w:cs="Arial"/>
                <w:bCs/>
                <w:sz w:val="20"/>
                <w:szCs w:val="20"/>
                <w:lang w:eastAsia="en-NZ"/>
              </w:rPr>
              <w:t>total closing RAB value</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Closing RAB value under 'non-standard' depreciation</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means the closing RAB value or sum of closing RAB values as determined in accordance with Part 2 subpart 2 of the </w:t>
            </w:r>
            <w:r w:rsidRPr="000F314A">
              <w:rPr>
                <w:rFonts w:cs="Arial"/>
                <w:bCs/>
                <w:sz w:val="20"/>
                <w:szCs w:val="20"/>
                <w:lang w:eastAsia="en-NZ"/>
              </w:rPr>
              <w:t>IM determination</w:t>
            </w:r>
            <w:r w:rsidRPr="000F314A">
              <w:rPr>
                <w:rFonts w:cs="Arial"/>
                <w:sz w:val="20"/>
                <w:szCs w:val="20"/>
                <w:lang w:eastAsia="en-NZ"/>
              </w:rPr>
              <w:t xml:space="preserve"> for the relevant</w:t>
            </w:r>
            <w:r w:rsidRPr="000F314A">
              <w:rPr>
                <w:rFonts w:cs="Arial"/>
                <w:bCs/>
                <w:sz w:val="20"/>
                <w:szCs w:val="20"/>
                <w:lang w:eastAsia="en-NZ"/>
              </w:rPr>
              <w:t xml:space="preserve"> asset or assets with non-standard depreciation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Closing RAB value under 'standard' depreciation</w:t>
            </w:r>
          </w:p>
        </w:tc>
        <w:tc>
          <w:tcPr>
            <w:tcW w:w="0" w:type="auto"/>
          </w:tcPr>
          <w:p w:rsidR="00213934" w:rsidRPr="000F314A" w:rsidRDefault="00213934" w:rsidP="005A23C3">
            <w:pPr>
              <w:tabs>
                <w:tab w:val="left" w:pos="4045"/>
              </w:tabs>
              <w:spacing w:line="264" w:lineRule="auto"/>
              <w:ind w:left="459" w:hanging="425"/>
              <w:rPr>
                <w:rFonts w:cs="Arial"/>
                <w:sz w:val="20"/>
                <w:szCs w:val="20"/>
                <w:lang w:eastAsia="en-NZ"/>
              </w:rPr>
            </w:pPr>
            <w:r w:rsidRPr="000F314A">
              <w:rPr>
                <w:rFonts w:cs="Arial"/>
                <w:sz w:val="20"/>
                <w:szCs w:val="20"/>
                <w:lang w:eastAsia="en-NZ"/>
              </w:rPr>
              <w:t>means:</w:t>
            </w:r>
          </w:p>
          <w:p w:rsidR="00213934" w:rsidRPr="000F314A" w:rsidRDefault="00213934" w:rsidP="005A23C3">
            <w:pPr>
              <w:tabs>
                <w:tab w:val="left" w:pos="4045"/>
              </w:tabs>
              <w:spacing w:line="264" w:lineRule="auto"/>
              <w:ind w:left="459" w:hanging="351"/>
              <w:rPr>
                <w:rFonts w:cs="Arial"/>
                <w:sz w:val="20"/>
                <w:szCs w:val="20"/>
                <w:lang w:eastAsia="en-NZ"/>
              </w:rPr>
            </w:pPr>
            <w:r w:rsidRPr="000F314A">
              <w:rPr>
                <w:rFonts w:cs="Arial"/>
                <w:sz w:val="20"/>
                <w:szCs w:val="20"/>
                <w:lang w:eastAsia="en-NZ"/>
              </w:rPr>
              <w:t>(a)</w:t>
            </w:r>
            <w:r w:rsidRPr="000F314A">
              <w:rPr>
                <w:rFonts w:cs="Arial"/>
                <w:sz w:val="20"/>
                <w:szCs w:val="20"/>
                <w:lang w:eastAsia="en-NZ"/>
              </w:rPr>
              <w:tab/>
              <w:t xml:space="preserve">in relation to assets or groups of assets where depreciation is included in </w:t>
            </w:r>
            <w:r w:rsidRPr="000F314A">
              <w:rPr>
                <w:rFonts w:cs="Arial"/>
                <w:bCs/>
                <w:sz w:val="20"/>
                <w:szCs w:val="20"/>
                <w:lang w:eastAsia="en-NZ"/>
              </w:rPr>
              <w:t>depreciation - no standard life asset</w:t>
            </w:r>
            <w:r w:rsidRPr="000F314A">
              <w:rPr>
                <w:rFonts w:cs="Arial"/>
                <w:sz w:val="20"/>
                <w:szCs w:val="20"/>
                <w:lang w:eastAsia="en-NZ"/>
              </w:rPr>
              <w:t>, 'not applicable'</w:t>
            </w:r>
          </w:p>
          <w:p w:rsidR="00213934" w:rsidRPr="000F314A" w:rsidRDefault="00213934" w:rsidP="005A23C3">
            <w:pPr>
              <w:tabs>
                <w:tab w:val="left" w:pos="4045"/>
              </w:tabs>
              <w:spacing w:line="264" w:lineRule="auto"/>
              <w:ind w:left="459" w:hanging="351"/>
              <w:rPr>
                <w:rFonts w:cs="Arial"/>
                <w:sz w:val="20"/>
                <w:szCs w:val="20"/>
                <w:lang w:eastAsia="en-NZ"/>
              </w:rPr>
            </w:pPr>
            <w:r w:rsidRPr="000F314A">
              <w:rPr>
                <w:rFonts w:cs="Arial"/>
                <w:sz w:val="20"/>
                <w:szCs w:val="20"/>
                <w:lang w:eastAsia="en-NZ"/>
              </w:rPr>
              <w:t>(b)</w:t>
            </w:r>
            <w:r w:rsidRPr="000F314A">
              <w:rPr>
                <w:rFonts w:cs="Arial"/>
                <w:sz w:val="20"/>
                <w:szCs w:val="20"/>
                <w:lang w:eastAsia="en-NZ"/>
              </w:rPr>
              <w:tab/>
              <w:t>in relation to assets or groups of assets where depreciation is included in</w:t>
            </w:r>
            <w:r w:rsidRPr="000F314A">
              <w:rPr>
                <w:rFonts w:cs="Arial"/>
                <w:bCs/>
                <w:sz w:val="20"/>
                <w:szCs w:val="20"/>
                <w:lang w:eastAsia="en-NZ"/>
              </w:rPr>
              <w:t xml:space="preserve"> depreciation - modified life assets </w:t>
            </w:r>
            <w:r w:rsidRPr="000F314A">
              <w:rPr>
                <w:rFonts w:cs="Arial"/>
                <w:sz w:val="20"/>
                <w:szCs w:val="20"/>
                <w:lang w:eastAsia="en-NZ"/>
              </w:rPr>
              <w:t xml:space="preserve">or </w:t>
            </w:r>
            <w:r w:rsidRPr="000F314A">
              <w:rPr>
                <w:rFonts w:cs="Arial"/>
                <w:bCs/>
                <w:sz w:val="20"/>
                <w:szCs w:val="20"/>
                <w:lang w:eastAsia="en-NZ"/>
              </w:rPr>
              <w:t>depreciation - alternative depreciation determined in accordance with CPP</w:t>
            </w:r>
            <w:r w:rsidRPr="000F314A">
              <w:rPr>
                <w:rFonts w:cs="Arial"/>
                <w:sz w:val="20"/>
                <w:szCs w:val="20"/>
                <w:lang w:eastAsia="en-NZ"/>
              </w:rPr>
              <w:t xml:space="preserve">,  the sum of closing RAB values as determined in accordance with the </w:t>
            </w:r>
            <w:r w:rsidRPr="000F314A">
              <w:rPr>
                <w:rFonts w:cs="Arial"/>
                <w:bCs/>
                <w:sz w:val="20"/>
                <w:szCs w:val="20"/>
                <w:lang w:eastAsia="en-NZ"/>
              </w:rPr>
              <w:t xml:space="preserve">IM determination </w:t>
            </w:r>
            <w:r w:rsidRPr="000F314A">
              <w:rPr>
                <w:rFonts w:cs="Arial"/>
                <w:sz w:val="20"/>
                <w:szCs w:val="20"/>
                <w:lang w:eastAsia="en-NZ"/>
              </w:rPr>
              <w:t xml:space="preserve">as if the closing RAB value and all proceeding closing RAB values had been calculated in accordance with clause 2.1.1 of the </w:t>
            </w:r>
            <w:r w:rsidRPr="000F314A">
              <w:rPr>
                <w:rFonts w:cs="Arial"/>
                <w:bCs/>
                <w:sz w:val="20"/>
                <w:szCs w:val="20"/>
                <w:lang w:eastAsia="en-NZ"/>
              </w:rPr>
              <w:t xml:space="preserve">IM determination </w:t>
            </w:r>
            <w:r w:rsidRPr="000F314A">
              <w:rPr>
                <w:rFonts w:cs="Arial"/>
                <w:sz w:val="20"/>
                <w:szCs w:val="20"/>
                <w:lang w:eastAsia="en-NZ"/>
              </w:rPr>
              <w:t xml:space="preserve">applying a physical asset life determined in accordance with either clause 2.2.8(e)(iii) or (f) of the </w:t>
            </w:r>
            <w:r w:rsidRPr="000F314A">
              <w:rPr>
                <w:rFonts w:cs="Arial"/>
                <w:bCs/>
                <w:sz w:val="20"/>
                <w:szCs w:val="20"/>
                <w:lang w:eastAsia="en-NZ"/>
              </w:rPr>
              <w:t>IM determination</w:t>
            </w:r>
            <w:r w:rsidRPr="000F314A">
              <w:rPr>
                <w:rFonts w:cs="Arial"/>
                <w:sz w:val="20"/>
                <w:szCs w:val="20"/>
                <w:lang w:eastAsia="en-NZ"/>
              </w:rPr>
              <w:t xml:space="preserve"> </w:t>
            </w:r>
            <w:r w:rsidRPr="000F314A">
              <w:rPr>
                <w:rFonts w:cs="Arial"/>
                <w:sz w:val="20"/>
                <w:szCs w:val="20"/>
                <w:lang w:eastAsia="en-NZ"/>
              </w:rPr>
              <w:br/>
              <w:t xml:space="preserve">for the relevant </w:t>
            </w:r>
            <w:r w:rsidRPr="000F314A">
              <w:rPr>
                <w:rFonts w:cs="Arial"/>
                <w:bCs/>
                <w:sz w:val="20"/>
                <w:szCs w:val="20"/>
                <w:lang w:eastAsia="en-NZ"/>
              </w:rPr>
              <w:t>asset or assets with non-standard depreciation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Closing RIV</w:t>
            </w:r>
          </w:p>
        </w:tc>
        <w:tc>
          <w:tcPr>
            <w:tcW w:w="0" w:type="auto"/>
          </w:tcPr>
          <w:p w:rsidR="00213934" w:rsidRPr="000F314A" w:rsidRDefault="00213934" w:rsidP="005A23C3">
            <w:pPr>
              <w:rPr>
                <w:sz w:val="20"/>
                <w:szCs w:val="20"/>
              </w:rPr>
            </w:pPr>
            <w:r w:rsidRPr="000F314A">
              <w:rPr>
                <w:sz w:val="20"/>
                <w:szCs w:val="20"/>
              </w:rPr>
              <w:t xml:space="preserve">means total closing RAB values less adjustment resulting from cost allocation less lost and found assets adjustment </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Closing tax losses</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has the meaning given to that term in clause 2.3.2(4)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rPr>
                <w:color w:val="000000"/>
                <w:sz w:val="20"/>
                <w:szCs w:val="20"/>
                <w:lang w:val="en-AU"/>
              </w:rPr>
            </w:pPr>
            <w:proofErr w:type="spellStart"/>
            <w:r w:rsidRPr="000F314A">
              <w:rPr>
                <w:color w:val="000000"/>
                <w:sz w:val="20"/>
                <w:szCs w:val="20"/>
                <w:lang w:val="en-AU"/>
              </w:rPr>
              <w:t>Coalescers</w:t>
            </w:r>
            <w:proofErr w:type="spellEnd"/>
          </w:p>
        </w:tc>
        <w:tc>
          <w:tcPr>
            <w:tcW w:w="0" w:type="auto"/>
          </w:tcPr>
          <w:p w:rsidR="00213934" w:rsidRPr="000F314A" w:rsidRDefault="00213934" w:rsidP="005A23C3">
            <w:pPr>
              <w:pStyle w:val="BodyText"/>
              <w:rPr>
                <w:sz w:val="20"/>
                <w:szCs w:val="20"/>
                <w:lang w:val="en-AU"/>
              </w:rPr>
            </w:pPr>
            <w:r w:rsidRPr="000F314A">
              <w:rPr>
                <w:sz w:val="20"/>
                <w:szCs w:val="20"/>
                <w:lang w:val="en-AU"/>
              </w:rPr>
              <w:t>Means a vessel to coalesce any liquid entrained in the gas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Style w:val="Emphasis-Bold"/>
                <w:b w:val="0"/>
                <w:sz w:val="20"/>
                <w:szCs w:val="20"/>
              </w:rPr>
            </w:pPr>
            <w:r w:rsidRPr="000F314A">
              <w:rPr>
                <w:rStyle w:val="Emphasis-Bold"/>
                <w:b w:val="0"/>
                <w:sz w:val="20"/>
                <w:szCs w:val="20"/>
              </w:rPr>
              <w:t>Compressor fuel</w:t>
            </w:r>
          </w:p>
        </w:tc>
        <w:tc>
          <w:tcPr>
            <w:tcW w:w="0" w:type="auto"/>
          </w:tcPr>
          <w:p w:rsidR="00213934" w:rsidRPr="000F314A" w:rsidRDefault="00213934" w:rsidP="005A23C3">
            <w:pPr>
              <w:tabs>
                <w:tab w:val="left" w:pos="4045"/>
              </w:tabs>
              <w:spacing w:line="264" w:lineRule="auto"/>
              <w:rPr>
                <w:rFonts w:cs="Arial"/>
                <w:sz w:val="20"/>
                <w:szCs w:val="20"/>
                <w:lang w:eastAsia="en-NZ"/>
              </w:rPr>
            </w:pPr>
            <w:proofErr w:type="gramStart"/>
            <w:r w:rsidRPr="000F314A">
              <w:rPr>
                <w:sz w:val="20"/>
                <w:szCs w:val="20"/>
              </w:rPr>
              <w:t>in</w:t>
            </w:r>
            <w:proofErr w:type="gramEnd"/>
            <w:r w:rsidRPr="000F314A">
              <w:rPr>
                <w:sz w:val="20"/>
                <w:szCs w:val="20"/>
              </w:rPr>
              <w:t xml:space="preserve"> relation to expenditure, means operational expenditure where the primary driver is the consumption of natural gas by the compressor fleet.</w:t>
            </w:r>
          </w:p>
        </w:tc>
      </w:tr>
      <w:tr w:rsidR="00213934" w:rsidRPr="000F314A" w:rsidTr="00EA01E1">
        <w:trPr>
          <w:cantSplit/>
          <w:trHeight w:val="20"/>
        </w:trPr>
        <w:tc>
          <w:tcPr>
            <w:tcW w:w="0" w:type="auto"/>
          </w:tcPr>
          <w:p w:rsidR="00213934" w:rsidRPr="000F314A" w:rsidRDefault="00213934" w:rsidP="005A23C3">
            <w:pPr>
              <w:rPr>
                <w:color w:val="000000"/>
                <w:sz w:val="20"/>
                <w:szCs w:val="20"/>
                <w:lang w:val="en-AU"/>
              </w:rPr>
            </w:pPr>
            <w:r w:rsidRPr="000F314A">
              <w:rPr>
                <w:color w:val="000000"/>
                <w:sz w:val="20"/>
                <w:szCs w:val="20"/>
                <w:lang w:val="en-AU"/>
              </w:rPr>
              <w:t>Compressor stations</w:t>
            </w:r>
          </w:p>
        </w:tc>
        <w:tc>
          <w:tcPr>
            <w:tcW w:w="0" w:type="auto"/>
          </w:tcPr>
          <w:p w:rsidR="00213934" w:rsidRPr="000F314A" w:rsidRDefault="00213934" w:rsidP="005A23C3">
            <w:pPr>
              <w:pStyle w:val="BodyText"/>
              <w:rPr>
                <w:sz w:val="20"/>
                <w:szCs w:val="20"/>
                <w:lang w:val="en-AU"/>
              </w:rPr>
            </w:pPr>
            <w:r w:rsidRPr="000F314A">
              <w:rPr>
                <w:sz w:val="20"/>
                <w:szCs w:val="20"/>
                <w:lang w:val="en-AU"/>
              </w:rPr>
              <w:t>means a station where a compressor is used to increase the pressure of gas flowing in the pipe</w:t>
            </w:r>
          </w:p>
        </w:tc>
      </w:tr>
      <w:tr w:rsidR="00213934" w:rsidRPr="000F314A" w:rsidTr="00EA01E1">
        <w:trPr>
          <w:cantSplit/>
          <w:trHeight w:val="20"/>
        </w:trPr>
        <w:tc>
          <w:tcPr>
            <w:tcW w:w="0" w:type="auto"/>
          </w:tcPr>
          <w:p w:rsidR="00213934" w:rsidRPr="000F314A" w:rsidRDefault="00213934" w:rsidP="00241494">
            <w:pPr>
              <w:pStyle w:val="Clausetextunnumbered"/>
              <w:rPr>
                <w:rStyle w:val="Emphasis-Bold"/>
                <w:b w:val="0"/>
              </w:rPr>
            </w:pPr>
            <w:r w:rsidRPr="000F314A">
              <w:rPr>
                <w:rStyle w:val="Emphasis-Bold"/>
                <w:b w:val="0"/>
              </w:rPr>
              <w:t>Confirmed public reported escapes of gas</w:t>
            </w:r>
          </w:p>
        </w:tc>
        <w:tc>
          <w:tcPr>
            <w:tcW w:w="0" w:type="auto"/>
          </w:tcPr>
          <w:p w:rsidR="00213934" w:rsidRPr="000F314A" w:rsidRDefault="00213934" w:rsidP="005A23C3">
            <w:pPr>
              <w:tabs>
                <w:tab w:val="left" w:pos="4045"/>
              </w:tabs>
              <w:spacing w:line="264" w:lineRule="auto"/>
              <w:rPr>
                <w:rFonts w:cs="Arial"/>
                <w:sz w:val="20"/>
                <w:szCs w:val="20"/>
                <w:lang w:eastAsia="en-NZ"/>
              </w:rPr>
            </w:pPr>
            <w:r w:rsidRPr="000F314A">
              <w:rPr>
                <w:rFonts w:cs="Arial"/>
                <w:sz w:val="20"/>
                <w:szCs w:val="20"/>
                <w:lang w:eastAsia="en-NZ"/>
              </w:rPr>
              <w:t>means any escape of gas confirmed by the GTB excluding third party damage events, routine surveys find and no traces events</w:t>
            </w:r>
          </w:p>
        </w:tc>
      </w:tr>
      <w:tr w:rsidR="00213934" w:rsidRPr="000F314A" w:rsidTr="00EA01E1">
        <w:trPr>
          <w:cantSplit/>
          <w:trHeight w:val="20"/>
        </w:trPr>
        <w:tc>
          <w:tcPr>
            <w:tcW w:w="0" w:type="auto"/>
          </w:tcPr>
          <w:p w:rsidR="00213934" w:rsidRPr="000F314A" w:rsidRDefault="00213934" w:rsidP="005A23C3">
            <w:pPr>
              <w:rPr>
                <w:bCs/>
                <w:sz w:val="20"/>
                <w:szCs w:val="20"/>
              </w:rPr>
            </w:pPr>
            <w:r w:rsidRPr="000F314A">
              <w:rPr>
                <w:bCs/>
                <w:sz w:val="20"/>
                <w:szCs w:val="20"/>
              </w:rPr>
              <w:t>Control rights</w:t>
            </w:r>
          </w:p>
        </w:tc>
        <w:tc>
          <w:tcPr>
            <w:tcW w:w="0" w:type="auto"/>
          </w:tcPr>
          <w:p w:rsidR="00213934" w:rsidRPr="000F314A" w:rsidRDefault="00213934" w:rsidP="005A23C3">
            <w:pPr>
              <w:tabs>
                <w:tab w:val="left" w:pos="4045"/>
              </w:tabs>
              <w:spacing w:line="264" w:lineRule="auto"/>
              <w:ind w:left="34"/>
              <w:rPr>
                <w:sz w:val="20"/>
                <w:szCs w:val="20"/>
              </w:rPr>
            </w:pPr>
            <w:r w:rsidRPr="000F314A">
              <w:rPr>
                <w:sz w:val="20"/>
                <w:szCs w:val="20"/>
              </w:rPr>
              <w:t xml:space="preserve">has the meaning set out in the </w:t>
            </w:r>
            <w:r w:rsidRPr="000F314A">
              <w:rPr>
                <w:rFonts w:cs="Arial"/>
                <w:sz w:val="20"/>
                <w:szCs w:val="20"/>
                <w:lang w:eastAsia="en-NZ"/>
              </w:rPr>
              <w:t>Electricity Industry Act 2010</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Corporate tax rate</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Cost of debt assumption</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means the sum of the risk free rate and debt premium estimates as determined by the </w:t>
            </w:r>
            <w:r w:rsidRPr="000F314A">
              <w:rPr>
                <w:rFonts w:cs="Arial"/>
                <w:bCs/>
                <w:sz w:val="20"/>
                <w:szCs w:val="20"/>
                <w:lang w:eastAsia="en-NZ"/>
              </w:rPr>
              <w:t>Commission</w:t>
            </w:r>
            <w:r w:rsidRPr="000F314A">
              <w:rPr>
                <w:rFonts w:cs="Arial"/>
                <w:sz w:val="20"/>
                <w:szCs w:val="20"/>
                <w:lang w:eastAsia="en-NZ"/>
              </w:rPr>
              <w:t xml:space="preserve"> in accordance with clauses 2.4.3 and 2.4.4 and published by the Commission under clause 2.4.8 of the </w:t>
            </w:r>
            <w:r w:rsidRPr="000F314A">
              <w:rPr>
                <w:rFonts w:cs="Arial"/>
                <w:bCs/>
                <w:sz w:val="20"/>
                <w:szCs w:val="20"/>
                <w:lang w:eastAsia="en-NZ"/>
              </w:rPr>
              <w:t>IM determination for each disclosure year</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Cost of executing an interest rate swap</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has the meaning set out in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Coupon rate</w:t>
            </w:r>
          </w:p>
        </w:tc>
        <w:tc>
          <w:tcPr>
            <w:tcW w:w="0" w:type="auto"/>
          </w:tcPr>
          <w:p w:rsidR="00213934" w:rsidRPr="000F314A" w:rsidRDefault="00213934" w:rsidP="005A23C3">
            <w:pPr>
              <w:tabs>
                <w:tab w:val="left" w:pos="4045"/>
              </w:tabs>
              <w:spacing w:line="264" w:lineRule="auto"/>
              <w:ind w:left="459" w:hanging="425"/>
              <w:rPr>
                <w:rFonts w:cs="Arial"/>
                <w:sz w:val="20"/>
                <w:szCs w:val="20"/>
                <w:lang w:eastAsia="en-NZ"/>
              </w:rPr>
            </w:pPr>
            <w:r w:rsidRPr="000F314A">
              <w:rPr>
                <w:rFonts w:cs="Arial"/>
                <w:sz w:val="20"/>
                <w:szCs w:val="20"/>
                <w:lang w:eastAsia="en-NZ"/>
              </w:rPr>
              <w:t>means:</w:t>
            </w:r>
          </w:p>
          <w:p w:rsidR="00213934" w:rsidRPr="000F314A" w:rsidRDefault="00213934" w:rsidP="005A23C3">
            <w:pPr>
              <w:tabs>
                <w:tab w:val="left" w:pos="4045"/>
              </w:tabs>
              <w:spacing w:line="264" w:lineRule="auto"/>
              <w:ind w:left="459" w:hanging="351"/>
              <w:rPr>
                <w:rFonts w:cs="Arial"/>
                <w:sz w:val="20"/>
                <w:szCs w:val="20"/>
                <w:lang w:eastAsia="en-NZ"/>
              </w:rPr>
            </w:pPr>
            <w:r w:rsidRPr="000F314A">
              <w:rPr>
                <w:rFonts w:cs="Arial"/>
                <w:sz w:val="20"/>
                <w:szCs w:val="20"/>
                <w:lang w:eastAsia="en-NZ"/>
              </w:rPr>
              <w:t>(a)</w:t>
            </w:r>
            <w:r w:rsidRPr="000F314A">
              <w:rPr>
                <w:rFonts w:cs="Arial"/>
                <w:sz w:val="20"/>
                <w:szCs w:val="20"/>
                <w:lang w:eastAsia="en-NZ"/>
              </w:rPr>
              <w:tab/>
              <w:t xml:space="preserve">where the information is available publicly, the nominal coupon rate of interest of a </w:t>
            </w:r>
            <w:r w:rsidRPr="000F314A">
              <w:rPr>
                <w:rFonts w:cs="Arial"/>
                <w:bCs/>
                <w:sz w:val="20"/>
                <w:szCs w:val="20"/>
                <w:lang w:eastAsia="en-NZ"/>
              </w:rPr>
              <w:t>qualifying debt</w:t>
            </w:r>
            <w:r w:rsidRPr="000F314A">
              <w:rPr>
                <w:rFonts w:cs="Arial"/>
                <w:sz w:val="20"/>
                <w:szCs w:val="20"/>
                <w:lang w:eastAsia="en-NZ"/>
              </w:rPr>
              <w:t xml:space="preserve"> on the </w:t>
            </w:r>
            <w:r w:rsidRPr="000F314A">
              <w:rPr>
                <w:rFonts w:cs="Arial"/>
                <w:bCs/>
                <w:sz w:val="20"/>
                <w:szCs w:val="20"/>
                <w:lang w:eastAsia="en-NZ"/>
              </w:rPr>
              <w:t>issue date</w:t>
            </w:r>
            <w:r w:rsidRPr="000F314A">
              <w:rPr>
                <w:rFonts w:cs="Arial"/>
                <w:sz w:val="20"/>
                <w:szCs w:val="20"/>
                <w:lang w:eastAsia="en-NZ"/>
              </w:rPr>
              <w:t>;</w:t>
            </w:r>
          </w:p>
          <w:p w:rsidR="00213934" w:rsidRPr="000F314A" w:rsidRDefault="00213934" w:rsidP="005A23C3">
            <w:pPr>
              <w:tabs>
                <w:tab w:val="left" w:pos="4045"/>
              </w:tabs>
              <w:spacing w:line="264" w:lineRule="auto"/>
              <w:ind w:left="459" w:hanging="351"/>
              <w:rPr>
                <w:rFonts w:cs="Arial"/>
                <w:sz w:val="20"/>
                <w:szCs w:val="20"/>
                <w:lang w:eastAsia="en-NZ"/>
              </w:rPr>
            </w:pPr>
            <w:r w:rsidRPr="000F314A">
              <w:rPr>
                <w:rFonts w:cs="Arial"/>
                <w:sz w:val="20"/>
                <w:szCs w:val="20"/>
                <w:lang w:eastAsia="en-NZ"/>
              </w:rPr>
              <w:t>(b)</w:t>
            </w:r>
            <w:r w:rsidRPr="000F314A">
              <w:rPr>
                <w:rFonts w:cs="Arial"/>
                <w:sz w:val="20"/>
                <w:szCs w:val="20"/>
                <w:lang w:eastAsia="en-NZ"/>
              </w:rPr>
              <w:tab/>
              <w:t xml:space="preserve">where the nominal coupon rate of interest of a </w:t>
            </w:r>
            <w:r w:rsidRPr="000F314A">
              <w:rPr>
                <w:rFonts w:cs="Arial"/>
                <w:bCs/>
                <w:sz w:val="20"/>
                <w:szCs w:val="20"/>
                <w:lang w:eastAsia="en-NZ"/>
              </w:rPr>
              <w:t>qualifying debt</w:t>
            </w:r>
            <w:r w:rsidRPr="000F314A">
              <w:rPr>
                <w:rFonts w:cs="Arial"/>
                <w:sz w:val="20"/>
                <w:szCs w:val="20"/>
                <w:lang w:eastAsia="en-NZ"/>
              </w:rPr>
              <w:t xml:space="preserve"> on the</w:t>
            </w:r>
            <w:r w:rsidRPr="000F314A">
              <w:rPr>
                <w:rFonts w:cs="Arial"/>
                <w:bCs/>
                <w:sz w:val="20"/>
                <w:szCs w:val="20"/>
                <w:lang w:eastAsia="en-NZ"/>
              </w:rPr>
              <w:t xml:space="preserve"> issue date </w:t>
            </w:r>
            <w:r w:rsidRPr="000F314A">
              <w:rPr>
                <w:rFonts w:cs="Arial"/>
                <w:sz w:val="20"/>
                <w:szCs w:val="20"/>
                <w:lang w:eastAsia="en-NZ"/>
              </w:rPr>
              <w:t xml:space="preserve">is not available publicly, either the nominal coupon rate of interest or the basis for determining the nominal coupon rate of interest of a </w:t>
            </w:r>
            <w:r w:rsidRPr="000F314A">
              <w:rPr>
                <w:rFonts w:cs="Arial"/>
                <w:bCs/>
                <w:sz w:val="20"/>
                <w:szCs w:val="20"/>
                <w:lang w:eastAsia="en-NZ"/>
              </w:rPr>
              <w:t>qualifying debt</w:t>
            </w:r>
            <w:r w:rsidRPr="000F314A">
              <w:rPr>
                <w:rFonts w:cs="Arial"/>
                <w:sz w:val="20"/>
                <w:szCs w:val="20"/>
                <w:lang w:eastAsia="en-NZ"/>
              </w:rPr>
              <w:t xml:space="preserve"> on the </w:t>
            </w:r>
            <w:r w:rsidRPr="000F314A">
              <w:rPr>
                <w:rFonts w:cs="Arial"/>
                <w:bCs/>
                <w:sz w:val="20"/>
                <w:szCs w:val="20"/>
                <w:lang w:eastAsia="en-NZ"/>
              </w:rPr>
              <w:t>issue date</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CPI</w:t>
            </w:r>
            <w:r w:rsidRPr="000F314A">
              <w:rPr>
                <w:rFonts w:cs="Arial"/>
                <w:bCs/>
                <w:sz w:val="20"/>
                <w:szCs w:val="20"/>
                <w:vertAlign w:val="subscript"/>
                <w:lang w:eastAsia="en-NZ"/>
              </w:rPr>
              <w:t>4</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has the meaning set out in clause 2.2.9(4) of the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CPI</w:t>
            </w:r>
            <w:r w:rsidRPr="000F314A">
              <w:rPr>
                <w:rFonts w:cs="Arial"/>
                <w:bCs/>
                <w:sz w:val="20"/>
                <w:szCs w:val="20"/>
                <w:vertAlign w:val="subscript"/>
                <w:lang w:eastAsia="en-NZ"/>
              </w:rPr>
              <w:t>4</w:t>
            </w:r>
            <w:r w:rsidRPr="000F314A">
              <w:rPr>
                <w:rFonts w:cs="Arial"/>
                <w:bCs/>
                <w:sz w:val="20"/>
                <w:szCs w:val="20"/>
                <w:vertAlign w:val="superscript"/>
                <w:lang w:eastAsia="en-NZ"/>
              </w:rPr>
              <w:t>-4</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has the meaning set out in clause 2.2.9(4) of the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CPP</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means customised price-quality path</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Current period tax losses</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has the meaning given to that term in clause 2.3.2(5) of the IM determination</w:t>
            </w:r>
          </w:p>
        </w:tc>
      </w:tr>
      <w:tr w:rsidR="00213934" w:rsidRPr="000F314A" w:rsidTr="00EA01E1">
        <w:trPr>
          <w:cantSplit/>
          <w:trHeight w:val="20"/>
        </w:trPr>
        <w:tc>
          <w:tcPr>
            <w:tcW w:w="0" w:type="auto"/>
          </w:tcPr>
          <w:p w:rsidR="00213934" w:rsidRPr="000F314A" w:rsidRDefault="00213934" w:rsidP="005A23C3">
            <w:pPr>
              <w:rPr>
                <w:color w:val="000000"/>
                <w:sz w:val="20"/>
                <w:szCs w:val="20"/>
                <w:lang w:val="en-AU"/>
              </w:rPr>
            </w:pPr>
            <w:r w:rsidRPr="000F314A">
              <w:rPr>
                <w:color w:val="000000"/>
                <w:sz w:val="20"/>
                <w:szCs w:val="20"/>
                <w:lang w:val="en-AU"/>
              </w:rPr>
              <w:t>Customer types defined by GTB</w:t>
            </w:r>
          </w:p>
        </w:tc>
        <w:tc>
          <w:tcPr>
            <w:tcW w:w="0" w:type="auto"/>
          </w:tcPr>
          <w:p w:rsidR="00213934" w:rsidRPr="000F314A" w:rsidRDefault="00213934" w:rsidP="005A23C3">
            <w:pPr>
              <w:pStyle w:val="BodyText"/>
              <w:rPr>
                <w:sz w:val="20"/>
                <w:szCs w:val="20"/>
                <w:lang w:val="en-AU"/>
              </w:rPr>
            </w:pPr>
            <w:proofErr w:type="gramStart"/>
            <w:r w:rsidRPr="000F314A">
              <w:rPr>
                <w:sz w:val="20"/>
                <w:szCs w:val="20"/>
                <w:lang w:val="en-AU"/>
              </w:rPr>
              <w:t>means</w:t>
            </w:r>
            <w:proofErr w:type="gramEnd"/>
            <w:r w:rsidRPr="000F314A">
              <w:rPr>
                <w:sz w:val="20"/>
                <w:szCs w:val="20"/>
                <w:lang w:val="en-AU"/>
              </w:rPr>
              <w:t xml:space="preserve"> categories of customers that are defined by the GTB based on particular customer attributes.</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Data Accuracy 1–4</w:t>
            </w:r>
          </w:p>
        </w:tc>
        <w:tc>
          <w:tcPr>
            <w:tcW w:w="0" w:type="auto"/>
          </w:tcPr>
          <w:p w:rsidR="00213934" w:rsidRPr="000F314A" w:rsidRDefault="00213934" w:rsidP="005A23C3">
            <w:pPr>
              <w:pStyle w:val="BodyText"/>
              <w:rPr>
                <w:sz w:val="20"/>
                <w:szCs w:val="20"/>
              </w:rPr>
            </w:pPr>
            <w:r w:rsidRPr="000F314A">
              <w:rPr>
                <w:sz w:val="20"/>
                <w:szCs w:val="20"/>
              </w:rPr>
              <w:t>means the GTB’s assessment of the accuracy of the data provided, using one of the following options:</w:t>
            </w:r>
          </w:p>
          <w:p w:rsidR="00213934" w:rsidRPr="000F314A" w:rsidRDefault="00213934" w:rsidP="005A23C3">
            <w:pPr>
              <w:pStyle w:val="BodyText"/>
              <w:rPr>
                <w:sz w:val="20"/>
                <w:szCs w:val="20"/>
              </w:rPr>
            </w:pPr>
            <w:r w:rsidRPr="000F314A">
              <w:rPr>
                <w:sz w:val="20"/>
                <w:szCs w:val="20"/>
              </w:rPr>
              <w:t>1 – means that good quality data is not available for any of the assets in the category and estimates are likely to contain significant error</w:t>
            </w:r>
          </w:p>
          <w:p w:rsidR="00213934" w:rsidRPr="000F314A" w:rsidRDefault="00213934" w:rsidP="005A23C3">
            <w:pPr>
              <w:pStyle w:val="BodyText"/>
              <w:rPr>
                <w:sz w:val="20"/>
                <w:szCs w:val="20"/>
              </w:rPr>
            </w:pPr>
            <w:r w:rsidRPr="000F314A">
              <w:rPr>
                <w:sz w:val="20"/>
                <w:szCs w:val="20"/>
              </w:rPr>
              <w:t>2 – means that good quality data is available for some assets but not for others and the data provided includes estimates of uncounted assets within the category</w:t>
            </w:r>
          </w:p>
          <w:p w:rsidR="00213934" w:rsidRPr="000F314A" w:rsidRDefault="00213934" w:rsidP="005A23C3">
            <w:pPr>
              <w:pStyle w:val="BodyText"/>
              <w:rPr>
                <w:sz w:val="20"/>
                <w:szCs w:val="20"/>
              </w:rPr>
            </w:pPr>
            <w:r w:rsidRPr="000F314A">
              <w:rPr>
                <w:sz w:val="20"/>
                <w:szCs w:val="20"/>
              </w:rPr>
              <w:t>3 – means that data is available for all assets but includes a level of estimation where there is understood to be some poor quality data for some of the assets within the category</w:t>
            </w:r>
          </w:p>
          <w:p w:rsidR="00213934" w:rsidRPr="000F314A" w:rsidRDefault="00213934" w:rsidP="005A23C3">
            <w:pPr>
              <w:pStyle w:val="Tablebodytext"/>
              <w:rPr>
                <w:sz w:val="20"/>
                <w:szCs w:val="20"/>
              </w:rPr>
            </w:pPr>
            <w:r w:rsidRPr="000F314A">
              <w:rPr>
                <w:sz w:val="20"/>
                <w:szCs w:val="20"/>
              </w:rPr>
              <w:t>4 – means that good quality data is available for all of the assets in the category</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Debt issue cost readjustment</w:t>
            </w:r>
          </w:p>
        </w:tc>
        <w:tc>
          <w:tcPr>
            <w:tcW w:w="0" w:type="auto"/>
          </w:tcPr>
          <w:p w:rsidR="00213934" w:rsidRPr="000F314A" w:rsidRDefault="00213934" w:rsidP="005A23C3">
            <w:pPr>
              <w:tabs>
                <w:tab w:val="left" w:pos="4045"/>
              </w:tabs>
              <w:spacing w:line="264" w:lineRule="auto"/>
              <w:rPr>
                <w:sz w:val="20"/>
                <w:szCs w:val="20"/>
              </w:rPr>
            </w:pPr>
            <w:r w:rsidRPr="000F314A">
              <w:rPr>
                <w:rFonts w:cs="Arial"/>
                <w:sz w:val="20"/>
                <w:szCs w:val="20"/>
                <w:lang w:eastAsia="en-NZ"/>
              </w:rPr>
              <w:t>has the meaning set out in clause 2.4.11(4) of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Depreciation - alternative depreciation in accordance with CPP</w:t>
            </w:r>
          </w:p>
        </w:tc>
        <w:tc>
          <w:tcPr>
            <w:tcW w:w="0" w:type="auto"/>
          </w:tcPr>
          <w:p w:rsidR="00213934" w:rsidRPr="000F314A" w:rsidRDefault="00213934" w:rsidP="005A23C3">
            <w:pPr>
              <w:tabs>
                <w:tab w:val="left" w:pos="459"/>
              </w:tabs>
              <w:spacing w:line="264" w:lineRule="auto"/>
              <w:ind w:left="459" w:hanging="425"/>
              <w:rPr>
                <w:rFonts w:cs="Arial"/>
                <w:sz w:val="20"/>
                <w:szCs w:val="20"/>
                <w:lang w:eastAsia="en-NZ"/>
              </w:rPr>
            </w:pPr>
            <w:r w:rsidRPr="000F314A">
              <w:rPr>
                <w:rFonts w:cs="Arial"/>
                <w:sz w:val="20"/>
                <w:szCs w:val="20"/>
                <w:lang w:eastAsia="en-NZ"/>
              </w:rPr>
              <w:t>means:</w:t>
            </w:r>
          </w:p>
          <w:p w:rsidR="00213934" w:rsidRPr="000F314A" w:rsidRDefault="00213934" w:rsidP="005A23C3">
            <w:pPr>
              <w:tabs>
                <w:tab w:val="left" w:pos="459"/>
              </w:tabs>
              <w:spacing w:line="264" w:lineRule="auto"/>
              <w:ind w:left="459" w:hanging="425"/>
              <w:rPr>
                <w:rFonts w:cs="Arial"/>
                <w:sz w:val="20"/>
                <w:szCs w:val="20"/>
                <w:lang w:eastAsia="en-NZ"/>
              </w:rPr>
            </w:pPr>
            <w:r w:rsidRPr="000F314A">
              <w:rPr>
                <w:rFonts w:cs="Arial"/>
                <w:sz w:val="20"/>
                <w:szCs w:val="20"/>
                <w:lang w:eastAsia="en-NZ"/>
              </w:rPr>
              <w:t>(a)</w:t>
            </w:r>
            <w:r w:rsidRPr="000F314A">
              <w:rPr>
                <w:rFonts w:cs="Arial"/>
                <w:sz w:val="20"/>
                <w:szCs w:val="20"/>
                <w:lang w:eastAsia="en-NZ"/>
              </w:rPr>
              <w:tab/>
              <w:t xml:space="preserve">in relation to the </w:t>
            </w:r>
            <w:r w:rsidRPr="000F314A">
              <w:rPr>
                <w:rFonts w:cs="Arial"/>
                <w:bCs/>
                <w:sz w:val="20"/>
                <w:szCs w:val="20"/>
                <w:lang w:eastAsia="en-NZ"/>
              </w:rPr>
              <w:t>unallocated RAB</w:t>
            </w:r>
            <w:r w:rsidRPr="000F314A">
              <w:rPr>
                <w:rFonts w:cs="Arial"/>
                <w:sz w:val="20"/>
                <w:szCs w:val="20"/>
                <w:lang w:eastAsia="en-NZ"/>
              </w:rPr>
              <w:t xml:space="preserve">, the sum of unallocated depreciation calculated in accordance with clause 2.2.6 of the </w:t>
            </w:r>
            <w:r w:rsidRPr="000F314A">
              <w:rPr>
                <w:rFonts w:cs="Arial"/>
                <w:bCs/>
                <w:sz w:val="20"/>
                <w:szCs w:val="20"/>
                <w:lang w:eastAsia="en-NZ"/>
              </w:rPr>
              <w:t>IM determination</w:t>
            </w:r>
            <w:r w:rsidRPr="000F314A">
              <w:rPr>
                <w:rFonts w:cs="Arial"/>
                <w:sz w:val="20"/>
                <w:szCs w:val="20"/>
                <w:lang w:eastAsia="en-NZ"/>
              </w:rPr>
              <w:t>;</w:t>
            </w:r>
          </w:p>
          <w:p w:rsidR="00213934" w:rsidRPr="000F314A" w:rsidRDefault="00213934" w:rsidP="005A23C3">
            <w:pPr>
              <w:tabs>
                <w:tab w:val="left" w:pos="459"/>
              </w:tabs>
              <w:spacing w:line="264" w:lineRule="auto"/>
              <w:ind w:left="459" w:hanging="425"/>
              <w:rPr>
                <w:rFonts w:cs="Arial"/>
                <w:sz w:val="20"/>
                <w:szCs w:val="20"/>
                <w:lang w:eastAsia="en-NZ"/>
              </w:rPr>
            </w:pPr>
            <w:r w:rsidRPr="000F314A">
              <w:rPr>
                <w:rFonts w:cs="Arial"/>
                <w:sz w:val="20"/>
                <w:szCs w:val="20"/>
                <w:lang w:eastAsia="en-NZ"/>
              </w:rPr>
              <w:t>(b)</w:t>
            </w:r>
            <w:r w:rsidRPr="000F314A">
              <w:rPr>
                <w:rFonts w:cs="Arial"/>
                <w:sz w:val="20"/>
                <w:szCs w:val="20"/>
                <w:lang w:eastAsia="en-NZ"/>
              </w:rPr>
              <w:tab/>
              <w:t xml:space="preserve">in relation to the </w:t>
            </w:r>
            <w:r w:rsidRPr="000F314A">
              <w:rPr>
                <w:rFonts w:cs="Arial"/>
                <w:bCs/>
                <w:sz w:val="20"/>
                <w:szCs w:val="20"/>
                <w:lang w:eastAsia="en-NZ"/>
              </w:rPr>
              <w:t>RAB,</w:t>
            </w:r>
            <w:r w:rsidRPr="000F314A">
              <w:rPr>
                <w:rFonts w:cs="Arial"/>
                <w:sz w:val="20"/>
                <w:szCs w:val="20"/>
                <w:lang w:eastAsia="en-NZ"/>
              </w:rPr>
              <w:t xml:space="preserve"> depreciation calculated in accordance with clause 2.2.6 or 2.2.8(4)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Depreciation - modified life assets</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w:t>
            </w:r>
          </w:p>
          <w:p w:rsidR="00213934" w:rsidRPr="000F314A" w:rsidRDefault="00213934" w:rsidP="00213934">
            <w:pPr>
              <w:pStyle w:val="ListParagraph"/>
              <w:numPr>
                <w:ilvl w:val="0"/>
                <w:numId w:val="75"/>
              </w:numPr>
              <w:spacing w:line="264" w:lineRule="auto"/>
              <w:ind w:left="459" w:hanging="425"/>
              <w:rPr>
                <w:rFonts w:cs="Arial"/>
                <w:bCs/>
                <w:sz w:val="20"/>
                <w:szCs w:val="20"/>
                <w:lang w:eastAsia="en-NZ"/>
              </w:rPr>
            </w:pPr>
            <w:r w:rsidRPr="000F314A">
              <w:rPr>
                <w:rFonts w:cs="Arial"/>
                <w:sz w:val="20"/>
                <w:szCs w:val="20"/>
                <w:lang w:eastAsia="en-NZ"/>
              </w:rPr>
              <w:t xml:space="preserve">in relation to the </w:t>
            </w:r>
            <w:r w:rsidRPr="000F314A">
              <w:rPr>
                <w:rFonts w:cs="Arial"/>
                <w:bCs/>
                <w:sz w:val="20"/>
                <w:szCs w:val="20"/>
                <w:lang w:eastAsia="en-NZ"/>
              </w:rPr>
              <w:t>unallocated RAB</w:t>
            </w:r>
            <w:r w:rsidRPr="000F314A">
              <w:rPr>
                <w:rFonts w:cs="Arial"/>
                <w:sz w:val="20"/>
                <w:szCs w:val="20"/>
                <w:lang w:eastAsia="en-NZ"/>
              </w:rPr>
              <w:t>, the sum of unallocated depreciation calculated in accordance with clause 2.2.5(1) of the IM determination;</w:t>
            </w:r>
          </w:p>
          <w:p w:rsidR="00213934" w:rsidRPr="000F314A" w:rsidRDefault="00213934" w:rsidP="00213934">
            <w:pPr>
              <w:pStyle w:val="ListParagraph"/>
              <w:numPr>
                <w:ilvl w:val="0"/>
                <w:numId w:val="75"/>
              </w:numPr>
              <w:spacing w:line="264" w:lineRule="auto"/>
              <w:ind w:left="459" w:hanging="425"/>
              <w:rPr>
                <w:rFonts w:cs="Arial"/>
                <w:bCs/>
                <w:sz w:val="20"/>
                <w:szCs w:val="20"/>
                <w:lang w:eastAsia="en-NZ"/>
              </w:rPr>
            </w:pPr>
            <w:r w:rsidRPr="000F314A">
              <w:rPr>
                <w:rFonts w:cs="Arial"/>
                <w:sz w:val="20"/>
                <w:szCs w:val="20"/>
                <w:lang w:eastAsia="en-NZ"/>
              </w:rPr>
              <w:t xml:space="preserve">in relation to the </w:t>
            </w:r>
            <w:r w:rsidRPr="000F314A">
              <w:rPr>
                <w:rFonts w:cs="Arial"/>
                <w:bCs/>
                <w:sz w:val="20"/>
                <w:szCs w:val="20"/>
                <w:lang w:eastAsia="en-NZ"/>
              </w:rPr>
              <w:t>RAB</w:t>
            </w:r>
            <w:r w:rsidRPr="000F314A">
              <w:rPr>
                <w:rFonts w:cs="Arial"/>
                <w:sz w:val="20"/>
                <w:szCs w:val="20"/>
                <w:lang w:eastAsia="en-NZ"/>
              </w:rPr>
              <w:t xml:space="preserve">, depreciation calculated in accordance with clause 2.2.5(2) of the </w:t>
            </w:r>
            <w:r w:rsidRPr="000F314A">
              <w:rPr>
                <w:rFonts w:cs="Arial"/>
                <w:bCs/>
                <w:sz w:val="20"/>
                <w:szCs w:val="20"/>
                <w:lang w:eastAsia="en-NZ"/>
              </w:rPr>
              <w:t>IM determination</w:t>
            </w:r>
            <w:r w:rsidRPr="000F314A">
              <w:rPr>
                <w:rFonts w:cs="Arial"/>
                <w:sz w:val="20"/>
                <w:szCs w:val="20"/>
                <w:lang w:eastAsia="en-NZ"/>
              </w:rPr>
              <w:t>;</w:t>
            </w:r>
          </w:p>
          <w:p w:rsidR="00213934" w:rsidRPr="000F314A" w:rsidRDefault="00213934" w:rsidP="005A23C3">
            <w:pPr>
              <w:pStyle w:val="ListParagraph"/>
              <w:spacing w:line="264" w:lineRule="auto"/>
              <w:ind w:left="34"/>
              <w:rPr>
                <w:rFonts w:cs="Arial"/>
                <w:sz w:val="20"/>
                <w:szCs w:val="20"/>
                <w:lang w:eastAsia="en-NZ"/>
              </w:rPr>
            </w:pPr>
            <w:r w:rsidRPr="000F314A">
              <w:rPr>
                <w:rFonts w:cs="Arial"/>
                <w:sz w:val="20"/>
                <w:szCs w:val="20"/>
                <w:lang w:eastAsia="en-NZ"/>
              </w:rPr>
              <w:t xml:space="preserve">of assets with a physical asset life determined in accordance with clauses 2.2.8(1)(b or 2.2.8(2) of the </w:t>
            </w:r>
            <w:r w:rsidRPr="000F314A">
              <w:rPr>
                <w:rFonts w:cs="Arial"/>
                <w:bCs/>
                <w:sz w:val="20"/>
                <w:szCs w:val="20"/>
                <w:lang w:eastAsia="en-NZ"/>
              </w:rPr>
              <w:t>IM determination or w</w:t>
            </w:r>
            <w:r w:rsidRPr="000F314A">
              <w:rPr>
                <w:rFonts w:cs="Arial"/>
                <w:sz w:val="20"/>
                <w:szCs w:val="20"/>
                <w:lang w:eastAsia="en-NZ"/>
              </w:rPr>
              <w:t>here clauses 2.2.8(1)(d) and 2.2.8(1)(e)(iv) of the IM determination apply with reference to assets with a physical asset life determined in accordance with clauses 2.2.8(1)(b) or 2.2.8(2) of the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Depreciation - no standard life assets</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w:t>
            </w:r>
          </w:p>
          <w:p w:rsidR="00213934" w:rsidRPr="000F314A" w:rsidRDefault="00213934" w:rsidP="00213934">
            <w:pPr>
              <w:pStyle w:val="ListParagraph"/>
              <w:numPr>
                <w:ilvl w:val="0"/>
                <w:numId w:val="76"/>
              </w:numPr>
              <w:spacing w:line="264" w:lineRule="auto"/>
              <w:ind w:left="459" w:hanging="425"/>
              <w:rPr>
                <w:rFonts w:cs="Arial"/>
                <w:bCs/>
                <w:sz w:val="20"/>
                <w:szCs w:val="20"/>
                <w:lang w:eastAsia="en-NZ"/>
              </w:rPr>
            </w:pPr>
            <w:r w:rsidRPr="000F314A">
              <w:rPr>
                <w:rFonts w:cs="Arial"/>
                <w:sz w:val="20"/>
                <w:szCs w:val="20"/>
                <w:lang w:eastAsia="en-NZ"/>
              </w:rPr>
              <w:t xml:space="preserve">in relation to the </w:t>
            </w:r>
            <w:r w:rsidRPr="000F314A">
              <w:rPr>
                <w:rFonts w:cs="Arial"/>
                <w:bCs/>
                <w:sz w:val="20"/>
                <w:szCs w:val="20"/>
                <w:lang w:eastAsia="en-NZ"/>
              </w:rPr>
              <w:t>unallocated RAB</w:t>
            </w:r>
            <w:r w:rsidRPr="000F314A">
              <w:rPr>
                <w:rFonts w:cs="Arial"/>
                <w:sz w:val="20"/>
                <w:szCs w:val="20"/>
                <w:lang w:eastAsia="en-NZ"/>
              </w:rPr>
              <w:t xml:space="preserve">, the sum of unallocated depreciation calculated in accordance with clause 2.2.5(1) of the </w:t>
            </w:r>
            <w:r w:rsidRPr="000F314A">
              <w:rPr>
                <w:rFonts w:cs="Arial"/>
                <w:bCs/>
                <w:sz w:val="20"/>
                <w:szCs w:val="20"/>
                <w:lang w:eastAsia="en-NZ"/>
              </w:rPr>
              <w:t>IM determination</w:t>
            </w:r>
            <w:r w:rsidRPr="000F314A">
              <w:rPr>
                <w:rFonts w:cs="Arial"/>
                <w:sz w:val="20"/>
                <w:szCs w:val="20"/>
                <w:lang w:eastAsia="en-NZ"/>
              </w:rPr>
              <w:t>;</w:t>
            </w:r>
          </w:p>
          <w:p w:rsidR="00213934" w:rsidRPr="000F314A" w:rsidRDefault="00213934" w:rsidP="00213934">
            <w:pPr>
              <w:pStyle w:val="ListParagraph"/>
              <w:numPr>
                <w:ilvl w:val="0"/>
                <w:numId w:val="76"/>
              </w:numPr>
              <w:spacing w:line="264" w:lineRule="auto"/>
              <w:ind w:left="459" w:hanging="425"/>
              <w:rPr>
                <w:rFonts w:cs="Arial"/>
                <w:sz w:val="20"/>
                <w:szCs w:val="20"/>
                <w:lang w:eastAsia="en-NZ"/>
              </w:rPr>
            </w:pPr>
            <w:r w:rsidRPr="000F314A">
              <w:rPr>
                <w:rFonts w:cs="Arial"/>
                <w:sz w:val="20"/>
                <w:szCs w:val="20"/>
                <w:lang w:eastAsia="en-NZ"/>
              </w:rPr>
              <w:t xml:space="preserve">in relation to the </w:t>
            </w:r>
            <w:r w:rsidRPr="000F314A">
              <w:rPr>
                <w:rFonts w:cs="Arial"/>
                <w:bCs/>
                <w:sz w:val="20"/>
                <w:szCs w:val="20"/>
                <w:lang w:eastAsia="en-NZ"/>
              </w:rPr>
              <w:t>RAB,</w:t>
            </w:r>
            <w:r w:rsidRPr="000F314A">
              <w:rPr>
                <w:rFonts w:cs="Arial"/>
                <w:sz w:val="20"/>
                <w:szCs w:val="20"/>
                <w:lang w:eastAsia="en-NZ"/>
              </w:rPr>
              <w:t xml:space="preserve"> depreciation calculated in accordance with clause 2.2.5(2) of the</w:t>
            </w:r>
            <w:r w:rsidRPr="000F314A">
              <w:rPr>
                <w:rFonts w:cs="Arial"/>
                <w:bCs/>
                <w:sz w:val="20"/>
                <w:szCs w:val="20"/>
                <w:lang w:eastAsia="en-NZ"/>
              </w:rPr>
              <w:t xml:space="preserve"> IM determination</w:t>
            </w:r>
            <w:r w:rsidRPr="000F314A">
              <w:rPr>
                <w:rFonts w:cs="Arial"/>
                <w:sz w:val="20"/>
                <w:szCs w:val="20"/>
                <w:lang w:eastAsia="en-NZ"/>
              </w:rPr>
              <w:t>;</w:t>
            </w:r>
          </w:p>
          <w:p w:rsidR="00213934" w:rsidRPr="000F314A" w:rsidRDefault="00213934" w:rsidP="005A23C3">
            <w:pPr>
              <w:spacing w:line="264" w:lineRule="auto"/>
              <w:ind w:left="34"/>
              <w:rPr>
                <w:rFonts w:cs="Arial"/>
                <w:sz w:val="20"/>
                <w:szCs w:val="20"/>
                <w:lang w:eastAsia="en-NZ"/>
              </w:rPr>
            </w:pPr>
            <w:r w:rsidRPr="000F314A">
              <w:rPr>
                <w:rFonts w:cs="Arial"/>
                <w:sz w:val="20"/>
                <w:szCs w:val="20"/>
                <w:lang w:eastAsia="en-NZ"/>
              </w:rPr>
              <w:t xml:space="preserve">of assets with a physical asset life determined in accordance with clauses 2.2.8(1)(a) or 2.2.8(1)(d) or 2.2.8(1)(e)(iv)-(v) or 2.2.8(1)(g) of the </w:t>
            </w:r>
            <w:r w:rsidRPr="000F314A">
              <w:rPr>
                <w:rFonts w:cs="Arial"/>
                <w:bCs/>
                <w:sz w:val="20"/>
                <w:szCs w:val="20"/>
                <w:lang w:eastAsia="en-NZ"/>
              </w:rPr>
              <w:t xml:space="preserve">IM determination or where clauses 2.2.8(1)(d) and 2.2.8(1)(e)(iv) </w:t>
            </w:r>
            <w:r w:rsidRPr="000F314A">
              <w:rPr>
                <w:rFonts w:cs="Arial"/>
                <w:sz w:val="20"/>
                <w:szCs w:val="20"/>
                <w:lang w:eastAsia="en-NZ"/>
              </w:rPr>
              <w:t xml:space="preserve">of the IM determination apply with reference to assets with a physical asset life determined in accordance with clauses 2.2.8(1)(a) or 2.2.8(1)(d) or 2.2.8(1)(e)(iv)-(v) or 2.2.8(1)(g)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Depreciation - standard</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means:</w:t>
            </w:r>
          </w:p>
          <w:p w:rsidR="00213934" w:rsidRPr="000F314A" w:rsidRDefault="00213934" w:rsidP="00213934">
            <w:pPr>
              <w:pStyle w:val="ListParagraph"/>
              <w:numPr>
                <w:ilvl w:val="0"/>
                <w:numId w:val="77"/>
              </w:numPr>
              <w:tabs>
                <w:tab w:val="left" w:pos="4045"/>
              </w:tabs>
              <w:spacing w:line="264" w:lineRule="auto"/>
              <w:ind w:hanging="434"/>
              <w:rPr>
                <w:rFonts w:cs="Arial"/>
                <w:sz w:val="20"/>
                <w:szCs w:val="20"/>
                <w:lang w:eastAsia="en-NZ"/>
              </w:rPr>
            </w:pPr>
            <w:r w:rsidRPr="000F314A">
              <w:rPr>
                <w:rFonts w:cs="Arial"/>
                <w:sz w:val="20"/>
                <w:szCs w:val="20"/>
                <w:lang w:eastAsia="en-NZ"/>
              </w:rPr>
              <w:t>in relation to the</w:t>
            </w:r>
            <w:r w:rsidRPr="000F314A">
              <w:rPr>
                <w:rFonts w:cs="Arial"/>
                <w:bCs/>
                <w:sz w:val="20"/>
                <w:szCs w:val="20"/>
                <w:lang w:eastAsia="en-NZ"/>
              </w:rPr>
              <w:t xml:space="preserve"> unallocated RAB</w:t>
            </w:r>
            <w:r w:rsidRPr="000F314A">
              <w:rPr>
                <w:rFonts w:cs="Arial"/>
                <w:sz w:val="20"/>
                <w:szCs w:val="20"/>
                <w:lang w:eastAsia="en-NZ"/>
              </w:rPr>
              <w:t>, the sum of unallocated depreciation calculated in accordance with clause 2.2.5(1) of the IM determination;</w:t>
            </w:r>
          </w:p>
          <w:p w:rsidR="00213934" w:rsidRPr="000F314A" w:rsidRDefault="00213934" w:rsidP="00213934">
            <w:pPr>
              <w:pStyle w:val="ListParagraph"/>
              <w:numPr>
                <w:ilvl w:val="0"/>
                <w:numId w:val="77"/>
              </w:numPr>
              <w:tabs>
                <w:tab w:val="left" w:pos="4045"/>
              </w:tabs>
              <w:spacing w:line="264" w:lineRule="auto"/>
              <w:ind w:hanging="434"/>
              <w:rPr>
                <w:rFonts w:cs="Arial"/>
                <w:sz w:val="20"/>
                <w:szCs w:val="20"/>
                <w:lang w:eastAsia="en-NZ"/>
              </w:rPr>
            </w:pPr>
            <w:r w:rsidRPr="000F314A">
              <w:rPr>
                <w:rFonts w:cs="Arial"/>
                <w:sz w:val="20"/>
                <w:szCs w:val="20"/>
                <w:lang w:eastAsia="en-NZ"/>
              </w:rPr>
              <w:t xml:space="preserve"> in relation to the </w:t>
            </w:r>
            <w:r w:rsidRPr="000F314A">
              <w:rPr>
                <w:rFonts w:cs="Arial"/>
                <w:bCs/>
                <w:sz w:val="20"/>
                <w:szCs w:val="20"/>
                <w:lang w:eastAsia="en-NZ"/>
              </w:rPr>
              <w:t>RAB,</w:t>
            </w:r>
            <w:r w:rsidRPr="000F314A">
              <w:rPr>
                <w:rFonts w:cs="Arial"/>
                <w:sz w:val="20"/>
                <w:szCs w:val="20"/>
                <w:lang w:eastAsia="en-NZ"/>
              </w:rPr>
              <w:t xml:space="preserve"> depreciation calculated in accordance with clause 2.2.5(2) of the IM determination;</w:t>
            </w:r>
          </w:p>
          <w:p w:rsidR="00213934" w:rsidRPr="000F314A" w:rsidRDefault="00213934" w:rsidP="005A23C3">
            <w:pPr>
              <w:pStyle w:val="ListParagraph"/>
              <w:tabs>
                <w:tab w:val="left" w:pos="4045"/>
              </w:tabs>
              <w:spacing w:line="264" w:lineRule="auto"/>
              <w:ind w:left="34"/>
              <w:rPr>
                <w:rFonts w:cs="Arial"/>
                <w:sz w:val="20"/>
                <w:szCs w:val="20"/>
                <w:lang w:eastAsia="en-NZ"/>
              </w:rPr>
            </w:pPr>
            <w:r w:rsidRPr="000F314A">
              <w:rPr>
                <w:rFonts w:cs="Arial"/>
                <w:sz w:val="20"/>
                <w:szCs w:val="20"/>
                <w:lang w:eastAsia="en-NZ"/>
              </w:rPr>
              <w:t xml:space="preserve">excluding </w:t>
            </w:r>
            <w:r w:rsidRPr="000F314A">
              <w:rPr>
                <w:rFonts w:cs="Arial"/>
                <w:bCs/>
                <w:sz w:val="20"/>
                <w:szCs w:val="20"/>
                <w:lang w:eastAsia="en-NZ"/>
              </w:rPr>
              <w:t>depreciation - alternative depreciation in accordance with CPP</w:t>
            </w:r>
            <w:r w:rsidRPr="000F314A">
              <w:rPr>
                <w:rFonts w:cs="Arial"/>
                <w:sz w:val="20"/>
                <w:szCs w:val="20"/>
                <w:lang w:eastAsia="en-NZ"/>
              </w:rPr>
              <w:t xml:space="preserve">, </w:t>
            </w:r>
            <w:r w:rsidRPr="000F314A">
              <w:rPr>
                <w:rFonts w:cs="Arial"/>
                <w:bCs/>
                <w:sz w:val="20"/>
                <w:szCs w:val="20"/>
                <w:lang w:eastAsia="en-NZ"/>
              </w:rPr>
              <w:t>depreciation - modified life assets</w:t>
            </w:r>
            <w:r w:rsidRPr="000F314A">
              <w:rPr>
                <w:rFonts w:cs="Arial"/>
                <w:sz w:val="20"/>
                <w:szCs w:val="20"/>
                <w:lang w:eastAsia="en-NZ"/>
              </w:rPr>
              <w:t xml:space="preserve">, and </w:t>
            </w:r>
            <w:r w:rsidRPr="000F314A">
              <w:rPr>
                <w:rFonts w:cs="Arial"/>
                <w:bCs/>
                <w:sz w:val="20"/>
                <w:szCs w:val="20"/>
                <w:lang w:eastAsia="en-NZ"/>
              </w:rPr>
              <w:t>depreciation - no standard life assets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Depreciation charge for the period (RAB)</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means the depreciation or sum of depreciation as determined in accordance with the </w:t>
            </w:r>
            <w:r w:rsidRPr="000F314A">
              <w:rPr>
                <w:rFonts w:cs="Arial"/>
                <w:bCs/>
                <w:sz w:val="20"/>
                <w:szCs w:val="20"/>
                <w:lang w:eastAsia="en-NZ"/>
              </w:rPr>
              <w:t xml:space="preserve">IM determination </w:t>
            </w:r>
            <w:r w:rsidRPr="000F314A">
              <w:rPr>
                <w:rFonts w:cs="Arial"/>
                <w:sz w:val="20"/>
                <w:szCs w:val="20"/>
                <w:lang w:eastAsia="en-NZ"/>
              </w:rPr>
              <w:t xml:space="preserve">for the relevant </w:t>
            </w:r>
            <w:r w:rsidRPr="000F314A">
              <w:rPr>
                <w:rFonts w:cs="Arial"/>
                <w:bCs/>
                <w:sz w:val="20"/>
                <w:szCs w:val="20"/>
                <w:lang w:eastAsia="en-NZ"/>
              </w:rPr>
              <w:t>asset or assets with non-standard depreciation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Description of transaction</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means a brief description of the transaction with a </w:t>
            </w:r>
            <w:r w:rsidRPr="000F314A">
              <w:rPr>
                <w:rFonts w:cs="Arial"/>
                <w:bCs/>
                <w:sz w:val="20"/>
                <w:szCs w:val="20"/>
                <w:lang w:eastAsia="en-NZ"/>
              </w:rPr>
              <w:t>related party</w:t>
            </w:r>
            <w:r w:rsidRPr="000F314A">
              <w:rPr>
                <w:rFonts w:cs="Arial"/>
                <w:sz w:val="20"/>
                <w:szCs w:val="20"/>
                <w:lang w:eastAsia="en-NZ"/>
              </w:rPr>
              <w:t>, including the goods or services provided to or by the</w:t>
            </w:r>
            <w:r w:rsidRPr="000F314A">
              <w:rPr>
                <w:rFonts w:cs="Arial"/>
                <w:bCs/>
                <w:sz w:val="20"/>
                <w:szCs w:val="20"/>
                <w:lang w:eastAsia="en-NZ"/>
              </w:rPr>
              <w:t xml:space="preserve"> GTB</w:t>
            </w:r>
            <w:r w:rsidRPr="000F314A">
              <w:rPr>
                <w:rFonts w:cs="Arial"/>
                <w:sz w:val="20"/>
                <w:szCs w:val="20"/>
                <w:lang w:eastAsia="en-NZ"/>
              </w:rPr>
              <w:t xml:space="preserve"> as part of that transaction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Disposed asset</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has the meaning set out in paragraph (a) of the defined term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Easement activity</w:t>
            </w:r>
          </w:p>
        </w:tc>
        <w:tc>
          <w:tcPr>
            <w:tcW w:w="0" w:type="auto"/>
          </w:tcPr>
          <w:p w:rsidR="00213934" w:rsidRPr="000F314A" w:rsidRDefault="00213934" w:rsidP="005A23C3">
            <w:pPr>
              <w:pStyle w:val="BodyText"/>
              <w:rPr>
                <w:sz w:val="20"/>
                <w:szCs w:val="20"/>
              </w:rPr>
            </w:pPr>
            <w:r w:rsidRPr="000F314A">
              <w:rPr>
                <w:sz w:val="20"/>
                <w:szCs w:val="20"/>
              </w:rPr>
              <w:t>means operational expenditure where the primary driver is the management of the pipeline easement including:</w:t>
            </w:r>
          </w:p>
          <w:p w:rsidR="00213934" w:rsidRPr="000F314A" w:rsidRDefault="00213934" w:rsidP="00213934">
            <w:pPr>
              <w:pStyle w:val="BodyText"/>
              <w:numPr>
                <w:ilvl w:val="0"/>
                <w:numId w:val="21"/>
              </w:numPr>
              <w:spacing w:after="120" w:line="276" w:lineRule="auto"/>
              <w:rPr>
                <w:sz w:val="20"/>
                <w:szCs w:val="20"/>
              </w:rPr>
            </w:pPr>
            <w:r w:rsidRPr="000F314A">
              <w:rPr>
                <w:sz w:val="20"/>
                <w:szCs w:val="20"/>
              </w:rPr>
              <w:t>land database (property owners, occupiers and other stakeholders)</w:t>
            </w:r>
          </w:p>
          <w:p w:rsidR="00213934" w:rsidRPr="000F314A" w:rsidRDefault="00213934" w:rsidP="00213934">
            <w:pPr>
              <w:pStyle w:val="BodyText"/>
              <w:numPr>
                <w:ilvl w:val="0"/>
                <w:numId w:val="21"/>
              </w:numPr>
              <w:spacing w:after="120" w:line="276" w:lineRule="auto"/>
              <w:rPr>
                <w:sz w:val="20"/>
                <w:szCs w:val="20"/>
              </w:rPr>
            </w:pPr>
            <w:r w:rsidRPr="000F314A">
              <w:rPr>
                <w:sz w:val="20"/>
                <w:szCs w:val="20"/>
              </w:rPr>
              <w:t>communications with landowners, occupiers and other stakeholders</w:t>
            </w:r>
          </w:p>
          <w:p w:rsidR="00213934" w:rsidRPr="000F314A" w:rsidRDefault="00213934" w:rsidP="00213934">
            <w:pPr>
              <w:pStyle w:val="BodyText"/>
              <w:numPr>
                <w:ilvl w:val="0"/>
                <w:numId w:val="21"/>
              </w:numPr>
              <w:spacing w:after="120" w:line="276" w:lineRule="auto"/>
              <w:rPr>
                <w:sz w:val="20"/>
                <w:szCs w:val="20"/>
              </w:rPr>
            </w:pPr>
            <w:r w:rsidRPr="000F314A">
              <w:rPr>
                <w:sz w:val="20"/>
                <w:szCs w:val="20"/>
              </w:rPr>
              <w:t>vegetation control</w:t>
            </w:r>
          </w:p>
          <w:p w:rsidR="00213934" w:rsidRPr="000F314A" w:rsidRDefault="00213934" w:rsidP="00213934">
            <w:pPr>
              <w:pStyle w:val="BodyText"/>
              <w:numPr>
                <w:ilvl w:val="0"/>
                <w:numId w:val="21"/>
              </w:numPr>
              <w:spacing w:after="120" w:line="276" w:lineRule="auto"/>
              <w:rPr>
                <w:rFonts w:cs="Arial"/>
                <w:sz w:val="20"/>
                <w:szCs w:val="20"/>
                <w:lang w:eastAsia="en-NZ"/>
              </w:rPr>
            </w:pPr>
            <w:r w:rsidRPr="000F314A">
              <w:rPr>
                <w:sz w:val="20"/>
                <w:szCs w:val="20"/>
              </w:rPr>
              <w:t>monitoring activities on or near the easement</w:t>
            </w:r>
          </w:p>
          <w:p w:rsidR="00213934" w:rsidRPr="000F314A" w:rsidRDefault="00213934" w:rsidP="00213934">
            <w:pPr>
              <w:pStyle w:val="BodyText"/>
              <w:numPr>
                <w:ilvl w:val="0"/>
                <w:numId w:val="21"/>
              </w:numPr>
              <w:spacing w:after="120" w:line="276" w:lineRule="auto"/>
              <w:rPr>
                <w:rFonts w:cs="Arial"/>
                <w:sz w:val="20"/>
                <w:szCs w:val="20"/>
                <w:lang w:eastAsia="en-NZ"/>
              </w:rPr>
            </w:pPr>
            <w:r w:rsidRPr="000F314A">
              <w:rPr>
                <w:sz w:val="20"/>
                <w:szCs w:val="20"/>
              </w:rPr>
              <w:t>compensation and other associated legal costs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Easement land</w:t>
            </w:r>
          </w:p>
        </w:tc>
        <w:tc>
          <w:tcPr>
            <w:tcW w:w="0" w:type="auto"/>
          </w:tcPr>
          <w:p w:rsidR="00213934" w:rsidRPr="000F314A" w:rsidRDefault="00213934" w:rsidP="005A23C3">
            <w:pPr>
              <w:tabs>
                <w:tab w:val="left" w:pos="4045"/>
              </w:tabs>
              <w:spacing w:line="264" w:lineRule="auto"/>
              <w:ind w:left="34"/>
              <w:rPr>
                <w:sz w:val="20"/>
                <w:szCs w:val="20"/>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 xml:space="preserve">Emergency </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[TBC] (a definition has been proposed in the </w:t>
            </w:r>
            <w:r w:rsidRPr="000F314A">
              <w:rPr>
                <w:sz w:val="20"/>
                <w:szCs w:val="20"/>
              </w:rPr>
              <w:t>Draft Initial Default Price-Quality Paths for Gas Pipelines Businesses Draft Reasons Paper and Draft Determinations</w:t>
            </w:r>
            <w:r w:rsidRPr="000F314A">
              <w:rPr>
                <w:rFonts w:cs="Arial"/>
                <w:sz w:val="20"/>
                <w:szCs w:val="20"/>
                <w:lang w:eastAsia="en-NZ"/>
              </w:rPr>
              <w:t>, which will also be adopted here)</w:t>
            </w:r>
            <w:r w:rsidRPr="000F314A">
              <w:rPr>
                <w:rStyle w:val="FootnoteReference"/>
                <w:rFonts w:cs="Arial"/>
                <w:sz w:val="20"/>
                <w:szCs w:val="20"/>
                <w:lang w:eastAsia="en-NZ"/>
              </w:rPr>
              <w:footnoteReference w:id="1"/>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 xml:space="preserve">End-consumer type </w:t>
            </w:r>
          </w:p>
        </w:tc>
        <w:tc>
          <w:tcPr>
            <w:tcW w:w="0" w:type="auto"/>
          </w:tcPr>
          <w:p w:rsidR="00213934" w:rsidRPr="000F314A" w:rsidRDefault="00213934" w:rsidP="005A23C3">
            <w:pPr>
              <w:pStyle w:val="BodyText"/>
              <w:rPr>
                <w:i/>
                <w:sz w:val="20"/>
                <w:szCs w:val="20"/>
              </w:rPr>
            </w:pPr>
            <w:r w:rsidRPr="000F314A">
              <w:rPr>
                <w:sz w:val="20"/>
                <w:szCs w:val="20"/>
              </w:rPr>
              <w:t xml:space="preserve">The type of consumer who consumes gas for their own use </w:t>
            </w:r>
          </w:p>
        </w:tc>
      </w:tr>
      <w:tr w:rsidR="00213934" w:rsidRPr="000F314A" w:rsidTr="00EA01E1">
        <w:trPr>
          <w:cantSplit/>
          <w:trHeight w:val="20"/>
        </w:trPr>
        <w:tc>
          <w:tcPr>
            <w:tcW w:w="0" w:type="auto"/>
          </w:tcPr>
          <w:p w:rsidR="00213934" w:rsidRPr="000F314A" w:rsidRDefault="00213934" w:rsidP="00241494">
            <w:pPr>
              <w:pStyle w:val="Clausetextunnumbered"/>
              <w:rPr>
                <w:rStyle w:val="Emphasis-Bold"/>
                <w:b w:val="0"/>
              </w:rPr>
            </w:pPr>
            <w:r w:rsidRPr="000F314A">
              <w:rPr>
                <w:rStyle w:val="Emphasis-Bold"/>
                <w:b w:val="0"/>
              </w:rPr>
              <w:t>Equity return rights</w:t>
            </w:r>
          </w:p>
        </w:tc>
        <w:tc>
          <w:tcPr>
            <w:tcW w:w="0" w:type="auto"/>
          </w:tcPr>
          <w:p w:rsidR="00213934" w:rsidRPr="000F314A" w:rsidRDefault="00213934" w:rsidP="00241494">
            <w:pPr>
              <w:pStyle w:val="Clausetextunnumbered"/>
            </w:pPr>
            <w:r w:rsidRPr="000F314A">
              <w:t xml:space="preserve">has the meaning set out in the </w:t>
            </w:r>
            <w:r w:rsidRPr="000F314A">
              <w:rPr>
                <w:rFonts w:cs="Arial"/>
                <w:lang w:eastAsia="en-NZ"/>
              </w:rPr>
              <w:t>Electricity Industry Act 2010</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Expenditure or loss deductible but not in regulatory profit / (loss) before tax - permanent</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means expenditure or loss deductible but not in regulatory profit / (loss) before tax as determined in accordance with clause 2.3.3(3)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Expenditure or loss deductible but not in regulatory profit / (loss) before tax - temporary</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means expenditure or loss deductible but not in regulatory profit / (loss) before tax as determined in accordance with clause 2.3.5(5)(b)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Expenditure or loss in regulatory profit / (loss) before tax but not deductible - permanent</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means expenditure or loss in regulatory profit / (loss) before tax but not deductible as determined in accordance with clause 2.3.3(2)(b)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Expenditure or loss in regulatory profit / (loss) before tax but not deductible - temporary</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means expenditure or loss in regulatory profit / (loss) before tax but not deductible as determined in accordance with clause 2.3.5(4)(b)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Expenses</w:t>
            </w:r>
          </w:p>
        </w:tc>
        <w:tc>
          <w:tcPr>
            <w:tcW w:w="0" w:type="auto"/>
          </w:tcPr>
          <w:p w:rsidR="00213934" w:rsidRPr="000F314A" w:rsidRDefault="00213934" w:rsidP="005A23C3">
            <w:pPr>
              <w:rPr>
                <w:sz w:val="20"/>
                <w:szCs w:val="20"/>
              </w:rPr>
            </w:pPr>
            <w:proofErr w:type="gramStart"/>
            <w:r w:rsidRPr="000F314A">
              <w:rPr>
                <w:sz w:val="20"/>
                <w:szCs w:val="20"/>
              </w:rPr>
              <w:t>means</w:t>
            </w:r>
            <w:proofErr w:type="gramEnd"/>
            <w:r w:rsidRPr="000F314A">
              <w:rPr>
                <w:sz w:val="20"/>
                <w:szCs w:val="20"/>
              </w:rPr>
              <w:t xml:space="preserve"> operational expenditure and pass-through and recoverable costs accrued in each of the months of the disclosure year</w:t>
            </w:r>
            <w:r w:rsidR="009C2C2C" w:rsidRPr="000F314A">
              <w:rPr>
                <w:sz w:val="20"/>
                <w:szCs w:val="20"/>
              </w:rPr>
              <w:t xml:space="preserve">. </w:t>
            </w:r>
            <w:r w:rsidRPr="000F314A">
              <w:rPr>
                <w:sz w:val="20"/>
                <w:szCs w:val="20"/>
              </w:rPr>
              <w:t>Where costs are notional they should be recognised evenly over the months of the disclosure year</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color w:val="000000"/>
                <w:sz w:val="20"/>
                <w:szCs w:val="20"/>
                <w:lang w:val="en-AU"/>
              </w:rPr>
              <w:t>Finance during construction</w:t>
            </w:r>
          </w:p>
        </w:tc>
        <w:tc>
          <w:tcPr>
            <w:tcW w:w="0" w:type="auto"/>
          </w:tcPr>
          <w:p w:rsidR="00213934" w:rsidRPr="000F314A" w:rsidRDefault="00213934" w:rsidP="00213934">
            <w:pPr>
              <w:pStyle w:val="Tablebodytext"/>
              <w:rPr>
                <w:sz w:val="20"/>
                <w:szCs w:val="20"/>
              </w:rPr>
            </w:pPr>
            <w:proofErr w:type="gramStart"/>
            <w:r w:rsidRPr="000F314A">
              <w:rPr>
                <w:sz w:val="20"/>
                <w:szCs w:val="20"/>
                <w:lang w:val="en-AU"/>
              </w:rPr>
              <w:t>means</w:t>
            </w:r>
            <w:proofErr w:type="gramEnd"/>
            <w:r w:rsidRPr="000F314A">
              <w:rPr>
                <w:sz w:val="20"/>
                <w:szCs w:val="20"/>
                <w:lang w:val="en-AU"/>
              </w:rPr>
              <w:t xml:space="preserve"> the interest expenditure incurred by a GTB and accumulated during the construction phase of a project that creates a new, or modifies an existing, network asset.</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Forecast expenditure</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 in relation to:</w:t>
            </w:r>
          </w:p>
          <w:p w:rsidR="00213934" w:rsidRPr="000F314A" w:rsidRDefault="00213934" w:rsidP="00213934">
            <w:pPr>
              <w:pStyle w:val="ListParagraph"/>
              <w:numPr>
                <w:ilvl w:val="0"/>
                <w:numId w:val="78"/>
              </w:numPr>
              <w:spacing w:line="264" w:lineRule="auto"/>
              <w:ind w:left="463" w:hanging="429"/>
              <w:rPr>
                <w:rFonts w:cs="Arial"/>
                <w:sz w:val="20"/>
                <w:szCs w:val="20"/>
                <w:lang w:eastAsia="en-NZ"/>
              </w:rPr>
            </w:pPr>
            <w:r w:rsidRPr="000F314A">
              <w:rPr>
                <w:rFonts w:cs="Arial"/>
                <w:sz w:val="20"/>
                <w:szCs w:val="20"/>
                <w:lang w:eastAsia="en-NZ"/>
              </w:rPr>
              <w:t>current disclosure year, the forecast expenditure for the current disclosure year disclosed pursuant to section 2.5 of this determination immediately prior to the start of the current disclosure year</w:t>
            </w:r>
          </w:p>
          <w:p w:rsidR="00213934" w:rsidRPr="000F314A" w:rsidRDefault="00213934" w:rsidP="00213934">
            <w:pPr>
              <w:pStyle w:val="ListParagraph"/>
              <w:numPr>
                <w:ilvl w:val="0"/>
                <w:numId w:val="78"/>
              </w:numPr>
              <w:tabs>
                <w:tab w:val="left" w:pos="4045"/>
              </w:tabs>
              <w:spacing w:line="264" w:lineRule="auto"/>
              <w:ind w:left="463" w:hanging="429"/>
              <w:rPr>
                <w:rFonts w:cs="Arial"/>
                <w:sz w:val="20"/>
                <w:szCs w:val="20"/>
                <w:lang w:eastAsia="en-NZ"/>
              </w:rPr>
            </w:pPr>
            <w:r w:rsidRPr="000F314A">
              <w:rPr>
                <w:rFonts w:cs="Arial"/>
                <w:sz w:val="20"/>
                <w:szCs w:val="20"/>
                <w:lang w:eastAsia="en-NZ"/>
              </w:rPr>
              <w:t>regulatory period, the forecast expenditure for the disclosure years from the start of the regulatory period to the current disclosure year disclosed pursuant to Part 5 of the IM determination where a CPP is in place for the current disclosure year or disclosed pursuant to section 2.5 of this determination prior to the start of the disclosure year preceding the regulatory period where a CPP is not in place for the current disclosure year</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GAAP</w:t>
            </w:r>
          </w:p>
        </w:tc>
        <w:tc>
          <w:tcPr>
            <w:tcW w:w="0" w:type="auto"/>
          </w:tcPr>
          <w:p w:rsidR="00213934" w:rsidRPr="000F314A" w:rsidRDefault="00213934" w:rsidP="005A23C3">
            <w:pPr>
              <w:ind w:left="34"/>
              <w:rPr>
                <w:rFonts w:cs="Arial"/>
                <w:sz w:val="20"/>
                <w:szCs w:val="20"/>
                <w:lang w:eastAsia="en-NZ"/>
              </w:rPr>
            </w:pPr>
            <w:r w:rsidRPr="000F314A">
              <w:rPr>
                <w:rFonts w:cs="Arial"/>
                <w:sz w:val="20"/>
                <w:szCs w:val="20"/>
                <w:lang w:eastAsia="en-NZ"/>
              </w:rPr>
              <w:t>means generally accepted accounting practice in New Zealand</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Gains / (losses) on asset sales</w:t>
            </w:r>
          </w:p>
        </w:tc>
        <w:tc>
          <w:tcPr>
            <w:tcW w:w="0" w:type="auto"/>
          </w:tcPr>
          <w:p w:rsidR="00213934" w:rsidRPr="000F314A" w:rsidRDefault="00213934" w:rsidP="005A23C3">
            <w:pPr>
              <w:ind w:left="459" w:hanging="425"/>
              <w:rPr>
                <w:rFonts w:cs="Arial"/>
                <w:sz w:val="20"/>
                <w:szCs w:val="20"/>
                <w:lang w:eastAsia="en-NZ"/>
              </w:rPr>
            </w:pPr>
            <w:r w:rsidRPr="000F314A">
              <w:rPr>
                <w:rFonts w:cs="Arial"/>
                <w:sz w:val="20"/>
                <w:szCs w:val="20"/>
                <w:lang w:eastAsia="en-NZ"/>
              </w:rPr>
              <w:t>means, in respect of:</w:t>
            </w:r>
          </w:p>
          <w:p w:rsidR="00213934" w:rsidRPr="000F314A" w:rsidRDefault="00213934" w:rsidP="005A23C3">
            <w:pPr>
              <w:ind w:left="459" w:hanging="425"/>
              <w:rPr>
                <w:rFonts w:cs="Arial"/>
                <w:sz w:val="20"/>
                <w:szCs w:val="20"/>
                <w:lang w:eastAsia="en-NZ"/>
              </w:rPr>
            </w:pPr>
            <w:r w:rsidRPr="000F314A">
              <w:rPr>
                <w:rFonts w:cs="Arial"/>
                <w:sz w:val="20"/>
                <w:szCs w:val="20"/>
                <w:lang w:eastAsia="en-NZ"/>
              </w:rPr>
              <w:t>(a)</w:t>
            </w:r>
            <w:r w:rsidRPr="000F314A">
              <w:rPr>
                <w:rFonts w:cs="Arial"/>
                <w:sz w:val="20"/>
                <w:szCs w:val="20"/>
                <w:lang w:eastAsia="en-NZ"/>
              </w:rPr>
              <w:tab/>
              <w:t>assets disposals to a related party, nil;</w:t>
            </w:r>
          </w:p>
          <w:p w:rsidR="00213934" w:rsidRPr="000F314A" w:rsidRDefault="00213934" w:rsidP="005A23C3">
            <w:pPr>
              <w:ind w:left="459" w:hanging="425"/>
              <w:rPr>
                <w:rFonts w:cs="Arial"/>
                <w:sz w:val="20"/>
                <w:szCs w:val="20"/>
                <w:lang w:eastAsia="en-NZ"/>
              </w:rPr>
            </w:pPr>
            <w:r w:rsidRPr="000F314A">
              <w:rPr>
                <w:rFonts w:cs="Arial"/>
                <w:sz w:val="20"/>
                <w:szCs w:val="20"/>
                <w:lang w:eastAsia="en-NZ"/>
              </w:rPr>
              <w:t>(b)</w:t>
            </w:r>
            <w:r w:rsidRPr="000F314A">
              <w:rPr>
                <w:rFonts w:cs="Arial"/>
                <w:sz w:val="20"/>
                <w:szCs w:val="20"/>
                <w:lang w:eastAsia="en-NZ"/>
              </w:rPr>
              <w:tab/>
              <w:t>assets disposals to a regulated supplier, nil;</w:t>
            </w:r>
          </w:p>
          <w:p w:rsidR="00213934" w:rsidRPr="000F314A" w:rsidRDefault="00213934" w:rsidP="005A23C3">
            <w:pPr>
              <w:ind w:left="459" w:hanging="425"/>
              <w:rPr>
                <w:sz w:val="20"/>
                <w:szCs w:val="20"/>
              </w:rPr>
            </w:pPr>
            <w:r w:rsidRPr="000F314A">
              <w:rPr>
                <w:rFonts w:cs="Arial"/>
                <w:sz w:val="20"/>
                <w:szCs w:val="20"/>
                <w:lang w:eastAsia="en-NZ"/>
              </w:rPr>
              <w:t>(c)</w:t>
            </w:r>
            <w:r w:rsidRPr="000F314A">
              <w:rPr>
                <w:rFonts w:cs="Arial"/>
                <w:sz w:val="20"/>
                <w:szCs w:val="20"/>
                <w:lang w:eastAsia="en-NZ"/>
              </w:rPr>
              <w:tab/>
              <w:t>asset disposals (other), the values determined in accordance with:</w:t>
            </w:r>
          </w:p>
          <w:p w:rsidR="00213934" w:rsidRPr="000F314A" w:rsidRDefault="00213934" w:rsidP="005A23C3">
            <w:pPr>
              <w:spacing w:before="120" w:after="120"/>
              <w:ind w:left="459"/>
              <w:rPr>
                <w:rFonts w:cs="Arial"/>
                <w:sz w:val="20"/>
                <w:szCs w:val="20"/>
                <w:lang w:eastAsia="en-NZ"/>
              </w:rPr>
            </w:pPr>
            <w:r w:rsidRPr="000F314A">
              <w:rPr>
                <w:rFonts w:cs="Arial"/>
                <w:sz w:val="20"/>
                <w:szCs w:val="20"/>
                <w:lang w:eastAsia="en-NZ"/>
              </w:rPr>
              <w:t xml:space="preserve">sale price of an asset - assets disposals (other) </w:t>
            </w:r>
          </w:p>
          <w:p w:rsidR="00213934" w:rsidRPr="000F314A" w:rsidRDefault="00213934" w:rsidP="005A23C3">
            <w:pPr>
              <w:tabs>
                <w:tab w:val="left" w:pos="4045"/>
              </w:tabs>
              <w:ind w:left="459" w:hanging="459"/>
              <w:rPr>
                <w:sz w:val="20"/>
                <w:szCs w:val="20"/>
              </w:rPr>
            </w:pPr>
            <w:r w:rsidRPr="000F314A">
              <w:rPr>
                <w:rFonts w:cs="Arial"/>
                <w:sz w:val="20"/>
                <w:szCs w:val="20"/>
                <w:lang w:eastAsia="en-NZ"/>
              </w:rPr>
              <w:tab/>
              <w:t>where each component has the value allocated to gas transmission services in accordance with clause 2.1.1 of the IM determination</w:t>
            </w:r>
          </w:p>
        </w:tc>
      </w:tr>
      <w:tr w:rsidR="00213934" w:rsidRPr="000F314A" w:rsidTr="00EA01E1">
        <w:trPr>
          <w:cantSplit/>
          <w:trHeight w:val="20"/>
        </w:trPr>
        <w:tc>
          <w:tcPr>
            <w:tcW w:w="0" w:type="auto"/>
          </w:tcPr>
          <w:p w:rsidR="00213934" w:rsidRPr="000F314A" w:rsidRDefault="00213934" w:rsidP="00241494">
            <w:pPr>
              <w:pStyle w:val="Clausetextunnumbered"/>
              <w:rPr>
                <w:rStyle w:val="Emphasis-Bold"/>
                <w:b w:val="0"/>
              </w:rPr>
            </w:pPr>
            <w:r w:rsidRPr="000F314A">
              <w:rPr>
                <w:rStyle w:val="Emphasis-Bold"/>
                <w:b w:val="0"/>
              </w:rPr>
              <w:t>Gas pipeline services</w:t>
            </w:r>
          </w:p>
        </w:tc>
        <w:tc>
          <w:tcPr>
            <w:tcW w:w="0" w:type="auto"/>
          </w:tcPr>
          <w:p w:rsidR="00213934" w:rsidRPr="000F314A" w:rsidRDefault="00213934" w:rsidP="00241494">
            <w:pPr>
              <w:pStyle w:val="Clausetextunnumbered"/>
              <w:rPr>
                <w:rStyle w:val="Emphasis-Bold"/>
                <w:b w:val="0"/>
              </w:rPr>
            </w:pPr>
            <w:r w:rsidRPr="000F314A">
              <w:rPr>
                <w:rStyle w:val="Emphasis-Bold"/>
                <w:b w:val="0"/>
              </w:rPr>
              <w:t>has the meaning set out in s 55 of the Act</w:t>
            </w:r>
          </w:p>
        </w:tc>
      </w:tr>
      <w:tr w:rsidR="00213934" w:rsidRPr="000F314A" w:rsidTr="00EA01E1">
        <w:trPr>
          <w:cantSplit/>
          <w:trHeight w:val="20"/>
        </w:trPr>
        <w:tc>
          <w:tcPr>
            <w:tcW w:w="0" w:type="auto"/>
          </w:tcPr>
          <w:p w:rsidR="00213934" w:rsidRPr="000F314A" w:rsidRDefault="00213934" w:rsidP="00241494">
            <w:pPr>
              <w:pStyle w:val="Clausetextunnumbered"/>
              <w:rPr>
                <w:rStyle w:val="Emphasis-Bold"/>
                <w:b w:val="0"/>
              </w:rPr>
            </w:pPr>
            <w:r w:rsidRPr="000F314A">
              <w:t>Number of customers</w:t>
            </w:r>
          </w:p>
        </w:tc>
        <w:tc>
          <w:tcPr>
            <w:tcW w:w="0" w:type="auto"/>
          </w:tcPr>
          <w:p w:rsidR="00213934" w:rsidRPr="000F314A" w:rsidRDefault="00213934" w:rsidP="00241494">
            <w:pPr>
              <w:pStyle w:val="Clausetextunnumbered"/>
              <w:rPr>
                <w:rStyle w:val="Emphasis-Bold"/>
                <w:b w:val="0"/>
              </w:rPr>
            </w:pPr>
            <w:r w:rsidRPr="000F314A">
              <w:rPr>
                <w:rStyle w:val="Emphasis-Bold"/>
                <w:b w:val="0"/>
              </w:rPr>
              <w:t>Number of billed customers</w:t>
            </w:r>
          </w:p>
        </w:tc>
      </w:tr>
      <w:tr w:rsidR="00213934" w:rsidRPr="000F314A" w:rsidTr="00EA01E1">
        <w:trPr>
          <w:cantSplit/>
          <w:trHeight w:val="20"/>
        </w:trPr>
        <w:tc>
          <w:tcPr>
            <w:tcW w:w="0" w:type="auto"/>
            <w:vAlign w:val="center"/>
          </w:tcPr>
          <w:p w:rsidR="00213934" w:rsidRPr="000F314A" w:rsidRDefault="00213934" w:rsidP="005A23C3">
            <w:pPr>
              <w:pStyle w:val="Tablebodytext"/>
              <w:rPr>
                <w:sz w:val="20"/>
                <w:szCs w:val="20"/>
              </w:rPr>
            </w:pPr>
            <w:r w:rsidRPr="000F314A">
              <w:rPr>
                <w:sz w:val="20"/>
                <w:szCs w:val="20"/>
              </w:rPr>
              <w:t>GJ Deliveries by connected party (TJ)</w:t>
            </w:r>
          </w:p>
        </w:tc>
        <w:tc>
          <w:tcPr>
            <w:tcW w:w="0" w:type="auto"/>
          </w:tcPr>
          <w:p w:rsidR="00213934" w:rsidRPr="000F314A" w:rsidRDefault="00213934" w:rsidP="005A23C3">
            <w:pPr>
              <w:pStyle w:val="Tablebodytext"/>
              <w:rPr>
                <w:sz w:val="20"/>
                <w:szCs w:val="20"/>
              </w:rPr>
            </w:pPr>
            <w:proofErr w:type="spellStart"/>
            <w:r w:rsidRPr="000F314A">
              <w:rPr>
                <w:sz w:val="20"/>
                <w:szCs w:val="20"/>
              </w:rPr>
              <w:t>Offtake</w:t>
            </w:r>
            <w:proofErr w:type="spellEnd"/>
            <w:r w:rsidRPr="000F314A">
              <w:rPr>
                <w:sz w:val="20"/>
                <w:szCs w:val="20"/>
              </w:rPr>
              <w:t xml:space="preserve"> volume expressed in TJ</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GPB</w:t>
            </w:r>
          </w:p>
        </w:tc>
        <w:tc>
          <w:tcPr>
            <w:tcW w:w="0" w:type="auto"/>
          </w:tcPr>
          <w:p w:rsidR="00213934" w:rsidRPr="000F314A" w:rsidRDefault="00213934" w:rsidP="005A23C3">
            <w:pPr>
              <w:ind w:left="34"/>
              <w:rPr>
                <w:rFonts w:cs="Arial"/>
                <w:sz w:val="20"/>
                <w:szCs w:val="20"/>
                <w:lang w:eastAsia="en-NZ"/>
              </w:rPr>
            </w:pPr>
            <w:r w:rsidRPr="000F314A">
              <w:rPr>
                <w:rFonts w:cs="Arial"/>
                <w:sz w:val="20"/>
                <w:szCs w:val="20"/>
                <w:lang w:eastAsia="en-NZ"/>
              </w:rPr>
              <w:t>means gas pipeline business and includes GDBs and GTBs</w:t>
            </w:r>
          </w:p>
        </w:tc>
      </w:tr>
      <w:tr w:rsidR="00213934" w:rsidRPr="000F314A" w:rsidTr="00EA01E1">
        <w:trPr>
          <w:cantSplit/>
          <w:trHeight w:val="20"/>
        </w:trPr>
        <w:tc>
          <w:tcPr>
            <w:tcW w:w="0" w:type="auto"/>
          </w:tcPr>
          <w:p w:rsidR="00213934" w:rsidRPr="000F314A" w:rsidRDefault="00213934" w:rsidP="005A23C3">
            <w:pPr>
              <w:rPr>
                <w:color w:val="000000" w:themeColor="text1"/>
                <w:sz w:val="20"/>
                <w:szCs w:val="20"/>
              </w:rPr>
            </w:pPr>
            <w:r w:rsidRPr="000F314A">
              <w:rPr>
                <w:color w:val="000000" w:themeColor="text1"/>
                <w:sz w:val="20"/>
                <w:szCs w:val="20"/>
              </w:rPr>
              <w:t>Grade 1</w:t>
            </w:r>
          </w:p>
        </w:tc>
        <w:tc>
          <w:tcPr>
            <w:tcW w:w="0" w:type="auto"/>
          </w:tcPr>
          <w:p w:rsidR="00213934" w:rsidRPr="000F314A" w:rsidRDefault="00213934" w:rsidP="005A23C3">
            <w:pPr>
              <w:pStyle w:val="BodyText"/>
              <w:rPr>
                <w:sz w:val="20"/>
                <w:szCs w:val="20"/>
              </w:rPr>
            </w:pPr>
            <w:r w:rsidRPr="000F314A">
              <w:rPr>
                <w:sz w:val="20"/>
                <w:szCs w:val="20"/>
              </w:rPr>
              <w:t>End of serviceable life, immediate intervention required</w:t>
            </w:r>
          </w:p>
        </w:tc>
      </w:tr>
      <w:tr w:rsidR="00213934" w:rsidRPr="000F314A" w:rsidTr="00EA01E1">
        <w:trPr>
          <w:cantSplit/>
          <w:trHeight w:val="20"/>
        </w:trPr>
        <w:tc>
          <w:tcPr>
            <w:tcW w:w="0" w:type="auto"/>
          </w:tcPr>
          <w:p w:rsidR="00213934" w:rsidRPr="000F314A" w:rsidRDefault="00213934" w:rsidP="005A23C3">
            <w:pPr>
              <w:rPr>
                <w:color w:val="000000" w:themeColor="text1"/>
                <w:sz w:val="20"/>
                <w:szCs w:val="20"/>
              </w:rPr>
            </w:pPr>
            <w:r w:rsidRPr="000F314A">
              <w:rPr>
                <w:color w:val="000000" w:themeColor="text1"/>
                <w:sz w:val="20"/>
                <w:szCs w:val="20"/>
              </w:rPr>
              <w:t>Grade 2</w:t>
            </w:r>
          </w:p>
        </w:tc>
        <w:tc>
          <w:tcPr>
            <w:tcW w:w="0" w:type="auto"/>
          </w:tcPr>
          <w:p w:rsidR="00213934" w:rsidRPr="000F314A" w:rsidRDefault="00213934" w:rsidP="005A23C3">
            <w:pPr>
              <w:pStyle w:val="BodyText"/>
              <w:rPr>
                <w:sz w:val="20"/>
                <w:szCs w:val="20"/>
              </w:rPr>
            </w:pPr>
            <w:r w:rsidRPr="000F314A">
              <w:rPr>
                <w:sz w:val="20"/>
                <w:szCs w:val="20"/>
              </w:rPr>
              <w:t>Material deterioration but asset condition still within serviceable life parameters. Intervention likely to be required within 12 months.</w:t>
            </w:r>
          </w:p>
        </w:tc>
      </w:tr>
      <w:tr w:rsidR="00213934" w:rsidRPr="000F314A" w:rsidTr="00EA01E1">
        <w:trPr>
          <w:cantSplit/>
          <w:trHeight w:val="20"/>
        </w:trPr>
        <w:tc>
          <w:tcPr>
            <w:tcW w:w="0" w:type="auto"/>
          </w:tcPr>
          <w:p w:rsidR="00213934" w:rsidRPr="000F314A" w:rsidRDefault="00213934" w:rsidP="005A23C3">
            <w:pPr>
              <w:rPr>
                <w:color w:val="000000" w:themeColor="text1"/>
                <w:sz w:val="20"/>
                <w:szCs w:val="20"/>
              </w:rPr>
            </w:pPr>
            <w:r w:rsidRPr="000F314A">
              <w:rPr>
                <w:color w:val="000000" w:themeColor="text1"/>
                <w:sz w:val="20"/>
                <w:szCs w:val="20"/>
              </w:rPr>
              <w:t>Grade 3</w:t>
            </w:r>
          </w:p>
        </w:tc>
        <w:tc>
          <w:tcPr>
            <w:tcW w:w="0" w:type="auto"/>
          </w:tcPr>
          <w:p w:rsidR="00213934" w:rsidRPr="000F314A" w:rsidRDefault="00213934" w:rsidP="005A23C3">
            <w:pPr>
              <w:pStyle w:val="BodyText"/>
              <w:rPr>
                <w:sz w:val="20"/>
                <w:szCs w:val="20"/>
              </w:rPr>
            </w:pPr>
            <w:r w:rsidRPr="000F314A">
              <w:rPr>
                <w:sz w:val="20"/>
                <w:szCs w:val="20"/>
              </w:rPr>
              <w:t>Deterioration requires assessment and ongoing monitoring</w:t>
            </w:r>
          </w:p>
        </w:tc>
      </w:tr>
      <w:tr w:rsidR="00213934" w:rsidRPr="000F314A" w:rsidTr="00EA01E1">
        <w:trPr>
          <w:cantSplit/>
          <w:trHeight w:val="20"/>
        </w:trPr>
        <w:tc>
          <w:tcPr>
            <w:tcW w:w="0" w:type="auto"/>
          </w:tcPr>
          <w:p w:rsidR="00213934" w:rsidRPr="000F314A" w:rsidRDefault="00213934" w:rsidP="005A23C3">
            <w:pPr>
              <w:rPr>
                <w:color w:val="000000" w:themeColor="text1"/>
                <w:sz w:val="20"/>
                <w:szCs w:val="20"/>
              </w:rPr>
            </w:pPr>
            <w:r w:rsidRPr="000F314A">
              <w:rPr>
                <w:color w:val="000000" w:themeColor="text1"/>
                <w:sz w:val="20"/>
                <w:szCs w:val="20"/>
              </w:rPr>
              <w:t>Grade 4</w:t>
            </w:r>
          </w:p>
        </w:tc>
        <w:tc>
          <w:tcPr>
            <w:tcW w:w="0" w:type="auto"/>
          </w:tcPr>
          <w:p w:rsidR="00213934" w:rsidRPr="000F314A" w:rsidRDefault="00213934" w:rsidP="005A23C3">
            <w:pPr>
              <w:pStyle w:val="BodyText"/>
              <w:rPr>
                <w:sz w:val="20"/>
                <w:szCs w:val="20"/>
              </w:rPr>
            </w:pPr>
            <w:r w:rsidRPr="000F314A">
              <w:rPr>
                <w:sz w:val="20"/>
                <w:szCs w:val="20"/>
              </w:rPr>
              <w:t>Good or as new condition</w:t>
            </w:r>
          </w:p>
        </w:tc>
      </w:tr>
      <w:tr w:rsidR="00213934" w:rsidRPr="000F314A" w:rsidTr="00EA01E1">
        <w:trPr>
          <w:cantSplit/>
          <w:trHeight w:val="20"/>
        </w:trPr>
        <w:tc>
          <w:tcPr>
            <w:tcW w:w="0" w:type="auto"/>
          </w:tcPr>
          <w:p w:rsidR="00213934" w:rsidRPr="000F314A" w:rsidRDefault="00213934" w:rsidP="005A23C3">
            <w:pPr>
              <w:rPr>
                <w:color w:val="000000" w:themeColor="text1"/>
                <w:sz w:val="20"/>
                <w:szCs w:val="20"/>
              </w:rPr>
            </w:pPr>
            <w:r w:rsidRPr="000F314A">
              <w:rPr>
                <w:color w:val="000000" w:themeColor="text1"/>
                <w:sz w:val="20"/>
                <w:szCs w:val="20"/>
              </w:rPr>
              <w:t>Grade unknown</w:t>
            </w:r>
          </w:p>
        </w:tc>
        <w:tc>
          <w:tcPr>
            <w:tcW w:w="0" w:type="auto"/>
          </w:tcPr>
          <w:p w:rsidR="00213934" w:rsidRPr="000F314A" w:rsidRDefault="00213934" w:rsidP="005A23C3">
            <w:pPr>
              <w:pStyle w:val="BodyText"/>
              <w:rPr>
                <w:i/>
                <w:sz w:val="20"/>
                <w:szCs w:val="20"/>
              </w:rPr>
            </w:pPr>
            <w:r w:rsidRPr="000F314A">
              <w:rPr>
                <w:sz w:val="20"/>
                <w:szCs w:val="20"/>
              </w:rPr>
              <w:t>Condition unknown or not yet assessed</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Gross capital expenditure on transmission network</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 the sum of:</w:t>
            </w:r>
          </w:p>
          <w:p w:rsidR="00213934" w:rsidRPr="000F314A" w:rsidRDefault="00213934" w:rsidP="005A23C3">
            <w:pPr>
              <w:spacing w:line="264" w:lineRule="auto"/>
              <w:rPr>
                <w:rFonts w:cs="Arial"/>
                <w:sz w:val="20"/>
                <w:szCs w:val="20"/>
                <w:lang w:eastAsia="en-NZ"/>
              </w:rPr>
            </w:pPr>
            <w:r w:rsidRPr="000F314A">
              <w:rPr>
                <w:rFonts w:cs="Arial"/>
                <w:bCs/>
                <w:sz w:val="20"/>
                <w:szCs w:val="20"/>
                <w:lang w:eastAsia="en-NZ"/>
              </w:rPr>
              <w:t>customer connection</w:t>
            </w:r>
            <w:r w:rsidRPr="000F314A">
              <w:rPr>
                <w:rFonts w:cs="Arial"/>
                <w:sz w:val="20"/>
                <w:szCs w:val="20"/>
                <w:lang w:eastAsia="en-NZ"/>
              </w:rPr>
              <w:t xml:space="preserve"> plus </w:t>
            </w:r>
            <w:r w:rsidRPr="000F314A">
              <w:rPr>
                <w:rFonts w:cs="Arial"/>
                <w:bCs/>
                <w:sz w:val="20"/>
                <w:szCs w:val="20"/>
                <w:lang w:eastAsia="en-NZ"/>
              </w:rPr>
              <w:t>system growth</w:t>
            </w:r>
            <w:r w:rsidRPr="000F314A">
              <w:rPr>
                <w:rFonts w:cs="Arial"/>
                <w:sz w:val="20"/>
                <w:szCs w:val="20"/>
                <w:lang w:eastAsia="en-NZ"/>
              </w:rPr>
              <w:t xml:space="preserve"> plus </w:t>
            </w:r>
            <w:r w:rsidRPr="000F314A">
              <w:rPr>
                <w:rFonts w:cs="Arial"/>
                <w:bCs/>
                <w:sz w:val="20"/>
                <w:szCs w:val="20"/>
                <w:lang w:eastAsia="en-NZ"/>
              </w:rPr>
              <w:t xml:space="preserve">quality of supply plus asset replacement and renewal </w:t>
            </w:r>
            <w:r w:rsidRPr="000F314A">
              <w:rPr>
                <w:rFonts w:cs="Arial"/>
                <w:sz w:val="20"/>
                <w:szCs w:val="20"/>
                <w:lang w:eastAsia="en-NZ"/>
              </w:rPr>
              <w:t xml:space="preserve">plus </w:t>
            </w:r>
            <w:r w:rsidRPr="000F314A">
              <w:rPr>
                <w:rFonts w:cs="Arial"/>
                <w:bCs/>
                <w:sz w:val="20"/>
                <w:szCs w:val="20"/>
                <w:lang w:eastAsia="en-NZ"/>
              </w:rPr>
              <w:t>asset relocations plus legislative and regulatory</w:t>
            </w:r>
          </w:p>
        </w:tc>
      </w:tr>
      <w:tr w:rsidR="00213934" w:rsidRPr="000F314A" w:rsidTr="00EA01E1">
        <w:trPr>
          <w:cantSplit/>
          <w:trHeight w:val="20"/>
        </w:trPr>
        <w:tc>
          <w:tcPr>
            <w:tcW w:w="0" w:type="auto"/>
          </w:tcPr>
          <w:p w:rsidR="00213934" w:rsidRPr="000F314A" w:rsidRDefault="00213934" w:rsidP="005A23C3">
            <w:pPr>
              <w:pStyle w:val="BodyText"/>
              <w:rPr>
                <w:rFonts w:cs="Arial"/>
                <w:bCs/>
                <w:sz w:val="20"/>
                <w:szCs w:val="20"/>
                <w:lang w:eastAsia="en-NZ"/>
              </w:rPr>
            </w:pPr>
            <w:r w:rsidRPr="000F314A">
              <w:rPr>
                <w:rFonts w:cs="Arial"/>
                <w:bCs/>
                <w:sz w:val="20"/>
                <w:szCs w:val="20"/>
                <w:lang w:eastAsia="en-NZ"/>
              </w:rPr>
              <w:t>Gross term credit spread differential</w:t>
            </w:r>
          </w:p>
        </w:tc>
        <w:tc>
          <w:tcPr>
            <w:tcW w:w="0" w:type="auto"/>
          </w:tcPr>
          <w:p w:rsidR="00213934" w:rsidRPr="000F314A" w:rsidRDefault="00213934" w:rsidP="005A23C3">
            <w:pPr>
              <w:ind w:left="34"/>
              <w:rPr>
                <w:rFonts w:cs="Arial"/>
                <w:sz w:val="20"/>
                <w:szCs w:val="20"/>
                <w:lang w:eastAsia="en-NZ"/>
              </w:rPr>
            </w:pPr>
            <w:r w:rsidRPr="000F314A">
              <w:rPr>
                <w:rFonts w:cs="Arial"/>
                <w:sz w:val="20"/>
                <w:szCs w:val="20"/>
                <w:lang w:eastAsia="en-NZ"/>
              </w:rPr>
              <w:t xml:space="preserve">means the sum of </w:t>
            </w:r>
            <w:r w:rsidRPr="000F314A">
              <w:rPr>
                <w:rFonts w:cs="Arial"/>
                <w:bCs/>
                <w:sz w:val="20"/>
                <w:szCs w:val="20"/>
                <w:lang w:eastAsia="en-NZ"/>
              </w:rPr>
              <w:t>term credit spread difference</w:t>
            </w:r>
            <w:r w:rsidRPr="000F314A">
              <w:rPr>
                <w:rFonts w:cs="Arial"/>
                <w:sz w:val="20"/>
                <w:szCs w:val="20"/>
                <w:lang w:eastAsia="en-NZ"/>
              </w:rPr>
              <w:t xml:space="preserve">, </w:t>
            </w:r>
            <w:r w:rsidRPr="000F314A">
              <w:rPr>
                <w:rFonts w:cs="Arial"/>
                <w:bCs/>
                <w:sz w:val="20"/>
                <w:szCs w:val="20"/>
                <w:lang w:eastAsia="en-NZ"/>
              </w:rPr>
              <w:t>cost of executing an interest rate swap</w:t>
            </w:r>
            <w:r w:rsidRPr="000F314A">
              <w:rPr>
                <w:rFonts w:cs="Arial"/>
                <w:sz w:val="20"/>
                <w:szCs w:val="20"/>
                <w:lang w:eastAsia="en-NZ"/>
              </w:rPr>
              <w:t xml:space="preserve"> and d</w:t>
            </w:r>
            <w:r w:rsidRPr="000F314A">
              <w:rPr>
                <w:rFonts w:cs="Arial"/>
                <w:bCs/>
                <w:sz w:val="20"/>
                <w:szCs w:val="20"/>
                <w:lang w:eastAsia="en-NZ"/>
              </w:rPr>
              <w:t>ebt issue cost readjustment</w:t>
            </w:r>
            <w:r w:rsidRPr="000F314A">
              <w:rPr>
                <w:rFonts w:cs="Arial"/>
                <w:sz w:val="20"/>
                <w:szCs w:val="20"/>
                <w:lang w:eastAsia="en-NZ"/>
              </w:rPr>
              <w:t xml:space="preserve"> for </w:t>
            </w:r>
            <w:r w:rsidRPr="000F314A">
              <w:rPr>
                <w:rFonts w:cs="Arial"/>
                <w:bCs/>
                <w:sz w:val="20"/>
                <w:szCs w:val="20"/>
                <w:lang w:eastAsia="en-NZ"/>
              </w:rPr>
              <w:t>qualifying debt</w:t>
            </w:r>
          </w:p>
        </w:tc>
      </w:tr>
      <w:tr w:rsidR="00213934" w:rsidRPr="000F314A" w:rsidTr="00EA01E1">
        <w:trPr>
          <w:cantSplit/>
          <w:trHeight w:val="20"/>
        </w:trPr>
        <w:tc>
          <w:tcPr>
            <w:tcW w:w="0" w:type="auto"/>
          </w:tcPr>
          <w:p w:rsidR="00213934" w:rsidRPr="000F314A" w:rsidRDefault="00213934" w:rsidP="005A23C3">
            <w:pPr>
              <w:pStyle w:val="BodyText"/>
              <w:rPr>
                <w:color w:val="000000"/>
                <w:sz w:val="20"/>
                <w:szCs w:val="20"/>
                <w:lang w:val="en-AU"/>
              </w:rPr>
            </w:pPr>
            <w:r w:rsidRPr="000F314A">
              <w:rPr>
                <w:color w:val="000000"/>
                <w:sz w:val="20"/>
                <w:szCs w:val="20"/>
                <w:lang w:val="en-AU"/>
              </w:rPr>
              <w:t>GTB customer type</w:t>
            </w:r>
          </w:p>
        </w:tc>
        <w:tc>
          <w:tcPr>
            <w:tcW w:w="0" w:type="auto"/>
          </w:tcPr>
          <w:p w:rsidR="00213934" w:rsidRPr="000F314A" w:rsidRDefault="00213934" w:rsidP="005A23C3">
            <w:pPr>
              <w:pStyle w:val="BodyText"/>
              <w:rPr>
                <w:sz w:val="20"/>
                <w:szCs w:val="20"/>
                <w:lang w:val="en-AU"/>
              </w:rPr>
            </w:pPr>
            <w:r w:rsidRPr="000F314A">
              <w:rPr>
                <w:sz w:val="20"/>
                <w:szCs w:val="20"/>
              </w:rPr>
              <w:t>means a category based on the type of customer, as defined by the GTB</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Heating system</w:t>
            </w:r>
          </w:p>
        </w:tc>
        <w:tc>
          <w:tcPr>
            <w:tcW w:w="0" w:type="auto"/>
          </w:tcPr>
          <w:p w:rsidR="00213934" w:rsidRPr="000F314A" w:rsidRDefault="00213934" w:rsidP="005A23C3">
            <w:pPr>
              <w:pStyle w:val="BodyText"/>
              <w:rPr>
                <w:sz w:val="20"/>
                <w:szCs w:val="20"/>
                <w:lang w:val="en-AU"/>
              </w:rPr>
            </w:pPr>
            <w:proofErr w:type="gramStart"/>
            <w:r w:rsidRPr="000F314A">
              <w:rPr>
                <w:sz w:val="20"/>
                <w:szCs w:val="20"/>
                <w:lang w:val="en-AU"/>
              </w:rPr>
              <w:t>means</w:t>
            </w:r>
            <w:proofErr w:type="gramEnd"/>
            <w:r w:rsidRPr="000F314A">
              <w:rPr>
                <w:sz w:val="20"/>
                <w:szCs w:val="20"/>
                <w:lang w:val="en-AU"/>
              </w:rPr>
              <w:t xml:space="preserve"> a system of heating the gas flowing in a pipe.</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Highest rate of capitalised finance applied</w:t>
            </w:r>
          </w:p>
        </w:tc>
        <w:tc>
          <w:tcPr>
            <w:tcW w:w="0" w:type="auto"/>
          </w:tcPr>
          <w:p w:rsidR="00213934" w:rsidRPr="000F314A" w:rsidRDefault="00213934" w:rsidP="005A23C3">
            <w:pPr>
              <w:tabs>
                <w:tab w:val="left" w:pos="4045"/>
              </w:tabs>
              <w:spacing w:line="264" w:lineRule="auto"/>
              <w:rPr>
                <w:sz w:val="20"/>
                <w:szCs w:val="20"/>
              </w:rPr>
            </w:pPr>
            <w:r w:rsidRPr="000F314A">
              <w:rPr>
                <w:rFonts w:cs="Arial"/>
                <w:sz w:val="20"/>
                <w:szCs w:val="20"/>
                <w:lang w:eastAsia="en-NZ"/>
              </w:rPr>
              <w:t>means the highest rate of finance used as the cost of financing capitalised in works under construction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Income included in regulatory profit / (loss) before tax but not taxable - permanent</w:t>
            </w:r>
          </w:p>
        </w:tc>
        <w:tc>
          <w:tcPr>
            <w:tcW w:w="0" w:type="auto"/>
          </w:tcPr>
          <w:p w:rsidR="00213934" w:rsidRPr="000F314A" w:rsidRDefault="00213934" w:rsidP="005A23C3">
            <w:pPr>
              <w:tabs>
                <w:tab w:val="left" w:pos="4045"/>
              </w:tabs>
              <w:spacing w:line="264" w:lineRule="auto"/>
              <w:rPr>
                <w:rFonts w:cs="Arial"/>
                <w:sz w:val="20"/>
                <w:szCs w:val="20"/>
                <w:lang w:eastAsia="en-NZ"/>
              </w:rPr>
            </w:pPr>
            <w:r w:rsidRPr="000F314A">
              <w:rPr>
                <w:rFonts w:cs="Arial"/>
                <w:sz w:val="20"/>
                <w:szCs w:val="20"/>
                <w:lang w:eastAsia="en-NZ"/>
              </w:rPr>
              <w:t xml:space="preserve">means income included in regulatory profit / (loss) before tax but not taxable as determined in accordance with clause 2.3.3(3)(a)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 xml:space="preserve">Income included in regulatory profit / (loss) before tax but not taxable – temporary </w:t>
            </w:r>
          </w:p>
        </w:tc>
        <w:tc>
          <w:tcPr>
            <w:tcW w:w="0" w:type="auto"/>
          </w:tcPr>
          <w:p w:rsidR="00213934" w:rsidRPr="000F314A" w:rsidRDefault="00213934" w:rsidP="005A23C3">
            <w:pPr>
              <w:tabs>
                <w:tab w:val="left" w:pos="4045"/>
              </w:tabs>
              <w:spacing w:line="264" w:lineRule="auto"/>
              <w:rPr>
                <w:rFonts w:cs="Arial"/>
                <w:sz w:val="20"/>
                <w:szCs w:val="20"/>
                <w:lang w:eastAsia="en-NZ"/>
              </w:rPr>
            </w:pPr>
            <w:r w:rsidRPr="000F314A">
              <w:rPr>
                <w:rFonts w:cs="Arial"/>
                <w:sz w:val="20"/>
                <w:szCs w:val="20"/>
                <w:lang w:eastAsia="en-NZ"/>
              </w:rPr>
              <w:t xml:space="preserve">means income included in regulatory profit / (loss) before tax but not taxable as determined in accordance with clause 2.3.5(5)(a)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Income not included in regulatory profit / (loss) before tax but taxable - permanent</w:t>
            </w:r>
          </w:p>
        </w:tc>
        <w:tc>
          <w:tcPr>
            <w:tcW w:w="0" w:type="auto"/>
          </w:tcPr>
          <w:p w:rsidR="00213934" w:rsidRPr="000F314A" w:rsidRDefault="00213934" w:rsidP="005A23C3">
            <w:pPr>
              <w:tabs>
                <w:tab w:val="left" w:pos="4045"/>
              </w:tabs>
              <w:spacing w:line="264" w:lineRule="auto"/>
              <w:rPr>
                <w:rFonts w:cs="Arial"/>
                <w:sz w:val="20"/>
                <w:szCs w:val="20"/>
                <w:lang w:eastAsia="en-NZ"/>
              </w:rPr>
            </w:pPr>
            <w:r w:rsidRPr="000F314A">
              <w:rPr>
                <w:rFonts w:cs="Arial"/>
                <w:sz w:val="20"/>
                <w:szCs w:val="20"/>
                <w:lang w:eastAsia="en-NZ"/>
              </w:rPr>
              <w:t>means income not included in regulatory profit / (loss) before tax that is taxable as determined in accordance with clause 2.3.5(2)(a) of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 xml:space="preserve">Income not included in regulatory profit / (loss) before tax but taxable – temporary </w:t>
            </w:r>
          </w:p>
        </w:tc>
        <w:tc>
          <w:tcPr>
            <w:tcW w:w="0" w:type="auto"/>
          </w:tcPr>
          <w:p w:rsidR="00213934" w:rsidRPr="000F314A" w:rsidRDefault="00213934" w:rsidP="005A23C3">
            <w:pPr>
              <w:tabs>
                <w:tab w:val="left" w:pos="4045"/>
              </w:tabs>
              <w:spacing w:line="264" w:lineRule="auto"/>
              <w:rPr>
                <w:rFonts w:cs="Arial"/>
                <w:sz w:val="20"/>
                <w:szCs w:val="20"/>
                <w:lang w:eastAsia="en-NZ"/>
              </w:rPr>
            </w:pPr>
            <w:r w:rsidRPr="000F314A">
              <w:rPr>
                <w:rFonts w:cs="Arial"/>
                <w:sz w:val="20"/>
                <w:szCs w:val="20"/>
                <w:lang w:eastAsia="en-NZ"/>
              </w:rPr>
              <w:t>means income not included in regulatory profit / (loss) before tax that is taxable as determined in accordance with clause 2.3.5(4)(a) of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Increase in value resulting from revaluations in accordance with 2.2.1(3)(b)</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means the value of revaluations as determined in accordance with clause 2.2.1(3)(b) of the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Increase/(decrease) in value resulting from rolling forward the asset adjustment process adjustments</w:t>
            </w:r>
          </w:p>
        </w:tc>
        <w:tc>
          <w:tcPr>
            <w:tcW w:w="0" w:type="auto"/>
          </w:tcPr>
          <w:p w:rsidR="00213934" w:rsidRPr="000F314A" w:rsidRDefault="00213934" w:rsidP="005A23C3">
            <w:pPr>
              <w:tabs>
                <w:tab w:val="left" w:pos="4045"/>
              </w:tabs>
              <w:spacing w:line="264" w:lineRule="auto"/>
              <w:ind w:left="108"/>
              <w:rPr>
                <w:rFonts w:cs="Arial"/>
                <w:sz w:val="20"/>
                <w:szCs w:val="20"/>
                <w:lang w:eastAsia="en-NZ"/>
              </w:rPr>
            </w:pPr>
            <w:proofErr w:type="gramStart"/>
            <w:r w:rsidRPr="000F314A">
              <w:rPr>
                <w:rFonts w:cs="Arial"/>
                <w:sz w:val="20"/>
                <w:szCs w:val="20"/>
                <w:lang w:eastAsia="en-NZ"/>
              </w:rPr>
              <w:t>means</w:t>
            </w:r>
            <w:proofErr w:type="gramEnd"/>
            <w:r w:rsidRPr="000F314A">
              <w:rPr>
                <w:rFonts w:cs="Arial"/>
                <w:sz w:val="20"/>
                <w:szCs w:val="20"/>
                <w:lang w:eastAsia="en-NZ"/>
              </w:rPr>
              <w:t xml:space="preserve"> the adjustment to the value of included or value modified assets resulting from applying clauses 2.2.1 of the </w:t>
            </w:r>
            <w:r w:rsidRPr="000F314A">
              <w:rPr>
                <w:rFonts w:cs="Arial"/>
                <w:bCs/>
                <w:sz w:val="20"/>
                <w:szCs w:val="20"/>
                <w:lang w:eastAsia="en-NZ"/>
              </w:rPr>
              <w:t>IM determination</w:t>
            </w:r>
            <w:r w:rsidR="009C2C2C" w:rsidRPr="000F314A">
              <w:rPr>
                <w:rFonts w:cs="Arial"/>
                <w:bCs/>
                <w:sz w:val="20"/>
                <w:szCs w:val="20"/>
                <w:lang w:eastAsia="en-NZ"/>
              </w:rPr>
              <w:t xml:space="preserve">. </w:t>
            </w:r>
            <w:r w:rsidRPr="000F314A">
              <w:rPr>
                <w:rFonts w:cs="Arial"/>
                <w:bCs/>
                <w:sz w:val="20"/>
                <w:szCs w:val="20"/>
                <w:lang w:eastAsia="en-NZ"/>
              </w:rPr>
              <w:t>Included and value modified have the meanings as set out in clause 2.2.1(6)(c) of the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Incremental gain/(loss) in year</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means the incremental change or incremental adjustment term for the disclosure year determined in accordance with clause 3.3.1 of the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sz w:val="20"/>
                <w:szCs w:val="20"/>
              </w:rPr>
              <w:t>Initial disclosure year</w:t>
            </w:r>
          </w:p>
        </w:tc>
        <w:tc>
          <w:tcPr>
            <w:tcW w:w="0" w:type="auto"/>
          </w:tcPr>
          <w:p w:rsidR="00213934" w:rsidRPr="000F314A" w:rsidRDefault="00213934" w:rsidP="005A23C3">
            <w:pPr>
              <w:spacing w:line="264" w:lineRule="auto"/>
              <w:rPr>
                <w:rFonts w:cs="Arial"/>
                <w:sz w:val="20"/>
                <w:szCs w:val="20"/>
                <w:lang w:eastAsia="en-NZ"/>
              </w:rPr>
            </w:pPr>
            <w:r w:rsidRPr="000F314A">
              <w:rPr>
                <w:sz w:val="20"/>
                <w:szCs w:val="20"/>
              </w:rPr>
              <w:t>means the disclosure year 2012</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Input methodology claw-back</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means a cost specified in clause 3.1.3(1)(b) of the IM determination</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Interruption</w:t>
            </w:r>
          </w:p>
        </w:tc>
        <w:tc>
          <w:tcPr>
            <w:tcW w:w="0" w:type="auto"/>
          </w:tcPr>
          <w:p w:rsidR="00213934" w:rsidRPr="000F314A" w:rsidRDefault="00213934" w:rsidP="005A23C3">
            <w:pPr>
              <w:pStyle w:val="Tablebodytext"/>
              <w:rPr>
                <w:sz w:val="20"/>
                <w:szCs w:val="20"/>
              </w:rPr>
            </w:pPr>
            <w:r w:rsidRPr="000F314A">
              <w:rPr>
                <w:sz w:val="20"/>
                <w:szCs w:val="20"/>
              </w:rPr>
              <w:t>Means the cessation of supply of gas for a period of 1 minute or longer, other than by reason of disconnection in accordance with the terms of the contract under which the gas is supplied</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Involved in</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has the meaning set out in section 74 of the Electricity Industry Act 2010, as if the references to distributor, generator or retailer in s 74(1) were read as references to an GTB or any other person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 xml:space="preserve">IRR </w:t>
            </w:r>
          </w:p>
        </w:tc>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means internal rate of return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Issue date</w:t>
            </w:r>
          </w:p>
        </w:tc>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means the day on which a qualifying debt or non-qualifying debt is issued</w:t>
            </w:r>
          </w:p>
        </w:tc>
      </w:tr>
      <w:tr w:rsidR="00213934" w:rsidRPr="000F314A" w:rsidTr="00EA01E1">
        <w:trPr>
          <w:cantSplit/>
          <w:trHeight w:val="20"/>
        </w:trPr>
        <w:tc>
          <w:tcPr>
            <w:tcW w:w="0" w:type="auto"/>
          </w:tcPr>
          <w:p w:rsidR="00213934" w:rsidRPr="000F314A" w:rsidRDefault="00213934" w:rsidP="005A23C3">
            <w:pPr>
              <w:rPr>
                <w:color w:val="000000"/>
                <w:sz w:val="20"/>
                <w:szCs w:val="20"/>
              </w:rPr>
            </w:pPr>
            <w:r w:rsidRPr="000F314A">
              <w:rPr>
                <w:color w:val="000000"/>
                <w:sz w:val="20"/>
                <w:szCs w:val="20"/>
              </w:rPr>
              <w:t>Items at end of year (quantity)</w:t>
            </w:r>
          </w:p>
        </w:tc>
        <w:tc>
          <w:tcPr>
            <w:tcW w:w="0" w:type="auto"/>
          </w:tcPr>
          <w:p w:rsidR="00213934" w:rsidRPr="000F314A" w:rsidRDefault="00213934" w:rsidP="005A23C3">
            <w:pPr>
              <w:pStyle w:val="BodyText"/>
              <w:rPr>
                <w:sz w:val="20"/>
                <w:szCs w:val="20"/>
              </w:rPr>
            </w:pPr>
            <w:r w:rsidRPr="000F314A">
              <w:rPr>
                <w:sz w:val="20"/>
                <w:szCs w:val="20"/>
              </w:rPr>
              <w:t>means the total quantity of assets in the prescribed asset category and asset class installed in the network at the start of the disclosure year, expressed in the prescribed unit</w:t>
            </w:r>
          </w:p>
        </w:tc>
      </w:tr>
      <w:tr w:rsidR="00213934" w:rsidRPr="000F314A" w:rsidTr="00EA01E1">
        <w:trPr>
          <w:cantSplit/>
          <w:trHeight w:val="20"/>
        </w:trPr>
        <w:tc>
          <w:tcPr>
            <w:tcW w:w="0" w:type="auto"/>
          </w:tcPr>
          <w:p w:rsidR="00213934" w:rsidRPr="000F314A" w:rsidRDefault="00213934" w:rsidP="005A23C3">
            <w:pPr>
              <w:rPr>
                <w:color w:val="000000"/>
                <w:sz w:val="20"/>
                <w:szCs w:val="20"/>
              </w:rPr>
            </w:pPr>
            <w:r w:rsidRPr="000F314A">
              <w:rPr>
                <w:color w:val="000000"/>
                <w:sz w:val="20"/>
                <w:szCs w:val="20"/>
              </w:rPr>
              <w:t xml:space="preserve">Items at start of year (quantity) </w:t>
            </w:r>
          </w:p>
        </w:tc>
        <w:tc>
          <w:tcPr>
            <w:tcW w:w="0" w:type="auto"/>
          </w:tcPr>
          <w:p w:rsidR="00213934" w:rsidRPr="000F314A" w:rsidRDefault="00213934" w:rsidP="005A23C3">
            <w:pPr>
              <w:pStyle w:val="BodyText"/>
              <w:rPr>
                <w:sz w:val="20"/>
                <w:szCs w:val="20"/>
              </w:rPr>
            </w:pPr>
            <w:r w:rsidRPr="000F314A">
              <w:rPr>
                <w:sz w:val="20"/>
                <w:szCs w:val="20"/>
              </w:rPr>
              <w:t xml:space="preserve">means the total quantity of assets in the prescribed asset category and asset class installed in the network at the start of the disclosure year, expressed in the prescribed unit </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sz w:val="20"/>
                <w:szCs w:val="20"/>
              </w:rPr>
            </w:pPr>
            <w:r w:rsidRPr="000F314A">
              <w:rPr>
                <w:rFonts w:cs="Arial"/>
                <w:bCs/>
                <w:sz w:val="20"/>
                <w:szCs w:val="20"/>
                <w:lang w:eastAsia="en-NZ"/>
              </w:rPr>
              <w:t>Leverage</w:t>
            </w:r>
          </w:p>
        </w:tc>
        <w:tc>
          <w:tcPr>
            <w:tcW w:w="0" w:type="auto"/>
          </w:tcPr>
          <w:p w:rsidR="00213934" w:rsidRPr="000F314A" w:rsidRDefault="00213934" w:rsidP="005A23C3">
            <w:pPr>
              <w:tabs>
                <w:tab w:val="left" w:pos="4045"/>
              </w:tabs>
              <w:spacing w:line="264" w:lineRule="auto"/>
              <w:ind w:left="34"/>
              <w:rPr>
                <w:sz w:val="20"/>
                <w:szCs w:val="20"/>
              </w:rPr>
            </w:pPr>
            <w:r w:rsidRPr="000F314A">
              <w:rPr>
                <w:rFonts w:cs="Arial"/>
                <w:sz w:val="20"/>
                <w:szCs w:val="20"/>
                <w:lang w:eastAsia="en-NZ"/>
              </w:rPr>
              <w:t>has the meaning set out in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Levies</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means a cost specified in clause 3.1.2(2)(b) of the IM determination</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Line charge revenue</w:t>
            </w:r>
          </w:p>
        </w:tc>
        <w:tc>
          <w:tcPr>
            <w:tcW w:w="0" w:type="auto"/>
          </w:tcPr>
          <w:p w:rsidR="00213934" w:rsidRPr="000F314A" w:rsidRDefault="00213934" w:rsidP="005A23C3">
            <w:pPr>
              <w:pStyle w:val="BodyText"/>
              <w:rPr>
                <w:sz w:val="20"/>
                <w:szCs w:val="20"/>
              </w:rPr>
            </w:pPr>
            <w:r w:rsidRPr="000F314A">
              <w:rPr>
                <w:sz w:val="20"/>
                <w:szCs w:val="20"/>
              </w:rPr>
              <w:t>Means revenue from prices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Line item</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has the meaning set out in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Lost and found assets adjustment</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means:</w:t>
            </w:r>
          </w:p>
          <w:p w:rsidR="00213934" w:rsidRPr="000F314A" w:rsidRDefault="00213934" w:rsidP="00213934">
            <w:pPr>
              <w:pStyle w:val="ListParagraph"/>
              <w:numPr>
                <w:ilvl w:val="0"/>
                <w:numId w:val="79"/>
              </w:numPr>
              <w:tabs>
                <w:tab w:val="left" w:pos="4045"/>
              </w:tabs>
              <w:spacing w:line="264" w:lineRule="auto"/>
              <w:ind w:hanging="434"/>
              <w:rPr>
                <w:rFonts w:cs="Arial"/>
                <w:sz w:val="20"/>
                <w:szCs w:val="20"/>
                <w:lang w:eastAsia="en-NZ"/>
              </w:rPr>
            </w:pPr>
            <w:proofErr w:type="gramStart"/>
            <w:r w:rsidRPr="000F314A">
              <w:rPr>
                <w:rFonts w:cs="Arial"/>
                <w:sz w:val="20"/>
                <w:szCs w:val="20"/>
                <w:lang w:eastAsia="en-NZ"/>
              </w:rPr>
              <w:t>in</w:t>
            </w:r>
            <w:proofErr w:type="gramEnd"/>
            <w:r w:rsidRPr="000F314A">
              <w:rPr>
                <w:rFonts w:cs="Arial"/>
                <w:sz w:val="20"/>
                <w:szCs w:val="20"/>
                <w:lang w:eastAsia="en-NZ"/>
              </w:rPr>
              <w:t xml:space="preserve"> relation to the</w:t>
            </w:r>
            <w:r w:rsidRPr="000F314A">
              <w:rPr>
                <w:rFonts w:cs="Arial"/>
                <w:bCs/>
                <w:sz w:val="20"/>
                <w:szCs w:val="20"/>
                <w:lang w:eastAsia="en-NZ"/>
              </w:rPr>
              <w:t xml:space="preserve"> unallocated RAB</w:t>
            </w:r>
            <w:r w:rsidRPr="000F314A">
              <w:rPr>
                <w:rFonts w:cs="Arial"/>
                <w:sz w:val="20"/>
                <w:szCs w:val="20"/>
                <w:lang w:eastAsia="en-NZ"/>
              </w:rPr>
              <w:t xml:space="preserve">, the value of found assets as determined in accordance with clause 2.2.12 of the </w:t>
            </w:r>
            <w:r w:rsidRPr="000F314A">
              <w:rPr>
                <w:rFonts w:cs="Arial"/>
                <w:bCs/>
                <w:sz w:val="20"/>
                <w:szCs w:val="20"/>
                <w:lang w:eastAsia="en-NZ"/>
              </w:rPr>
              <w:t>IM determination</w:t>
            </w:r>
            <w:r w:rsidRPr="000F314A">
              <w:rPr>
                <w:rFonts w:cs="Arial"/>
                <w:sz w:val="20"/>
                <w:szCs w:val="20"/>
                <w:lang w:eastAsia="en-NZ"/>
              </w:rPr>
              <w:t>, less the value of lost assets</w:t>
            </w:r>
            <w:r w:rsidR="009C2C2C" w:rsidRPr="000F314A">
              <w:rPr>
                <w:rFonts w:cs="Arial"/>
                <w:sz w:val="20"/>
                <w:szCs w:val="20"/>
                <w:lang w:eastAsia="en-NZ"/>
              </w:rPr>
              <w:t xml:space="preserve">. </w:t>
            </w:r>
            <w:r w:rsidRPr="000F314A">
              <w:rPr>
                <w:rFonts w:cs="Arial"/>
                <w:sz w:val="20"/>
                <w:szCs w:val="20"/>
                <w:lang w:eastAsia="en-NZ"/>
              </w:rPr>
              <w:t xml:space="preserve">The value of a lost asset is the unallocated opening RAB value of the asset less regulatory depreciation as determined in accordance with the  </w:t>
            </w:r>
            <w:r w:rsidRPr="000F314A">
              <w:rPr>
                <w:rFonts w:cs="Arial"/>
                <w:bCs/>
                <w:sz w:val="20"/>
                <w:szCs w:val="20"/>
                <w:lang w:eastAsia="en-NZ"/>
              </w:rPr>
              <w:t>IM determination</w:t>
            </w:r>
            <w:r w:rsidRPr="000F314A">
              <w:rPr>
                <w:rFonts w:cs="Arial"/>
                <w:sz w:val="20"/>
                <w:szCs w:val="20"/>
                <w:lang w:eastAsia="en-NZ"/>
              </w:rPr>
              <w:t>;</w:t>
            </w:r>
          </w:p>
          <w:p w:rsidR="00213934" w:rsidRPr="000F314A" w:rsidRDefault="00213934" w:rsidP="00213934">
            <w:pPr>
              <w:pStyle w:val="ListParagraph"/>
              <w:numPr>
                <w:ilvl w:val="0"/>
                <w:numId w:val="79"/>
              </w:numPr>
              <w:tabs>
                <w:tab w:val="left" w:pos="4045"/>
              </w:tabs>
              <w:spacing w:line="264" w:lineRule="auto"/>
              <w:ind w:hanging="434"/>
              <w:rPr>
                <w:rFonts w:cs="Arial"/>
                <w:sz w:val="20"/>
                <w:szCs w:val="20"/>
                <w:lang w:eastAsia="en-NZ"/>
              </w:rPr>
            </w:pPr>
            <w:r w:rsidRPr="000F314A">
              <w:rPr>
                <w:rFonts w:cs="Arial"/>
                <w:sz w:val="20"/>
                <w:szCs w:val="20"/>
                <w:lang w:eastAsia="en-NZ"/>
              </w:rPr>
              <w:t xml:space="preserve">in relation to the </w:t>
            </w:r>
            <w:r w:rsidRPr="000F314A">
              <w:rPr>
                <w:rFonts w:cs="Arial"/>
                <w:bCs/>
                <w:sz w:val="20"/>
                <w:szCs w:val="20"/>
                <w:lang w:eastAsia="en-NZ"/>
              </w:rPr>
              <w:t>RAB,</w:t>
            </w:r>
            <w:r w:rsidRPr="000F314A">
              <w:rPr>
                <w:rFonts w:cs="Arial"/>
                <w:sz w:val="20"/>
                <w:szCs w:val="20"/>
                <w:lang w:eastAsia="en-NZ"/>
              </w:rPr>
              <w:t xml:space="preserve"> the value of the asset (as determined in accordance with paragraph (a)) which is allocated to gas transmission services</w:t>
            </w:r>
            <w:r w:rsidRPr="000F314A">
              <w:rPr>
                <w:rFonts w:cs="Arial"/>
                <w:bCs/>
                <w:sz w:val="20"/>
                <w:szCs w:val="20"/>
                <w:lang w:eastAsia="en-NZ"/>
              </w:rPr>
              <w:t xml:space="preserve"> </w:t>
            </w:r>
            <w:r w:rsidRPr="000F314A">
              <w:rPr>
                <w:rFonts w:cs="Arial"/>
                <w:sz w:val="20"/>
                <w:szCs w:val="20"/>
                <w:lang w:eastAsia="en-NZ"/>
              </w:rPr>
              <w:t xml:space="preserve">in accordance with clause 2.1.1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241494">
            <w:pPr>
              <w:pStyle w:val="Clausetextunnumbered"/>
              <w:rPr>
                <w:rStyle w:val="Emphasis-Bold"/>
                <w:b w:val="0"/>
              </w:rPr>
            </w:pPr>
            <w:r w:rsidRPr="000F314A">
              <w:rPr>
                <w:rStyle w:val="Emphasis-Bold"/>
                <w:b w:val="0"/>
              </w:rPr>
              <w:t>Material influence</w:t>
            </w:r>
          </w:p>
        </w:tc>
        <w:tc>
          <w:tcPr>
            <w:tcW w:w="0" w:type="auto"/>
          </w:tcPr>
          <w:p w:rsidR="00213934" w:rsidRPr="000F314A" w:rsidRDefault="00213934" w:rsidP="005A23C3">
            <w:pPr>
              <w:tabs>
                <w:tab w:val="left" w:pos="4045"/>
              </w:tabs>
              <w:spacing w:line="264" w:lineRule="auto"/>
              <w:rPr>
                <w:sz w:val="20"/>
                <w:szCs w:val="20"/>
              </w:rPr>
            </w:pPr>
            <w:r w:rsidRPr="000F314A">
              <w:rPr>
                <w:sz w:val="20"/>
                <w:szCs w:val="20"/>
              </w:rPr>
              <w:t xml:space="preserve">has the meaning set out in the </w:t>
            </w:r>
            <w:r w:rsidRPr="000F314A">
              <w:rPr>
                <w:rFonts w:cs="Arial"/>
                <w:sz w:val="20"/>
                <w:szCs w:val="20"/>
                <w:lang w:eastAsia="en-NZ"/>
              </w:rPr>
              <w:t>Electricity Industry Act 2010</w:t>
            </w:r>
          </w:p>
        </w:tc>
      </w:tr>
      <w:tr w:rsidR="00213934" w:rsidRPr="000F314A" w:rsidTr="00EA01E1">
        <w:trPr>
          <w:cantSplit/>
          <w:trHeight w:val="20"/>
        </w:trPr>
        <w:tc>
          <w:tcPr>
            <w:tcW w:w="0" w:type="auto"/>
          </w:tcPr>
          <w:p w:rsidR="00213934" w:rsidRPr="000F314A" w:rsidRDefault="00213934" w:rsidP="005A23C3">
            <w:pPr>
              <w:rPr>
                <w:color w:val="000000"/>
                <w:sz w:val="20"/>
                <w:szCs w:val="20"/>
                <w:lang w:val="en-AU"/>
              </w:rPr>
            </w:pPr>
            <w:r w:rsidRPr="000F314A">
              <w:rPr>
                <w:sz w:val="20"/>
                <w:szCs w:val="20"/>
                <w:lang w:val="en-AU"/>
              </w:rPr>
              <w:t>Material projects and programmes</w:t>
            </w:r>
          </w:p>
        </w:tc>
        <w:tc>
          <w:tcPr>
            <w:tcW w:w="0" w:type="auto"/>
          </w:tcPr>
          <w:p w:rsidR="00213934" w:rsidRPr="000F314A" w:rsidRDefault="00213934" w:rsidP="005A23C3">
            <w:pPr>
              <w:pStyle w:val="BodyText"/>
              <w:rPr>
                <w:sz w:val="20"/>
                <w:szCs w:val="20"/>
                <w:lang w:val="en-AU"/>
              </w:rPr>
            </w:pPr>
            <w:r w:rsidRPr="000F314A">
              <w:rPr>
                <w:sz w:val="20"/>
                <w:szCs w:val="20"/>
                <w:lang w:val="en-AU"/>
              </w:rPr>
              <w:t>Projects or programmes with actual or forecast total expenditure greater than the materiality threshold that is developed and applied by the GTB</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Merger and acquisition expenses</w:t>
            </w:r>
          </w:p>
        </w:tc>
        <w:tc>
          <w:tcPr>
            <w:tcW w:w="0" w:type="auto"/>
          </w:tcPr>
          <w:p w:rsidR="00213934" w:rsidRPr="000F314A" w:rsidRDefault="00213934" w:rsidP="005A23C3">
            <w:pPr>
              <w:tabs>
                <w:tab w:val="left" w:pos="4045"/>
              </w:tabs>
              <w:spacing w:line="264" w:lineRule="auto"/>
              <w:rPr>
                <w:rFonts w:cs="Arial"/>
                <w:sz w:val="20"/>
                <w:szCs w:val="20"/>
                <w:lang w:eastAsia="en-NZ"/>
              </w:rPr>
            </w:pPr>
            <w:proofErr w:type="gramStart"/>
            <w:r w:rsidRPr="000F314A">
              <w:rPr>
                <w:rFonts w:cs="Arial"/>
                <w:sz w:val="20"/>
                <w:szCs w:val="20"/>
                <w:lang w:eastAsia="en-NZ"/>
              </w:rPr>
              <w:t>means</w:t>
            </w:r>
            <w:proofErr w:type="gramEnd"/>
            <w:r w:rsidRPr="000F314A">
              <w:rPr>
                <w:rFonts w:cs="Arial"/>
                <w:sz w:val="20"/>
                <w:szCs w:val="20"/>
                <w:lang w:eastAsia="en-NZ"/>
              </w:rPr>
              <w:t xml:space="preserve"> expenditure related to merger and acquisition activities irrespective of the outcome of the merger or acquisition, but proportionate to the extent the benefits of the merger or acquisition would relate to gas transmission services</w:t>
            </w:r>
            <w:r w:rsidR="009C2C2C" w:rsidRPr="000F314A">
              <w:rPr>
                <w:rFonts w:cs="Arial"/>
                <w:sz w:val="20"/>
                <w:szCs w:val="20"/>
                <w:lang w:eastAsia="en-NZ"/>
              </w:rPr>
              <w:t xml:space="preserve">. </w:t>
            </w:r>
            <w:r w:rsidRPr="000F314A">
              <w:rPr>
                <w:rFonts w:cs="Arial"/>
                <w:sz w:val="20"/>
                <w:szCs w:val="20"/>
                <w:lang w:eastAsia="en-NZ"/>
              </w:rPr>
              <w:t>Disclosure of the benefits to gas transmission services is required for merger and acquisition expenses to be recognised</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Metering system</w:t>
            </w:r>
          </w:p>
        </w:tc>
        <w:tc>
          <w:tcPr>
            <w:tcW w:w="0" w:type="auto"/>
          </w:tcPr>
          <w:p w:rsidR="00213934" w:rsidRPr="000F314A" w:rsidRDefault="00213934" w:rsidP="005A23C3">
            <w:pPr>
              <w:pStyle w:val="Tablebodytext"/>
              <w:rPr>
                <w:sz w:val="20"/>
                <w:szCs w:val="20"/>
              </w:rPr>
            </w:pPr>
            <w:r w:rsidRPr="000F314A">
              <w:rPr>
                <w:sz w:val="20"/>
                <w:szCs w:val="20"/>
                <w:lang w:val="en-AU"/>
              </w:rPr>
              <w:t>means a device that measures and records the quantity of gas that has flowed through the device in a period of time and may additionally measure and record the rate of flow</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Mid-point estimate of post tax WACC</w:t>
            </w:r>
          </w:p>
        </w:tc>
        <w:tc>
          <w:tcPr>
            <w:tcW w:w="0" w:type="auto"/>
          </w:tcPr>
          <w:p w:rsidR="00213934" w:rsidRPr="000F314A" w:rsidRDefault="00213934" w:rsidP="005A23C3">
            <w:pPr>
              <w:tabs>
                <w:tab w:val="left" w:pos="4045"/>
              </w:tabs>
              <w:spacing w:line="264" w:lineRule="auto"/>
              <w:rPr>
                <w:rFonts w:cs="Arial"/>
                <w:sz w:val="20"/>
                <w:szCs w:val="20"/>
                <w:lang w:eastAsia="en-NZ"/>
              </w:rPr>
            </w:pPr>
            <w:r w:rsidRPr="000F314A">
              <w:rPr>
                <w:rFonts w:cs="Arial"/>
                <w:sz w:val="20"/>
                <w:szCs w:val="20"/>
                <w:lang w:eastAsia="en-NZ"/>
              </w:rPr>
              <w:t xml:space="preserve">means the mid-point estimate of vanilla WACC for the 5 year period commencing on the first day of the disclosure year determined by the </w:t>
            </w:r>
            <w:r w:rsidRPr="000F314A">
              <w:rPr>
                <w:rFonts w:cs="Arial"/>
                <w:bCs/>
                <w:sz w:val="20"/>
                <w:szCs w:val="20"/>
                <w:lang w:eastAsia="en-NZ"/>
              </w:rPr>
              <w:t>Commission</w:t>
            </w:r>
            <w:r w:rsidRPr="000F314A">
              <w:rPr>
                <w:rFonts w:cs="Arial"/>
                <w:sz w:val="20"/>
                <w:szCs w:val="20"/>
                <w:lang w:eastAsia="en-NZ"/>
              </w:rPr>
              <w:t xml:space="preserve"> in accordance with clause 2.4.1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Mid-point estimate of post tax WACC</w:t>
            </w:r>
          </w:p>
        </w:tc>
        <w:tc>
          <w:tcPr>
            <w:tcW w:w="0" w:type="auto"/>
          </w:tcPr>
          <w:p w:rsidR="00213934" w:rsidRPr="000F314A" w:rsidRDefault="00213934" w:rsidP="005A23C3">
            <w:pPr>
              <w:tabs>
                <w:tab w:val="left" w:pos="4045"/>
              </w:tabs>
              <w:spacing w:line="264" w:lineRule="auto"/>
              <w:rPr>
                <w:rFonts w:cs="Arial"/>
                <w:sz w:val="20"/>
                <w:szCs w:val="20"/>
                <w:lang w:eastAsia="en-NZ"/>
              </w:rPr>
            </w:pPr>
            <w:r w:rsidRPr="000F314A">
              <w:rPr>
                <w:rFonts w:cs="Arial"/>
                <w:sz w:val="20"/>
                <w:szCs w:val="20"/>
                <w:lang w:eastAsia="en-NZ"/>
              </w:rPr>
              <w:t xml:space="preserve">means the mid-point estimate of post tax WACC for the 5 year period commencing on the first day of the disclosure year determined by the </w:t>
            </w:r>
            <w:r w:rsidRPr="000F314A">
              <w:rPr>
                <w:rFonts w:cs="Arial"/>
                <w:bCs/>
                <w:sz w:val="20"/>
                <w:szCs w:val="20"/>
                <w:lang w:eastAsia="en-NZ"/>
              </w:rPr>
              <w:t>Commission</w:t>
            </w:r>
            <w:r w:rsidRPr="000F314A">
              <w:rPr>
                <w:rFonts w:cs="Arial"/>
                <w:sz w:val="20"/>
                <w:szCs w:val="20"/>
                <w:lang w:eastAsia="en-NZ"/>
              </w:rPr>
              <w:t xml:space="preserve"> in accordance with Part 2, subpart 4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Most recent ID period</w:t>
            </w:r>
          </w:p>
        </w:tc>
        <w:tc>
          <w:tcPr>
            <w:tcW w:w="0" w:type="auto"/>
          </w:tcPr>
          <w:p w:rsidR="00213934" w:rsidRPr="000F314A" w:rsidRDefault="00213934" w:rsidP="005A23C3">
            <w:pPr>
              <w:tabs>
                <w:tab w:val="left" w:pos="4045"/>
              </w:tabs>
              <w:spacing w:line="264" w:lineRule="auto"/>
              <w:rPr>
                <w:sz w:val="20"/>
                <w:szCs w:val="20"/>
              </w:rPr>
            </w:pPr>
            <w:r w:rsidRPr="000F314A">
              <w:rPr>
                <w:rFonts w:cs="Arial"/>
                <w:sz w:val="20"/>
                <w:szCs w:val="20"/>
                <w:lang w:eastAsia="en-NZ"/>
              </w:rPr>
              <w:t>means the disclosure year immediately preceding the end of the consolidation period</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Name of related party</w:t>
            </w:r>
          </w:p>
        </w:tc>
        <w:tc>
          <w:tcPr>
            <w:tcW w:w="0" w:type="auto"/>
          </w:tcPr>
          <w:p w:rsidR="00213934" w:rsidRPr="000F314A" w:rsidRDefault="00213934" w:rsidP="005A23C3">
            <w:pPr>
              <w:tabs>
                <w:tab w:val="left" w:pos="4045"/>
              </w:tabs>
              <w:spacing w:line="264" w:lineRule="auto"/>
              <w:ind w:left="34"/>
              <w:rPr>
                <w:sz w:val="20"/>
                <w:szCs w:val="20"/>
              </w:rPr>
            </w:pPr>
            <w:r w:rsidRPr="000F314A">
              <w:rPr>
                <w:rFonts w:cs="Arial"/>
                <w:sz w:val="20"/>
                <w:szCs w:val="20"/>
                <w:lang w:eastAsia="en-NZ"/>
              </w:rPr>
              <w:t>means either the legal name of the related party that has entered into a transaction with the GTB or 'inter-company' where the transaction is between the regulated and un-regulated parts of the GTB</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Net incremental rolling incentive scheme</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 the sum of previous years incremental gain/loss from the five disclosure years preceding the current disclosure year</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Net recoverable costs allowed under incremental rolling incentive scheme</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 where:</w:t>
            </w:r>
          </w:p>
          <w:p w:rsidR="00213934" w:rsidRPr="000F314A" w:rsidRDefault="00213934" w:rsidP="005A23C3">
            <w:pPr>
              <w:spacing w:line="264" w:lineRule="auto"/>
              <w:ind w:left="459" w:hanging="459"/>
              <w:rPr>
                <w:rFonts w:cs="Arial"/>
                <w:sz w:val="20"/>
                <w:szCs w:val="20"/>
                <w:lang w:eastAsia="en-NZ"/>
              </w:rPr>
            </w:pPr>
            <w:r w:rsidRPr="000F314A">
              <w:rPr>
                <w:rFonts w:cs="Arial"/>
                <w:sz w:val="20"/>
                <w:szCs w:val="20"/>
                <w:lang w:eastAsia="en-NZ"/>
              </w:rPr>
              <w:t>(a)</w:t>
            </w:r>
            <w:r w:rsidRPr="000F314A">
              <w:rPr>
                <w:rFonts w:cs="Arial"/>
                <w:sz w:val="20"/>
                <w:szCs w:val="20"/>
                <w:lang w:eastAsia="en-NZ"/>
              </w:rPr>
              <w:tab/>
              <w:t>net incremental rolling incentive scheme is positive, net incremental rolling incentive scheme;</w:t>
            </w:r>
          </w:p>
          <w:p w:rsidR="00213934" w:rsidRPr="000F314A" w:rsidRDefault="00213934" w:rsidP="005A23C3">
            <w:pPr>
              <w:spacing w:line="264" w:lineRule="auto"/>
              <w:ind w:left="459" w:hanging="459"/>
              <w:rPr>
                <w:rFonts w:cs="Arial"/>
                <w:sz w:val="20"/>
                <w:szCs w:val="20"/>
                <w:lang w:eastAsia="en-NZ"/>
              </w:rPr>
            </w:pPr>
            <w:r w:rsidRPr="000F314A">
              <w:rPr>
                <w:rFonts w:cs="Arial"/>
                <w:sz w:val="20"/>
                <w:szCs w:val="20"/>
                <w:lang w:eastAsia="en-NZ"/>
              </w:rPr>
              <w:t>(b)</w:t>
            </w:r>
            <w:r w:rsidRPr="000F314A">
              <w:rPr>
                <w:rFonts w:cs="Arial"/>
                <w:sz w:val="20"/>
                <w:szCs w:val="20"/>
                <w:lang w:eastAsia="en-NZ"/>
              </w:rPr>
              <w:tab/>
              <w:t>net incremental rolling incentive scheme is nil or negative, nil</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Net value of vested assets</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means the fair value of assets whose ownership is vested in a </w:t>
            </w:r>
            <w:r w:rsidRPr="000F314A">
              <w:rPr>
                <w:rFonts w:cs="Arial"/>
                <w:bCs/>
                <w:sz w:val="20"/>
                <w:szCs w:val="20"/>
                <w:lang w:eastAsia="en-NZ"/>
              </w:rPr>
              <w:t>GTB</w:t>
            </w:r>
            <w:r w:rsidRPr="000F314A">
              <w:rPr>
                <w:rFonts w:cs="Arial"/>
                <w:sz w:val="20"/>
                <w:szCs w:val="20"/>
                <w:lang w:eastAsia="en-NZ"/>
              </w:rPr>
              <w:t xml:space="preserve"> (whether or not for some consideration) less any consideration paid for those assets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sz w:val="20"/>
                <w:szCs w:val="20"/>
              </w:rPr>
            </w:pPr>
            <w:r w:rsidRPr="000F314A">
              <w:rPr>
                <w:bCs/>
                <w:sz w:val="20"/>
                <w:szCs w:val="20"/>
              </w:rPr>
              <w:t>Network</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has the meaning set out in the IM determination</w:t>
            </w:r>
          </w:p>
        </w:tc>
      </w:tr>
      <w:tr w:rsidR="00213934" w:rsidRPr="000F314A" w:rsidTr="00EA01E1">
        <w:trPr>
          <w:cantSplit/>
          <w:trHeight w:val="20"/>
        </w:trPr>
        <w:tc>
          <w:tcPr>
            <w:tcW w:w="0" w:type="auto"/>
          </w:tcPr>
          <w:p w:rsidR="00213934" w:rsidRPr="000F314A" w:rsidRDefault="00213934" w:rsidP="005A23C3">
            <w:pPr>
              <w:rPr>
                <w:color w:val="000000"/>
                <w:sz w:val="20"/>
                <w:szCs w:val="20"/>
              </w:rPr>
            </w:pPr>
            <w:r w:rsidRPr="000F314A">
              <w:rPr>
                <w:color w:val="000000"/>
                <w:sz w:val="20"/>
                <w:szCs w:val="20"/>
              </w:rPr>
              <w:t>No. with default dates</w:t>
            </w:r>
          </w:p>
        </w:tc>
        <w:tc>
          <w:tcPr>
            <w:tcW w:w="0" w:type="auto"/>
          </w:tcPr>
          <w:p w:rsidR="00213934" w:rsidRPr="000F314A" w:rsidRDefault="00213934" w:rsidP="005A23C3">
            <w:pPr>
              <w:pStyle w:val="BodyText"/>
              <w:rPr>
                <w:sz w:val="20"/>
                <w:szCs w:val="20"/>
              </w:rPr>
            </w:pPr>
            <w:r w:rsidRPr="000F314A">
              <w:rPr>
                <w:sz w:val="20"/>
                <w:szCs w:val="20"/>
              </w:rPr>
              <w:t>means the total quantity of assets in the prescribed asset category and asset class installed in the network at the start of the disclosure year where the original installation year is unknown and that have accordingly been allocated to a default installation year, expressed in the prescribed unit</w:t>
            </w:r>
          </w:p>
        </w:tc>
      </w:tr>
      <w:tr w:rsidR="00213934" w:rsidRPr="000F314A" w:rsidTr="00EA01E1">
        <w:trPr>
          <w:cantSplit/>
          <w:trHeight w:val="20"/>
        </w:trPr>
        <w:tc>
          <w:tcPr>
            <w:tcW w:w="0" w:type="auto"/>
          </w:tcPr>
          <w:p w:rsidR="00213934" w:rsidRPr="000F314A" w:rsidRDefault="00213934" w:rsidP="00241494">
            <w:pPr>
              <w:pStyle w:val="Clausetextunnumbered"/>
            </w:pPr>
            <w:r w:rsidRPr="000F314A">
              <w:rPr>
                <w:rStyle w:val="Emphasis-Bold"/>
                <w:b w:val="0"/>
              </w:rPr>
              <w:t xml:space="preserve">Nominal New Zealand dollars </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In relation to an expenditure or revenue forecast, means the New Zealand dollar prices expected to apply at the time of transaction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Non-gas transmission services</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 services of the GTB that are not gas transmission services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Non-qualifying debt</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means interest bearing debt that is not  a </w:t>
            </w:r>
            <w:r w:rsidRPr="000F314A">
              <w:rPr>
                <w:rFonts w:cs="Arial"/>
                <w:bCs/>
                <w:sz w:val="20"/>
                <w:szCs w:val="20"/>
                <w:lang w:eastAsia="en-NZ"/>
              </w:rPr>
              <w:t>qualifying debt</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Non-qualifying intangible assets</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means the value of assets identified in clause 2.2.2(d)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Non-standard consumer</w:t>
            </w:r>
          </w:p>
        </w:tc>
        <w:tc>
          <w:tcPr>
            <w:tcW w:w="0" w:type="auto"/>
          </w:tcPr>
          <w:p w:rsidR="00213934" w:rsidRPr="000F314A" w:rsidRDefault="00213934" w:rsidP="005A23C3">
            <w:pPr>
              <w:pStyle w:val="BodyText"/>
              <w:rPr>
                <w:sz w:val="20"/>
                <w:szCs w:val="20"/>
              </w:rPr>
            </w:pPr>
            <w:r w:rsidRPr="000F314A">
              <w:rPr>
                <w:sz w:val="20"/>
                <w:szCs w:val="20"/>
              </w:rPr>
              <w:t xml:space="preserve">means any </w:t>
            </w:r>
            <w:r w:rsidRPr="000F314A">
              <w:rPr>
                <w:bCs/>
                <w:sz w:val="20"/>
                <w:szCs w:val="20"/>
              </w:rPr>
              <w:t>consumer</w:t>
            </w:r>
            <w:r w:rsidRPr="000F314A">
              <w:rPr>
                <w:sz w:val="20"/>
                <w:szCs w:val="20"/>
              </w:rPr>
              <w:t xml:space="preserve"> that is not a </w:t>
            </w:r>
            <w:r w:rsidRPr="000F314A">
              <w:rPr>
                <w:bCs/>
                <w:sz w:val="20"/>
                <w:szCs w:val="20"/>
              </w:rPr>
              <w:t>standard consumer</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bCs/>
                <w:sz w:val="20"/>
                <w:szCs w:val="20"/>
              </w:rPr>
              <w:t>Non-standard contract</w:t>
            </w:r>
          </w:p>
        </w:tc>
        <w:tc>
          <w:tcPr>
            <w:tcW w:w="0" w:type="auto"/>
          </w:tcPr>
          <w:p w:rsidR="00213934" w:rsidRPr="000F314A" w:rsidRDefault="00213934" w:rsidP="005A23C3">
            <w:pPr>
              <w:spacing w:line="264" w:lineRule="auto"/>
              <w:rPr>
                <w:rFonts w:cs="Arial"/>
                <w:sz w:val="20"/>
                <w:szCs w:val="20"/>
                <w:lang w:eastAsia="en-NZ"/>
              </w:rPr>
            </w:pPr>
            <w:r w:rsidRPr="000F314A">
              <w:rPr>
                <w:sz w:val="20"/>
                <w:szCs w:val="20"/>
              </w:rPr>
              <w:t>means a contract that is not a standard contract</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sz w:val="20"/>
                <w:szCs w:val="20"/>
              </w:rPr>
              <w:t>Non-system fixed assets</w:t>
            </w:r>
          </w:p>
        </w:tc>
        <w:tc>
          <w:tcPr>
            <w:tcW w:w="0" w:type="auto"/>
          </w:tcPr>
          <w:p w:rsidR="00213934" w:rsidRPr="000F314A" w:rsidRDefault="00213934" w:rsidP="005A23C3">
            <w:pPr>
              <w:spacing w:line="264" w:lineRule="auto"/>
              <w:rPr>
                <w:sz w:val="20"/>
                <w:szCs w:val="20"/>
              </w:rPr>
            </w:pPr>
            <w:proofErr w:type="gramStart"/>
            <w:r w:rsidRPr="000F314A">
              <w:rPr>
                <w:sz w:val="20"/>
                <w:szCs w:val="20"/>
              </w:rPr>
              <w:t>means</w:t>
            </w:r>
            <w:proofErr w:type="gramEnd"/>
            <w:r w:rsidRPr="000F314A">
              <w:rPr>
                <w:sz w:val="20"/>
                <w:szCs w:val="20"/>
              </w:rPr>
              <w:t xml:space="preserve"> gross capital expenditure that is not directly incurred on the network. This includes expenditure on information and technology systems, IT software upgrade costs, asset management systems, customer management systems, office buildings, depots and workshops, office furniture and equipment, motor vehicles, tools, plant and machinery. </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Not directly attributable</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w:t>
            </w:r>
          </w:p>
          <w:p w:rsidR="00213934" w:rsidRPr="000F314A" w:rsidRDefault="00213934" w:rsidP="00213934">
            <w:pPr>
              <w:pStyle w:val="ListParagraph"/>
              <w:numPr>
                <w:ilvl w:val="0"/>
                <w:numId w:val="19"/>
              </w:numPr>
              <w:spacing w:line="264" w:lineRule="auto"/>
              <w:ind w:left="459" w:hanging="425"/>
              <w:rPr>
                <w:rFonts w:cs="Arial"/>
                <w:sz w:val="20"/>
                <w:szCs w:val="20"/>
                <w:lang w:eastAsia="en-NZ"/>
              </w:rPr>
            </w:pPr>
            <w:r w:rsidRPr="000F314A">
              <w:rPr>
                <w:rFonts w:cs="Arial"/>
                <w:sz w:val="20"/>
                <w:szCs w:val="20"/>
                <w:lang w:eastAsia="en-NZ"/>
              </w:rPr>
              <w:t>in relation to operating costs, operating costs that are not directly attributable;</w:t>
            </w:r>
          </w:p>
          <w:p w:rsidR="00213934" w:rsidRPr="000F314A" w:rsidRDefault="00213934" w:rsidP="00213934">
            <w:pPr>
              <w:pStyle w:val="ListParagraph"/>
              <w:numPr>
                <w:ilvl w:val="0"/>
                <w:numId w:val="19"/>
              </w:numPr>
              <w:tabs>
                <w:tab w:val="left" w:pos="4045"/>
              </w:tabs>
              <w:spacing w:line="264" w:lineRule="auto"/>
              <w:ind w:left="459" w:hanging="425"/>
              <w:rPr>
                <w:rFonts w:cs="Arial"/>
                <w:sz w:val="20"/>
                <w:szCs w:val="20"/>
                <w:lang w:eastAsia="en-NZ"/>
              </w:rPr>
            </w:pPr>
            <w:r w:rsidRPr="000F314A">
              <w:rPr>
                <w:rFonts w:cs="Arial"/>
                <w:sz w:val="20"/>
                <w:szCs w:val="20"/>
                <w:lang w:eastAsia="en-NZ"/>
              </w:rPr>
              <w:t>in relation to regulated service asset values, regulated service asset values that are not directly attributable</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Notional deductible interest</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has the meaning set out in clause 2.3.1(5)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sz w:val="20"/>
                <w:szCs w:val="20"/>
              </w:rPr>
            </w:pPr>
            <w:r w:rsidRPr="000F314A">
              <w:rPr>
                <w:rFonts w:cs="Arial"/>
                <w:bCs/>
                <w:sz w:val="20"/>
                <w:szCs w:val="20"/>
                <w:lang w:eastAsia="en-NZ"/>
              </w:rPr>
              <w:t>Notional interest tax shield</w:t>
            </w:r>
          </w:p>
        </w:tc>
        <w:tc>
          <w:tcPr>
            <w:tcW w:w="0" w:type="auto"/>
          </w:tcPr>
          <w:p w:rsidR="00213934" w:rsidRPr="000F314A" w:rsidRDefault="00213934" w:rsidP="005A23C3">
            <w:pPr>
              <w:spacing w:line="264" w:lineRule="auto"/>
              <w:rPr>
                <w:sz w:val="20"/>
                <w:szCs w:val="20"/>
              </w:rPr>
            </w:pPr>
            <w:r w:rsidRPr="000F314A">
              <w:rPr>
                <w:rFonts w:cs="Arial"/>
                <w:sz w:val="20"/>
                <w:szCs w:val="20"/>
                <w:lang w:eastAsia="en-NZ"/>
              </w:rPr>
              <w:t xml:space="preserve">means the product of </w:t>
            </w:r>
            <w:r w:rsidRPr="000F314A">
              <w:rPr>
                <w:rFonts w:cs="Arial"/>
                <w:bCs/>
                <w:sz w:val="20"/>
                <w:szCs w:val="20"/>
                <w:lang w:eastAsia="en-NZ"/>
              </w:rPr>
              <w:t xml:space="preserve">notional </w:t>
            </w:r>
            <w:r w:rsidR="00241494" w:rsidRPr="000F314A">
              <w:rPr>
                <w:rFonts w:cs="Arial"/>
                <w:bCs/>
                <w:sz w:val="20"/>
                <w:szCs w:val="20"/>
                <w:lang w:eastAsia="en-NZ"/>
              </w:rPr>
              <w:t>deductible</w:t>
            </w:r>
            <w:r w:rsidRPr="000F314A">
              <w:rPr>
                <w:rFonts w:cs="Arial"/>
                <w:bCs/>
                <w:sz w:val="20"/>
                <w:szCs w:val="20"/>
                <w:lang w:eastAsia="en-NZ"/>
              </w:rPr>
              <w:t xml:space="preserve"> interest </w:t>
            </w:r>
            <w:r w:rsidRPr="000F314A">
              <w:rPr>
                <w:rFonts w:cs="Arial"/>
                <w:sz w:val="20"/>
                <w:szCs w:val="20"/>
                <w:lang w:eastAsia="en-NZ"/>
              </w:rPr>
              <w:t xml:space="preserve">and the </w:t>
            </w:r>
            <w:r w:rsidRPr="000F314A">
              <w:rPr>
                <w:rFonts w:cs="Arial"/>
                <w:bCs/>
                <w:sz w:val="20"/>
                <w:szCs w:val="20"/>
                <w:lang w:eastAsia="en-NZ"/>
              </w:rPr>
              <w:t xml:space="preserve">corporate tax rate </w:t>
            </w:r>
            <w:r w:rsidRPr="000F314A">
              <w:rPr>
                <w:rFonts w:cs="Arial"/>
                <w:sz w:val="20"/>
                <w:szCs w:val="20"/>
                <w:lang w:eastAsia="en-NZ"/>
              </w:rPr>
              <w:t xml:space="preserve">applicable to the current </w:t>
            </w:r>
            <w:r w:rsidRPr="000F314A">
              <w:rPr>
                <w:rFonts w:cs="Arial"/>
                <w:bCs/>
                <w:sz w:val="20"/>
                <w:szCs w:val="20"/>
                <w:lang w:eastAsia="en-NZ"/>
              </w:rPr>
              <w:t>disclosure year</w:t>
            </w:r>
          </w:p>
        </w:tc>
      </w:tr>
      <w:tr w:rsidR="00213934" w:rsidRPr="000F314A" w:rsidTr="00EA01E1">
        <w:trPr>
          <w:cantSplit/>
          <w:trHeight w:val="20"/>
        </w:trPr>
        <w:tc>
          <w:tcPr>
            <w:tcW w:w="0" w:type="auto"/>
          </w:tcPr>
          <w:p w:rsidR="00213934" w:rsidRPr="000F314A" w:rsidRDefault="00213934" w:rsidP="005A23C3">
            <w:pPr>
              <w:rPr>
                <w:sz w:val="20"/>
                <w:szCs w:val="20"/>
              </w:rPr>
            </w:pPr>
            <w:r w:rsidRPr="000F314A">
              <w:rPr>
                <w:sz w:val="20"/>
                <w:szCs w:val="20"/>
              </w:rPr>
              <w:t xml:space="preserve">Notional net cash flows </w:t>
            </w:r>
          </w:p>
        </w:tc>
        <w:tc>
          <w:tcPr>
            <w:tcW w:w="0" w:type="auto"/>
          </w:tcPr>
          <w:p w:rsidR="00213934" w:rsidRPr="000F314A" w:rsidRDefault="00213934" w:rsidP="005A23C3">
            <w:pPr>
              <w:rPr>
                <w:sz w:val="20"/>
                <w:szCs w:val="20"/>
              </w:rPr>
            </w:pPr>
            <w:r w:rsidRPr="000F314A">
              <w:rPr>
                <w:sz w:val="20"/>
                <w:szCs w:val="20"/>
              </w:rPr>
              <w:t>means, in relation to the:</w:t>
            </w:r>
          </w:p>
          <w:p w:rsidR="00213934" w:rsidRPr="000F314A" w:rsidRDefault="00213934" w:rsidP="00213934">
            <w:pPr>
              <w:pStyle w:val="ListParagraph"/>
              <w:numPr>
                <w:ilvl w:val="0"/>
                <w:numId w:val="80"/>
              </w:numPr>
              <w:ind w:left="459" w:hanging="425"/>
              <w:rPr>
                <w:sz w:val="20"/>
                <w:szCs w:val="20"/>
              </w:rPr>
            </w:pPr>
            <w:r w:rsidRPr="000F314A">
              <w:rPr>
                <w:sz w:val="20"/>
                <w:szCs w:val="20"/>
              </w:rPr>
              <w:t xml:space="preserve">ROI, operating surplus / (deficit) less regulatory tax allowance less assets commissioned plus asset disposals </w:t>
            </w:r>
          </w:p>
          <w:p w:rsidR="00213934" w:rsidRPr="000F314A" w:rsidRDefault="00213934" w:rsidP="00213934">
            <w:pPr>
              <w:pStyle w:val="ListParagraph"/>
              <w:numPr>
                <w:ilvl w:val="0"/>
                <w:numId w:val="80"/>
              </w:numPr>
              <w:ind w:left="459" w:hanging="425"/>
              <w:rPr>
                <w:sz w:val="20"/>
                <w:szCs w:val="20"/>
              </w:rPr>
            </w:pPr>
            <w:r w:rsidRPr="000F314A">
              <w:rPr>
                <w:sz w:val="20"/>
                <w:szCs w:val="20"/>
              </w:rPr>
              <w:t>alternative ROI, revenue less expenses less tax less assets commissioned plus asset disposals</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Notional revenue foregone</w:t>
            </w:r>
          </w:p>
        </w:tc>
        <w:tc>
          <w:tcPr>
            <w:tcW w:w="0" w:type="auto"/>
          </w:tcPr>
          <w:p w:rsidR="00213934" w:rsidRPr="000F314A" w:rsidRDefault="00213934" w:rsidP="005A23C3">
            <w:pPr>
              <w:pStyle w:val="BodyText"/>
              <w:rPr>
                <w:i/>
                <w:sz w:val="20"/>
                <w:szCs w:val="20"/>
              </w:rPr>
            </w:pPr>
            <w:r w:rsidRPr="000F314A">
              <w:rPr>
                <w:sz w:val="20"/>
                <w:szCs w:val="20"/>
              </w:rPr>
              <w:t>means, for the purposes of Schedule 8a, the revenue anticipated from posted discounts had they not been applied</w:t>
            </w:r>
          </w:p>
        </w:tc>
      </w:tr>
      <w:tr w:rsidR="00213934" w:rsidRPr="000F314A" w:rsidTr="00EA01E1">
        <w:trPr>
          <w:cantSplit/>
          <w:trHeight w:val="20"/>
        </w:trPr>
        <w:tc>
          <w:tcPr>
            <w:tcW w:w="0" w:type="auto"/>
          </w:tcPr>
          <w:p w:rsidR="00213934" w:rsidRPr="000F314A" w:rsidRDefault="00213934" w:rsidP="005A23C3">
            <w:pPr>
              <w:rPr>
                <w:color w:val="000000"/>
                <w:sz w:val="20"/>
                <w:szCs w:val="20"/>
              </w:rPr>
            </w:pPr>
            <w:r w:rsidRPr="000F314A">
              <w:rPr>
                <w:color w:val="000000"/>
                <w:sz w:val="20"/>
                <w:szCs w:val="20"/>
              </w:rPr>
              <w:t>Number of assets at end of disclosure year by installation date</w:t>
            </w:r>
          </w:p>
        </w:tc>
        <w:tc>
          <w:tcPr>
            <w:tcW w:w="0" w:type="auto"/>
          </w:tcPr>
          <w:p w:rsidR="00213934" w:rsidRPr="000F314A" w:rsidRDefault="00213934" w:rsidP="005A23C3">
            <w:pPr>
              <w:pStyle w:val="BodyText"/>
              <w:rPr>
                <w:sz w:val="20"/>
                <w:szCs w:val="20"/>
              </w:rPr>
            </w:pPr>
            <w:r w:rsidRPr="000F314A">
              <w:rPr>
                <w:sz w:val="20"/>
                <w:szCs w:val="20"/>
              </w:rPr>
              <w:t>means the total quantity of assets in the prescribed asset category and asset class installed in the network at the start of the disclosure year that were first installed in the prescribed year, expressed in the prescribed unit</w:t>
            </w:r>
          </w:p>
        </w:tc>
      </w:tr>
      <w:tr w:rsidR="00213934" w:rsidRPr="000F314A" w:rsidTr="00EA01E1">
        <w:trPr>
          <w:cantSplit/>
          <w:trHeight w:val="20"/>
        </w:trPr>
        <w:tc>
          <w:tcPr>
            <w:tcW w:w="0" w:type="auto"/>
          </w:tcPr>
          <w:p w:rsidR="00213934" w:rsidRPr="000F314A" w:rsidRDefault="00213934" w:rsidP="005A23C3">
            <w:pPr>
              <w:pStyle w:val="Tablebodytext"/>
              <w:rPr>
                <w:color w:val="000000"/>
                <w:sz w:val="20"/>
                <w:szCs w:val="20"/>
                <w:lang w:val="en-AU"/>
              </w:rPr>
            </w:pPr>
            <w:r w:rsidRPr="000F314A">
              <w:rPr>
                <w:sz w:val="20"/>
                <w:szCs w:val="20"/>
              </w:rPr>
              <w:t>Number of connections (Number of ICPs connected in year by customer group)</w:t>
            </w:r>
          </w:p>
        </w:tc>
        <w:tc>
          <w:tcPr>
            <w:tcW w:w="0" w:type="auto"/>
          </w:tcPr>
          <w:p w:rsidR="00213934" w:rsidRPr="000F314A" w:rsidRDefault="00213934" w:rsidP="005A23C3">
            <w:pPr>
              <w:pStyle w:val="BodyText"/>
              <w:rPr>
                <w:sz w:val="20"/>
                <w:szCs w:val="20"/>
                <w:lang w:val="en-AU"/>
              </w:rPr>
            </w:pPr>
            <w:r w:rsidRPr="000F314A">
              <w:rPr>
                <w:sz w:val="20"/>
                <w:szCs w:val="20"/>
                <w:lang w:val="en-AU"/>
              </w:rPr>
              <w:t xml:space="preserve">number of new </w:t>
            </w:r>
            <w:proofErr w:type="spellStart"/>
            <w:r w:rsidRPr="000F314A">
              <w:rPr>
                <w:sz w:val="20"/>
                <w:szCs w:val="20"/>
                <w:lang w:val="en-AU"/>
              </w:rPr>
              <w:t>offtake</w:t>
            </w:r>
            <w:proofErr w:type="spellEnd"/>
            <w:r w:rsidRPr="000F314A">
              <w:rPr>
                <w:sz w:val="20"/>
                <w:szCs w:val="20"/>
                <w:lang w:val="en-AU"/>
              </w:rPr>
              <w:t xml:space="preserve"> points </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proofErr w:type="spellStart"/>
            <w:r w:rsidRPr="000F314A">
              <w:rPr>
                <w:color w:val="000000"/>
                <w:sz w:val="20"/>
                <w:szCs w:val="20"/>
                <w:lang w:val="en-AU"/>
              </w:rPr>
              <w:t>Odorisation</w:t>
            </w:r>
            <w:proofErr w:type="spellEnd"/>
            <w:r w:rsidRPr="000F314A">
              <w:rPr>
                <w:color w:val="000000"/>
                <w:sz w:val="20"/>
                <w:szCs w:val="20"/>
                <w:lang w:val="en-AU"/>
              </w:rPr>
              <w:t xml:space="preserve"> plant</w:t>
            </w:r>
          </w:p>
        </w:tc>
        <w:tc>
          <w:tcPr>
            <w:tcW w:w="0" w:type="auto"/>
          </w:tcPr>
          <w:p w:rsidR="00213934" w:rsidRPr="000F314A" w:rsidRDefault="00213934" w:rsidP="005A23C3">
            <w:pPr>
              <w:pStyle w:val="Tablebodytext"/>
              <w:rPr>
                <w:sz w:val="20"/>
                <w:szCs w:val="20"/>
              </w:rPr>
            </w:pPr>
            <w:r w:rsidRPr="000F314A">
              <w:rPr>
                <w:sz w:val="20"/>
                <w:szCs w:val="20"/>
                <w:lang w:val="en-AU"/>
              </w:rPr>
              <w:t>means a plant where an odorant is added into the gas stream</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Opening RAB (tax value)</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means the sum of </w:t>
            </w:r>
            <w:r w:rsidRPr="000F314A">
              <w:rPr>
                <w:rFonts w:cs="Arial"/>
                <w:bCs/>
                <w:sz w:val="20"/>
                <w:szCs w:val="20"/>
                <w:lang w:eastAsia="en-NZ"/>
              </w:rPr>
              <w:t>regulatory tax asset values</w:t>
            </w:r>
            <w:r w:rsidRPr="000F314A">
              <w:rPr>
                <w:rFonts w:cs="Arial"/>
                <w:sz w:val="20"/>
                <w:szCs w:val="20"/>
                <w:lang w:eastAsia="en-NZ"/>
              </w:rPr>
              <w:t xml:space="preserve"> for assets included in</w:t>
            </w:r>
            <w:r w:rsidRPr="000F314A">
              <w:rPr>
                <w:rFonts w:cs="Arial"/>
                <w:bCs/>
                <w:sz w:val="20"/>
                <w:szCs w:val="20"/>
                <w:lang w:eastAsia="en-NZ"/>
              </w:rPr>
              <w:t xml:space="preserve"> total opening RAB value</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Opening RIV</w:t>
            </w:r>
          </w:p>
        </w:tc>
        <w:tc>
          <w:tcPr>
            <w:tcW w:w="0" w:type="auto"/>
          </w:tcPr>
          <w:p w:rsidR="00213934" w:rsidRPr="000F314A" w:rsidRDefault="00213934" w:rsidP="005A23C3">
            <w:pPr>
              <w:rPr>
                <w:sz w:val="20"/>
                <w:szCs w:val="20"/>
              </w:rPr>
            </w:pPr>
            <w:r w:rsidRPr="000F314A">
              <w:rPr>
                <w:sz w:val="20"/>
                <w:szCs w:val="20"/>
              </w:rPr>
              <w:t xml:space="preserve">means total opening RAB value </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Opening tax losses</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has the meaning given to that term in clause 2.3.2(3)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Opening value of fully depreciated, disposed and lost assets</w:t>
            </w:r>
          </w:p>
        </w:tc>
        <w:tc>
          <w:tcPr>
            <w:tcW w:w="0" w:type="auto"/>
          </w:tcPr>
          <w:p w:rsidR="00213934" w:rsidRPr="000F314A" w:rsidRDefault="00213934" w:rsidP="005A23C3">
            <w:pPr>
              <w:tabs>
                <w:tab w:val="left" w:pos="4045"/>
              </w:tabs>
              <w:spacing w:line="264" w:lineRule="auto"/>
              <w:rPr>
                <w:rFonts w:cs="Arial"/>
                <w:sz w:val="20"/>
                <w:szCs w:val="20"/>
                <w:lang w:eastAsia="en-NZ"/>
              </w:rPr>
            </w:pPr>
            <w:r w:rsidRPr="000F314A">
              <w:rPr>
                <w:rFonts w:cs="Arial"/>
                <w:sz w:val="20"/>
                <w:szCs w:val="20"/>
                <w:lang w:eastAsia="en-NZ"/>
              </w:rPr>
              <w:t xml:space="preserve">means </w:t>
            </w:r>
          </w:p>
          <w:p w:rsidR="00213934" w:rsidRPr="000F314A" w:rsidRDefault="00213934" w:rsidP="00213934">
            <w:pPr>
              <w:pStyle w:val="ListParagraph"/>
              <w:numPr>
                <w:ilvl w:val="0"/>
                <w:numId w:val="81"/>
              </w:numPr>
              <w:tabs>
                <w:tab w:val="left" w:pos="4045"/>
              </w:tabs>
              <w:spacing w:line="264" w:lineRule="auto"/>
              <w:ind w:hanging="434"/>
              <w:rPr>
                <w:rFonts w:cs="Arial"/>
                <w:sz w:val="20"/>
                <w:szCs w:val="20"/>
                <w:lang w:eastAsia="en-NZ"/>
              </w:rPr>
            </w:pPr>
            <w:r w:rsidRPr="000F314A">
              <w:rPr>
                <w:rFonts w:cs="Arial"/>
                <w:sz w:val="20"/>
                <w:szCs w:val="20"/>
                <w:lang w:eastAsia="en-NZ"/>
              </w:rPr>
              <w:t xml:space="preserve">in relation to the </w:t>
            </w:r>
            <w:r w:rsidRPr="000F314A">
              <w:rPr>
                <w:rFonts w:cs="Arial"/>
                <w:bCs/>
                <w:sz w:val="20"/>
                <w:szCs w:val="20"/>
                <w:lang w:eastAsia="en-NZ"/>
              </w:rPr>
              <w:t>unallocated RAB</w:t>
            </w:r>
            <w:r w:rsidRPr="000F314A">
              <w:rPr>
                <w:rFonts w:cs="Arial"/>
                <w:sz w:val="20"/>
                <w:szCs w:val="20"/>
                <w:lang w:eastAsia="en-NZ"/>
              </w:rPr>
              <w:t xml:space="preserve">, the sum of </w:t>
            </w:r>
            <w:r w:rsidRPr="000F314A">
              <w:rPr>
                <w:rFonts w:cs="Arial"/>
                <w:bCs/>
                <w:sz w:val="20"/>
                <w:szCs w:val="20"/>
                <w:lang w:eastAsia="en-NZ"/>
              </w:rPr>
              <w:t>unallocated</w:t>
            </w:r>
            <w:r w:rsidRPr="000F314A">
              <w:rPr>
                <w:rFonts w:cs="Arial"/>
                <w:sz w:val="20"/>
                <w:szCs w:val="20"/>
                <w:lang w:eastAsia="en-NZ"/>
              </w:rPr>
              <w:t xml:space="preserve"> </w:t>
            </w:r>
            <w:r w:rsidRPr="000F314A">
              <w:rPr>
                <w:rFonts w:cs="Arial"/>
                <w:bCs/>
                <w:sz w:val="20"/>
                <w:szCs w:val="20"/>
                <w:lang w:eastAsia="en-NZ"/>
              </w:rPr>
              <w:t>RAB</w:t>
            </w:r>
            <w:r w:rsidRPr="000F314A">
              <w:rPr>
                <w:rFonts w:cs="Arial"/>
                <w:sz w:val="20"/>
                <w:szCs w:val="20"/>
                <w:lang w:eastAsia="en-NZ"/>
              </w:rPr>
              <w:t xml:space="preserve"> </w:t>
            </w:r>
            <w:r w:rsidRPr="000F314A">
              <w:rPr>
                <w:rFonts w:cs="Arial"/>
                <w:bCs/>
                <w:sz w:val="20"/>
                <w:szCs w:val="20"/>
                <w:lang w:eastAsia="en-NZ"/>
              </w:rPr>
              <w:t>values</w:t>
            </w:r>
            <w:r w:rsidRPr="000F314A">
              <w:rPr>
                <w:rFonts w:cs="Arial"/>
                <w:sz w:val="20"/>
                <w:szCs w:val="20"/>
                <w:lang w:eastAsia="en-NZ"/>
              </w:rPr>
              <w:t xml:space="preserve"> of assets included in the total opening RAB values that are fully depreciated during the </w:t>
            </w:r>
            <w:r w:rsidRPr="000F314A">
              <w:rPr>
                <w:rFonts w:cs="Arial"/>
                <w:bCs/>
                <w:sz w:val="20"/>
                <w:szCs w:val="20"/>
                <w:lang w:eastAsia="en-NZ"/>
              </w:rPr>
              <w:t xml:space="preserve">disclosure year, asset disposals </w:t>
            </w:r>
            <w:r w:rsidRPr="000F314A">
              <w:rPr>
                <w:rFonts w:cs="Arial"/>
                <w:sz w:val="20"/>
                <w:szCs w:val="20"/>
                <w:lang w:eastAsia="en-NZ"/>
              </w:rPr>
              <w:t>and</w:t>
            </w:r>
            <w:r w:rsidRPr="000F314A">
              <w:rPr>
                <w:rFonts w:cs="Arial"/>
                <w:bCs/>
                <w:sz w:val="20"/>
                <w:szCs w:val="20"/>
                <w:lang w:eastAsia="en-NZ"/>
              </w:rPr>
              <w:t xml:space="preserve"> </w:t>
            </w:r>
            <w:r w:rsidRPr="000F314A">
              <w:rPr>
                <w:rFonts w:cs="Arial"/>
                <w:sz w:val="20"/>
                <w:szCs w:val="20"/>
                <w:lang w:eastAsia="en-NZ"/>
              </w:rPr>
              <w:t xml:space="preserve">lost assets included in </w:t>
            </w:r>
            <w:r w:rsidRPr="000F314A">
              <w:rPr>
                <w:rFonts w:cs="Arial"/>
                <w:bCs/>
                <w:sz w:val="20"/>
                <w:szCs w:val="20"/>
                <w:lang w:eastAsia="en-NZ"/>
              </w:rPr>
              <w:t>lost and found assets adjustment;</w:t>
            </w:r>
          </w:p>
          <w:p w:rsidR="00213934" w:rsidRPr="000F314A" w:rsidRDefault="00213934" w:rsidP="00213934">
            <w:pPr>
              <w:pStyle w:val="ListParagraph"/>
              <w:numPr>
                <w:ilvl w:val="0"/>
                <w:numId w:val="81"/>
              </w:numPr>
              <w:tabs>
                <w:tab w:val="left" w:pos="4045"/>
              </w:tabs>
              <w:spacing w:line="264" w:lineRule="auto"/>
              <w:ind w:hanging="434"/>
              <w:rPr>
                <w:rFonts w:cs="Arial"/>
                <w:sz w:val="20"/>
                <w:szCs w:val="20"/>
                <w:lang w:eastAsia="en-NZ"/>
              </w:rPr>
            </w:pPr>
            <w:r w:rsidRPr="000F314A">
              <w:rPr>
                <w:rFonts w:cs="Arial"/>
                <w:sz w:val="20"/>
                <w:szCs w:val="20"/>
                <w:lang w:eastAsia="en-NZ"/>
              </w:rPr>
              <w:t>in relation to the</w:t>
            </w:r>
            <w:r w:rsidRPr="000F314A">
              <w:rPr>
                <w:rFonts w:cs="Arial"/>
                <w:bCs/>
                <w:sz w:val="20"/>
                <w:szCs w:val="20"/>
                <w:lang w:eastAsia="en-NZ"/>
              </w:rPr>
              <w:t xml:space="preserve"> RAB, </w:t>
            </w:r>
            <w:r w:rsidRPr="000F314A">
              <w:rPr>
                <w:rFonts w:cs="Arial"/>
                <w:sz w:val="20"/>
                <w:szCs w:val="20"/>
                <w:lang w:eastAsia="en-NZ"/>
              </w:rPr>
              <w:t xml:space="preserve">the sum of </w:t>
            </w:r>
            <w:r w:rsidRPr="000F314A">
              <w:rPr>
                <w:rFonts w:cs="Arial"/>
                <w:bCs/>
                <w:sz w:val="20"/>
                <w:szCs w:val="20"/>
                <w:lang w:eastAsia="en-NZ"/>
              </w:rPr>
              <w:t xml:space="preserve">RAB opening RAB values </w:t>
            </w:r>
            <w:r w:rsidRPr="000F314A">
              <w:rPr>
                <w:rFonts w:cs="Arial"/>
                <w:sz w:val="20"/>
                <w:szCs w:val="20"/>
                <w:lang w:eastAsia="en-NZ"/>
              </w:rPr>
              <w:t>of assets that are fully depreciated during the</w:t>
            </w:r>
            <w:r w:rsidRPr="000F314A">
              <w:rPr>
                <w:rFonts w:cs="Arial"/>
                <w:bCs/>
                <w:sz w:val="20"/>
                <w:szCs w:val="20"/>
                <w:lang w:eastAsia="en-NZ"/>
              </w:rPr>
              <w:t xml:space="preserve"> disclosure year, asset disposals </w:t>
            </w:r>
            <w:r w:rsidRPr="000F314A">
              <w:rPr>
                <w:rFonts w:cs="Arial"/>
                <w:sz w:val="20"/>
                <w:szCs w:val="20"/>
                <w:lang w:eastAsia="en-NZ"/>
              </w:rPr>
              <w:t>and lost assets included</w:t>
            </w:r>
            <w:r w:rsidRPr="000F314A">
              <w:rPr>
                <w:rFonts w:cs="Arial"/>
                <w:bCs/>
                <w:sz w:val="20"/>
                <w:szCs w:val="20"/>
                <w:lang w:eastAsia="en-NZ"/>
              </w:rPr>
              <w:t xml:space="preserve"> in the lost and found assets adjustment</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Operating surplus / (deficit)</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means </w:t>
            </w:r>
            <w:r w:rsidRPr="000F314A">
              <w:rPr>
                <w:rFonts w:cs="Arial"/>
                <w:bCs/>
                <w:sz w:val="20"/>
                <w:szCs w:val="20"/>
                <w:lang w:eastAsia="en-NZ"/>
              </w:rPr>
              <w:t xml:space="preserve">total regulatory income </w:t>
            </w:r>
            <w:r w:rsidRPr="000F314A">
              <w:rPr>
                <w:rFonts w:cs="Arial"/>
                <w:sz w:val="20"/>
                <w:szCs w:val="20"/>
                <w:lang w:eastAsia="en-NZ"/>
              </w:rPr>
              <w:t xml:space="preserve">less </w:t>
            </w:r>
            <w:r w:rsidRPr="000F314A">
              <w:rPr>
                <w:rFonts w:cs="Arial"/>
                <w:bCs/>
                <w:sz w:val="20"/>
                <w:szCs w:val="20"/>
                <w:lang w:eastAsia="en-NZ"/>
              </w:rPr>
              <w:t>operational expenditure less pass through and recoverable costs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Operational expenditure on transmission network</w:t>
            </w:r>
          </w:p>
        </w:tc>
        <w:tc>
          <w:tcPr>
            <w:tcW w:w="0" w:type="auto"/>
          </w:tcPr>
          <w:p w:rsidR="00213934" w:rsidRPr="000F314A" w:rsidRDefault="00213934" w:rsidP="00470BCF">
            <w:pPr>
              <w:spacing w:line="264" w:lineRule="auto"/>
              <w:rPr>
                <w:rFonts w:cs="Arial"/>
                <w:sz w:val="20"/>
                <w:szCs w:val="20"/>
                <w:lang w:eastAsia="en-NZ"/>
              </w:rPr>
            </w:pPr>
            <w:r w:rsidRPr="000F314A">
              <w:rPr>
                <w:rFonts w:cs="Arial"/>
                <w:sz w:val="20"/>
                <w:szCs w:val="20"/>
                <w:lang w:eastAsia="en-NZ"/>
              </w:rPr>
              <w:t xml:space="preserve">means the sum of </w:t>
            </w:r>
            <w:r w:rsidR="00470BCF" w:rsidRPr="000F314A">
              <w:rPr>
                <w:rFonts w:cs="Arial"/>
                <w:sz w:val="20"/>
                <w:szCs w:val="20"/>
                <w:lang w:eastAsia="en-NZ"/>
              </w:rPr>
              <w:t>service interruptions, incidents and emergencies, routine and corrective maintenance and inspection, asset replacement and renewal, compressor fuel, land management and associated activity, system operations, network support, business support</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Original allocation</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 the operating costs or regulated service asset value allocated to gas transmission services in accordance with the original allocator and line items for each of the relevant disclosure years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Original allocator or line items</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 the allocator or line items that were used prior to the change in allocator or line items</w:t>
            </w:r>
          </w:p>
        </w:tc>
      </w:tr>
      <w:tr w:rsidR="00213934" w:rsidRPr="000F314A" w:rsidTr="00EA01E1">
        <w:trPr>
          <w:cantSplit/>
          <w:trHeight w:val="20"/>
        </w:trPr>
        <w:tc>
          <w:tcPr>
            <w:tcW w:w="0" w:type="auto"/>
          </w:tcPr>
          <w:p w:rsidR="00213934" w:rsidRPr="000F314A" w:rsidRDefault="00213934" w:rsidP="005A23C3">
            <w:pPr>
              <w:spacing w:line="264" w:lineRule="auto"/>
              <w:rPr>
                <w:sz w:val="20"/>
                <w:szCs w:val="20"/>
              </w:rPr>
            </w:pPr>
            <w:r w:rsidRPr="000F314A">
              <w:rPr>
                <w:bCs/>
                <w:sz w:val="20"/>
                <w:szCs w:val="20"/>
              </w:rPr>
              <w:t>Original requirements</w:t>
            </w:r>
            <w:r w:rsidRPr="000F314A">
              <w:rPr>
                <w:sz w:val="20"/>
                <w:szCs w:val="20"/>
              </w:rPr>
              <w:t xml:space="preserve"> </w:t>
            </w:r>
          </w:p>
        </w:tc>
        <w:tc>
          <w:tcPr>
            <w:tcW w:w="0" w:type="auto"/>
          </w:tcPr>
          <w:p w:rsidR="00213934" w:rsidRPr="000F314A" w:rsidRDefault="00213934" w:rsidP="005A23C3">
            <w:pPr>
              <w:tabs>
                <w:tab w:val="left" w:pos="4045"/>
              </w:tabs>
              <w:spacing w:line="264" w:lineRule="auto"/>
              <w:rPr>
                <w:rFonts w:cs="Arial"/>
                <w:sz w:val="20"/>
                <w:szCs w:val="20"/>
                <w:lang w:eastAsia="en-NZ"/>
              </w:rPr>
            </w:pPr>
            <w:r w:rsidRPr="000F314A">
              <w:rPr>
                <w:sz w:val="20"/>
                <w:szCs w:val="20"/>
              </w:rPr>
              <w:t>means the Gas (Information Disclosure) Requirements 1997</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Original tenor</w:t>
            </w:r>
          </w:p>
        </w:tc>
        <w:tc>
          <w:tcPr>
            <w:tcW w:w="0" w:type="auto"/>
          </w:tcPr>
          <w:p w:rsidR="00213934" w:rsidRPr="000F314A" w:rsidRDefault="00213934" w:rsidP="005A23C3">
            <w:pPr>
              <w:tabs>
                <w:tab w:val="left" w:pos="4045"/>
              </w:tabs>
              <w:spacing w:line="264" w:lineRule="auto"/>
              <w:rPr>
                <w:rFonts w:cs="Arial"/>
                <w:sz w:val="20"/>
                <w:szCs w:val="20"/>
                <w:lang w:eastAsia="en-NZ"/>
              </w:rPr>
            </w:pPr>
            <w:r w:rsidRPr="000F314A">
              <w:rPr>
                <w:rFonts w:cs="Arial"/>
                <w:sz w:val="20"/>
                <w:szCs w:val="20"/>
                <w:lang w:eastAsia="en-NZ"/>
              </w:rPr>
              <w:t>means:</w:t>
            </w:r>
          </w:p>
          <w:p w:rsidR="00213934" w:rsidRPr="000F314A" w:rsidRDefault="00213934" w:rsidP="00213934">
            <w:pPr>
              <w:pStyle w:val="ListParagraph"/>
              <w:numPr>
                <w:ilvl w:val="0"/>
                <w:numId w:val="82"/>
              </w:numPr>
              <w:tabs>
                <w:tab w:val="left" w:pos="4045"/>
              </w:tabs>
              <w:spacing w:line="264" w:lineRule="auto"/>
              <w:rPr>
                <w:rFonts w:cs="Arial"/>
                <w:sz w:val="20"/>
                <w:szCs w:val="20"/>
                <w:lang w:eastAsia="en-NZ"/>
              </w:rPr>
            </w:pPr>
            <w:r w:rsidRPr="000F314A">
              <w:rPr>
                <w:rFonts w:cs="Arial"/>
                <w:sz w:val="20"/>
                <w:szCs w:val="20"/>
                <w:lang w:eastAsia="en-NZ"/>
              </w:rPr>
              <w:t xml:space="preserve">where the </w:t>
            </w:r>
            <w:r w:rsidRPr="000F314A">
              <w:rPr>
                <w:rFonts w:cs="Arial"/>
                <w:bCs/>
                <w:sz w:val="20"/>
                <w:szCs w:val="20"/>
                <w:lang w:eastAsia="en-NZ"/>
              </w:rPr>
              <w:t>qualifying debt</w:t>
            </w:r>
            <w:r w:rsidRPr="000F314A">
              <w:rPr>
                <w:rFonts w:cs="Arial"/>
                <w:sz w:val="20"/>
                <w:szCs w:val="20"/>
                <w:lang w:eastAsia="en-NZ"/>
              </w:rPr>
              <w:t xml:space="preserve"> or </w:t>
            </w:r>
            <w:r w:rsidRPr="000F314A">
              <w:rPr>
                <w:rFonts w:cs="Arial"/>
                <w:bCs/>
                <w:sz w:val="20"/>
                <w:szCs w:val="20"/>
                <w:lang w:eastAsia="en-NZ"/>
              </w:rPr>
              <w:t>non-qualifying debt</w:t>
            </w:r>
            <w:r w:rsidRPr="000F314A">
              <w:rPr>
                <w:rFonts w:cs="Arial"/>
                <w:sz w:val="20"/>
                <w:szCs w:val="20"/>
                <w:lang w:eastAsia="en-NZ"/>
              </w:rPr>
              <w:t xml:space="preserve"> is not issued to a </w:t>
            </w:r>
            <w:r w:rsidRPr="000F314A">
              <w:rPr>
                <w:rFonts w:cs="Arial"/>
                <w:bCs/>
                <w:sz w:val="20"/>
                <w:szCs w:val="20"/>
                <w:lang w:eastAsia="en-NZ"/>
              </w:rPr>
              <w:t>related party</w:t>
            </w:r>
            <w:r w:rsidRPr="000F314A">
              <w:rPr>
                <w:rFonts w:cs="Arial"/>
                <w:sz w:val="20"/>
                <w:szCs w:val="20"/>
                <w:lang w:eastAsia="en-NZ"/>
              </w:rPr>
              <w:t xml:space="preserve">, the term of a </w:t>
            </w:r>
            <w:r w:rsidRPr="000F314A">
              <w:rPr>
                <w:rFonts w:cs="Arial"/>
                <w:bCs/>
                <w:sz w:val="20"/>
                <w:szCs w:val="20"/>
                <w:lang w:eastAsia="en-NZ"/>
              </w:rPr>
              <w:t>qualifying debt</w:t>
            </w:r>
            <w:r w:rsidRPr="000F314A">
              <w:rPr>
                <w:rFonts w:cs="Arial"/>
                <w:sz w:val="20"/>
                <w:szCs w:val="20"/>
                <w:lang w:eastAsia="en-NZ"/>
              </w:rPr>
              <w:t xml:space="preserve"> or </w:t>
            </w:r>
            <w:r w:rsidRPr="000F314A">
              <w:rPr>
                <w:rFonts w:cs="Arial"/>
                <w:bCs/>
                <w:sz w:val="20"/>
                <w:szCs w:val="20"/>
                <w:lang w:eastAsia="en-NZ"/>
              </w:rPr>
              <w:t xml:space="preserve">non-qualifying debt </w:t>
            </w:r>
            <w:r w:rsidRPr="000F314A">
              <w:rPr>
                <w:rFonts w:cs="Arial"/>
                <w:sz w:val="20"/>
                <w:szCs w:val="20"/>
                <w:lang w:eastAsia="en-NZ"/>
              </w:rPr>
              <w:t xml:space="preserve">at the </w:t>
            </w:r>
            <w:r w:rsidRPr="000F314A">
              <w:rPr>
                <w:rFonts w:cs="Arial"/>
                <w:bCs/>
                <w:sz w:val="20"/>
                <w:szCs w:val="20"/>
                <w:lang w:eastAsia="en-NZ"/>
              </w:rPr>
              <w:t>issue date</w:t>
            </w:r>
            <w:r w:rsidRPr="000F314A">
              <w:rPr>
                <w:rFonts w:cs="Arial"/>
                <w:sz w:val="20"/>
                <w:szCs w:val="20"/>
                <w:lang w:eastAsia="en-NZ"/>
              </w:rPr>
              <w:t>;</w:t>
            </w:r>
          </w:p>
          <w:p w:rsidR="00213934" w:rsidRPr="000F314A" w:rsidRDefault="00213934" w:rsidP="00213934">
            <w:pPr>
              <w:pStyle w:val="ListParagraph"/>
              <w:numPr>
                <w:ilvl w:val="0"/>
                <w:numId w:val="82"/>
              </w:numPr>
              <w:tabs>
                <w:tab w:val="left" w:pos="4045"/>
              </w:tabs>
              <w:spacing w:line="264" w:lineRule="auto"/>
              <w:rPr>
                <w:rFonts w:cs="Arial"/>
                <w:sz w:val="20"/>
                <w:szCs w:val="20"/>
                <w:lang w:eastAsia="en-NZ"/>
              </w:rPr>
            </w:pPr>
            <w:r w:rsidRPr="000F314A">
              <w:rPr>
                <w:rFonts w:cs="Arial"/>
                <w:sz w:val="20"/>
                <w:szCs w:val="20"/>
                <w:lang w:eastAsia="en-NZ"/>
              </w:rPr>
              <w:t xml:space="preserve">where the </w:t>
            </w:r>
            <w:r w:rsidRPr="000F314A">
              <w:rPr>
                <w:rFonts w:cs="Arial"/>
                <w:bCs/>
                <w:sz w:val="20"/>
                <w:szCs w:val="20"/>
                <w:lang w:eastAsia="en-NZ"/>
              </w:rPr>
              <w:t>qualifying debt</w:t>
            </w:r>
            <w:r w:rsidRPr="000F314A">
              <w:rPr>
                <w:rFonts w:cs="Arial"/>
                <w:sz w:val="20"/>
                <w:szCs w:val="20"/>
                <w:lang w:eastAsia="en-NZ"/>
              </w:rPr>
              <w:t xml:space="preserve"> or </w:t>
            </w:r>
            <w:r w:rsidRPr="000F314A">
              <w:rPr>
                <w:rFonts w:cs="Arial"/>
                <w:bCs/>
                <w:sz w:val="20"/>
                <w:szCs w:val="20"/>
                <w:lang w:eastAsia="en-NZ"/>
              </w:rPr>
              <w:t>non-qualifying debt</w:t>
            </w:r>
            <w:r w:rsidRPr="000F314A">
              <w:rPr>
                <w:rFonts w:cs="Arial"/>
                <w:sz w:val="20"/>
                <w:szCs w:val="20"/>
                <w:lang w:eastAsia="en-NZ"/>
              </w:rPr>
              <w:t xml:space="preserve"> is issued to a </w:t>
            </w:r>
            <w:r w:rsidRPr="000F314A">
              <w:rPr>
                <w:rFonts w:cs="Arial"/>
                <w:bCs/>
                <w:sz w:val="20"/>
                <w:szCs w:val="20"/>
                <w:lang w:eastAsia="en-NZ"/>
              </w:rPr>
              <w:t>related party</w:t>
            </w:r>
            <w:r w:rsidRPr="000F314A">
              <w:rPr>
                <w:rFonts w:cs="Arial"/>
                <w:sz w:val="20"/>
                <w:szCs w:val="20"/>
                <w:lang w:eastAsia="en-NZ"/>
              </w:rPr>
              <w:t>, the shorter of the-</w:t>
            </w:r>
          </w:p>
          <w:p w:rsidR="00213934" w:rsidRPr="000F314A" w:rsidRDefault="00213934" w:rsidP="00213934">
            <w:pPr>
              <w:pStyle w:val="ListParagraph"/>
              <w:numPr>
                <w:ilvl w:val="1"/>
                <w:numId w:val="20"/>
              </w:numPr>
              <w:tabs>
                <w:tab w:val="clear" w:pos="1920"/>
                <w:tab w:val="left" w:pos="4045"/>
              </w:tabs>
              <w:spacing w:line="264" w:lineRule="auto"/>
              <w:ind w:left="884" w:hanging="425"/>
              <w:rPr>
                <w:rFonts w:cs="Arial"/>
                <w:sz w:val="20"/>
                <w:szCs w:val="20"/>
                <w:lang w:eastAsia="en-NZ"/>
              </w:rPr>
            </w:pPr>
            <w:r w:rsidRPr="000F314A">
              <w:rPr>
                <w:rFonts w:cs="Arial"/>
                <w:sz w:val="20"/>
                <w:szCs w:val="20"/>
                <w:lang w:eastAsia="en-NZ"/>
              </w:rPr>
              <w:t xml:space="preserve">the tenor of the </w:t>
            </w:r>
            <w:r w:rsidRPr="000F314A">
              <w:rPr>
                <w:rFonts w:cs="Arial"/>
                <w:bCs/>
                <w:sz w:val="20"/>
                <w:szCs w:val="20"/>
                <w:lang w:eastAsia="en-NZ"/>
              </w:rPr>
              <w:t>qualifying debt</w:t>
            </w:r>
            <w:r w:rsidRPr="000F314A">
              <w:rPr>
                <w:rFonts w:cs="Arial"/>
                <w:sz w:val="20"/>
                <w:szCs w:val="20"/>
                <w:lang w:eastAsia="en-NZ"/>
              </w:rPr>
              <w:t>; or</w:t>
            </w:r>
          </w:p>
          <w:p w:rsidR="00213934" w:rsidRPr="000F314A" w:rsidRDefault="00213934" w:rsidP="00213934">
            <w:pPr>
              <w:pStyle w:val="ListParagraph"/>
              <w:numPr>
                <w:ilvl w:val="1"/>
                <w:numId w:val="20"/>
              </w:numPr>
              <w:tabs>
                <w:tab w:val="clear" w:pos="1920"/>
                <w:tab w:val="left" w:pos="4045"/>
              </w:tabs>
              <w:spacing w:line="264" w:lineRule="auto"/>
              <w:ind w:left="884" w:hanging="425"/>
              <w:rPr>
                <w:rFonts w:cs="Arial"/>
                <w:sz w:val="20"/>
                <w:szCs w:val="20"/>
                <w:lang w:eastAsia="en-NZ"/>
              </w:rPr>
            </w:pPr>
            <w:r w:rsidRPr="000F314A">
              <w:rPr>
                <w:rFonts w:cs="Arial"/>
                <w:sz w:val="20"/>
                <w:szCs w:val="20"/>
                <w:lang w:eastAsia="en-NZ"/>
              </w:rPr>
              <w:t xml:space="preserve">the period from the </w:t>
            </w:r>
            <w:r w:rsidRPr="000F314A">
              <w:rPr>
                <w:rFonts w:cs="Arial"/>
                <w:bCs/>
                <w:sz w:val="20"/>
                <w:szCs w:val="20"/>
                <w:lang w:eastAsia="en-NZ"/>
              </w:rPr>
              <w:t>qualifying debt</w:t>
            </w:r>
            <w:r w:rsidRPr="000F314A">
              <w:rPr>
                <w:rFonts w:cs="Arial"/>
                <w:sz w:val="20"/>
                <w:szCs w:val="20"/>
                <w:lang w:eastAsia="en-NZ"/>
              </w:rPr>
              <w:t xml:space="preserve">'s </w:t>
            </w:r>
            <w:r w:rsidRPr="000F314A">
              <w:rPr>
                <w:rFonts w:cs="Arial"/>
                <w:bCs/>
                <w:sz w:val="20"/>
                <w:szCs w:val="20"/>
                <w:lang w:eastAsia="en-NZ"/>
              </w:rPr>
              <w:t>issue date</w:t>
            </w:r>
            <w:r w:rsidRPr="000F314A">
              <w:rPr>
                <w:rFonts w:cs="Arial"/>
                <w:sz w:val="20"/>
                <w:szCs w:val="20"/>
                <w:lang w:eastAsia="en-NZ"/>
              </w:rPr>
              <w:t xml:space="preserve"> to the earliest date on which its repayment is or may be required</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Other adjustments to the RAB tax value</w:t>
            </w:r>
          </w:p>
        </w:tc>
        <w:tc>
          <w:tcPr>
            <w:tcW w:w="0" w:type="auto"/>
          </w:tcPr>
          <w:p w:rsidR="00213934" w:rsidRPr="000F314A" w:rsidRDefault="00213934" w:rsidP="005A23C3">
            <w:pPr>
              <w:tabs>
                <w:tab w:val="left" w:pos="601"/>
                <w:tab w:val="left" w:pos="1026"/>
                <w:tab w:val="left" w:pos="1451"/>
              </w:tabs>
              <w:spacing w:line="264" w:lineRule="auto"/>
              <w:rPr>
                <w:sz w:val="20"/>
                <w:szCs w:val="20"/>
              </w:rPr>
            </w:pPr>
            <w:r w:rsidRPr="000F314A">
              <w:rPr>
                <w:rFonts w:cs="Arial"/>
                <w:sz w:val="20"/>
                <w:szCs w:val="20"/>
                <w:lang w:eastAsia="en-NZ"/>
              </w:rPr>
              <w:t>means</w:t>
            </w:r>
            <w:r w:rsidRPr="000F314A">
              <w:rPr>
                <w:rFonts w:cs="Arial"/>
                <w:sz w:val="20"/>
                <w:szCs w:val="20"/>
                <w:lang w:eastAsia="en-NZ"/>
              </w:rPr>
              <w:br/>
            </w:r>
            <w:r w:rsidRPr="000F314A">
              <w:rPr>
                <w:position w:val="-10"/>
                <w:sz w:val="20"/>
                <w:szCs w:val="20"/>
              </w:rPr>
              <w:tab/>
            </w:r>
            <w:r w:rsidRPr="000F314A">
              <w:rPr>
                <w:position w:val="-10"/>
                <w:sz w:val="20"/>
                <w:szCs w:val="20"/>
              </w:rPr>
              <w:object w:dxaOrig="200" w:dyaOrig="240">
                <v:shape id="_x0000_i1052" type="#_x0000_t75" style="width:10.9pt;height:13.1pt" o:ole="">
                  <v:imagedata r:id="rId120" o:title=""/>
                </v:shape>
                <o:OLEObject Type="Embed" ProgID="Equation.3" ShapeID="_x0000_i1052" DrawAspect="Content" ObjectID="_1403043270" r:id="rId121"/>
              </w:object>
            </w:r>
            <w:r w:rsidRPr="000F314A">
              <w:rPr>
                <w:position w:val="-10"/>
                <w:sz w:val="20"/>
                <w:szCs w:val="20"/>
              </w:rPr>
              <w:tab/>
            </w:r>
            <w:r w:rsidRPr="000F314A">
              <w:rPr>
                <w:sz w:val="20"/>
                <w:szCs w:val="20"/>
              </w:rPr>
              <w:t>=</w:t>
            </w:r>
            <w:r w:rsidRPr="000F314A">
              <w:rPr>
                <w:sz w:val="20"/>
                <w:szCs w:val="20"/>
              </w:rPr>
              <w:tab/>
            </w:r>
            <w:r w:rsidRPr="000F314A">
              <w:rPr>
                <w:position w:val="-10"/>
                <w:sz w:val="20"/>
                <w:szCs w:val="20"/>
              </w:rPr>
              <w:object w:dxaOrig="1740" w:dyaOrig="320">
                <v:shape id="_x0000_i1053" type="#_x0000_t75" style="width:87.25pt;height:16.35pt" o:ole="">
                  <v:imagedata r:id="rId122" o:title=""/>
                </v:shape>
                <o:OLEObject Type="Embed" ProgID="Equation.3" ShapeID="_x0000_i1053" DrawAspect="Content" ObjectID="_1403043271" r:id="rId123"/>
              </w:object>
            </w:r>
          </w:p>
          <w:p w:rsidR="00213934" w:rsidRPr="000F314A" w:rsidRDefault="00213934" w:rsidP="005A23C3">
            <w:pPr>
              <w:spacing w:line="264" w:lineRule="auto"/>
              <w:ind w:left="459" w:hanging="459"/>
              <w:rPr>
                <w:rFonts w:cs="Arial"/>
                <w:sz w:val="20"/>
                <w:szCs w:val="20"/>
                <w:lang w:eastAsia="en-NZ"/>
              </w:rPr>
            </w:pPr>
            <w:r w:rsidRPr="000F314A">
              <w:rPr>
                <w:rFonts w:cs="Arial"/>
                <w:sz w:val="20"/>
                <w:szCs w:val="20"/>
                <w:lang w:eastAsia="en-NZ"/>
              </w:rPr>
              <w:t>where:</w:t>
            </w:r>
          </w:p>
          <w:p w:rsidR="00213934" w:rsidRPr="000F314A" w:rsidRDefault="00213934" w:rsidP="005A23C3">
            <w:pPr>
              <w:spacing w:line="264" w:lineRule="auto"/>
              <w:ind w:left="459" w:hanging="459"/>
              <w:rPr>
                <w:rFonts w:cs="Arial"/>
                <w:sz w:val="20"/>
                <w:szCs w:val="20"/>
                <w:lang w:eastAsia="en-NZ"/>
              </w:rPr>
            </w:pPr>
            <w:r w:rsidRPr="000F314A">
              <w:rPr>
                <w:position w:val="-6"/>
                <w:sz w:val="20"/>
                <w:szCs w:val="20"/>
              </w:rPr>
              <w:object w:dxaOrig="200" w:dyaOrig="220">
                <v:shape id="_x0000_i1054" type="#_x0000_t75" style="width:10.9pt;height:12pt" o:ole="">
                  <v:imagedata r:id="rId124" o:title=""/>
                </v:shape>
                <o:OLEObject Type="Embed" ProgID="Equation.3" ShapeID="_x0000_i1054" DrawAspect="Content" ObjectID="_1403043272" r:id="rId125"/>
              </w:object>
            </w:r>
            <w:r w:rsidRPr="000F314A">
              <w:rPr>
                <w:rFonts w:cs="Arial"/>
                <w:sz w:val="20"/>
                <w:szCs w:val="20"/>
                <w:lang w:eastAsia="en-NZ"/>
              </w:rPr>
              <w:t xml:space="preserve">= </w:t>
            </w:r>
            <w:r w:rsidRPr="000F314A">
              <w:rPr>
                <w:rFonts w:cs="Arial"/>
                <w:sz w:val="20"/>
                <w:szCs w:val="20"/>
                <w:lang w:eastAsia="en-NZ"/>
              </w:rPr>
              <w:tab/>
            </w:r>
            <w:r w:rsidRPr="000F314A">
              <w:rPr>
                <w:rFonts w:cs="Arial"/>
                <w:bCs/>
                <w:sz w:val="20"/>
                <w:szCs w:val="20"/>
                <w:lang w:eastAsia="en-NZ"/>
              </w:rPr>
              <w:t>closing RAB (tax value)</w:t>
            </w:r>
            <w:r w:rsidRPr="000F314A">
              <w:rPr>
                <w:rFonts w:cs="Arial"/>
                <w:sz w:val="20"/>
                <w:szCs w:val="20"/>
                <w:lang w:eastAsia="en-NZ"/>
              </w:rPr>
              <w:t xml:space="preserve"> </w:t>
            </w:r>
          </w:p>
          <w:p w:rsidR="00213934" w:rsidRPr="000F314A" w:rsidRDefault="00213934" w:rsidP="005A23C3">
            <w:pPr>
              <w:spacing w:line="264" w:lineRule="auto"/>
              <w:ind w:left="459" w:hanging="459"/>
              <w:rPr>
                <w:rFonts w:cs="Arial"/>
                <w:sz w:val="20"/>
                <w:szCs w:val="20"/>
                <w:lang w:eastAsia="en-NZ"/>
              </w:rPr>
            </w:pPr>
            <w:r w:rsidRPr="000F314A">
              <w:rPr>
                <w:position w:val="-6"/>
                <w:sz w:val="20"/>
                <w:szCs w:val="20"/>
              </w:rPr>
              <w:object w:dxaOrig="200" w:dyaOrig="279">
                <v:shape id="_x0000_i1055" type="#_x0000_t75" style="width:10.9pt;height:15.25pt" o:ole="">
                  <v:imagedata r:id="rId126" o:title=""/>
                </v:shape>
                <o:OLEObject Type="Embed" ProgID="Equation.3" ShapeID="_x0000_i1055" DrawAspect="Content" ObjectID="_1403043273" r:id="rId127"/>
              </w:object>
            </w:r>
            <w:r w:rsidRPr="000F314A">
              <w:rPr>
                <w:rFonts w:cs="Arial"/>
                <w:sz w:val="20"/>
                <w:szCs w:val="20"/>
                <w:lang w:eastAsia="en-NZ"/>
              </w:rPr>
              <w:t xml:space="preserve">= </w:t>
            </w:r>
            <w:r w:rsidRPr="000F314A">
              <w:rPr>
                <w:rFonts w:cs="Arial"/>
                <w:sz w:val="20"/>
                <w:szCs w:val="20"/>
                <w:lang w:eastAsia="en-NZ"/>
              </w:rPr>
              <w:tab/>
            </w:r>
            <w:r w:rsidRPr="000F314A">
              <w:rPr>
                <w:rFonts w:cs="Arial"/>
                <w:bCs/>
                <w:sz w:val="20"/>
                <w:szCs w:val="20"/>
                <w:lang w:eastAsia="en-NZ"/>
              </w:rPr>
              <w:t>opening RAB (tax value)</w:t>
            </w:r>
            <w:r w:rsidRPr="000F314A">
              <w:rPr>
                <w:rFonts w:cs="Arial"/>
                <w:sz w:val="20"/>
                <w:szCs w:val="20"/>
                <w:lang w:eastAsia="en-NZ"/>
              </w:rPr>
              <w:t xml:space="preserve"> </w:t>
            </w:r>
          </w:p>
          <w:p w:rsidR="00213934" w:rsidRPr="000F314A" w:rsidRDefault="00213934" w:rsidP="005A23C3">
            <w:pPr>
              <w:spacing w:line="264" w:lineRule="auto"/>
              <w:ind w:left="459" w:hanging="459"/>
              <w:rPr>
                <w:rFonts w:cs="Arial"/>
                <w:sz w:val="20"/>
                <w:szCs w:val="20"/>
                <w:lang w:eastAsia="en-NZ"/>
              </w:rPr>
            </w:pPr>
            <w:r w:rsidRPr="000F314A">
              <w:rPr>
                <w:position w:val="-6"/>
                <w:sz w:val="20"/>
                <w:szCs w:val="20"/>
              </w:rPr>
              <w:object w:dxaOrig="180" w:dyaOrig="220">
                <v:shape id="_x0000_i1056" type="#_x0000_t75" style="width:10.9pt;height:12pt" o:ole="">
                  <v:imagedata r:id="rId128" o:title=""/>
                </v:shape>
                <o:OLEObject Type="Embed" ProgID="Equation.3" ShapeID="_x0000_i1056" DrawAspect="Content" ObjectID="_1403043274" r:id="rId129"/>
              </w:object>
            </w:r>
            <w:r w:rsidRPr="000F314A">
              <w:rPr>
                <w:rFonts w:cs="Arial"/>
                <w:sz w:val="20"/>
                <w:szCs w:val="20"/>
                <w:lang w:eastAsia="en-NZ"/>
              </w:rPr>
              <w:t xml:space="preserve">= </w:t>
            </w:r>
            <w:r w:rsidRPr="000F314A">
              <w:rPr>
                <w:rFonts w:cs="Arial"/>
                <w:sz w:val="20"/>
                <w:szCs w:val="20"/>
                <w:lang w:eastAsia="en-NZ"/>
              </w:rPr>
              <w:tab/>
            </w:r>
            <w:r w:rsidRPr="000F314A">
              <w:rPr>
                <w:rFonts w:cs="Arial"/>
                <w:bCs/>
                <w:sz w:val="20"/>
                <w:szCs w:val="20"/>
                <w:lang w:eastAsia="en-NZ"/>
              </w:rPr>
              <w:t>regulatory tax asset value of assets commissioned</w:t>
            </w:r>
            <w:r w:rsidRPr="000F314A">
              <w:rPr>
                <w:rFonts w:cs="Arial"/>
                <w:sz w:val="20"/>
                <w:szCs w:val="20"/>
                <w:lang w:eastAsia="en-NZ"/>
              </w:rPr>
              <w:t xml:space="preserve"> </w:t>
            </w:r>
          </w:p>
          <w:p w:rsidR="00213934" w:rsidRPr="000F314A" w:rsidRDefault="00213934" w:rsidP="005A23C3">
            <w:pPr>
              <w:spacing w:line="264" w:lineRule="auto"/>
              <w:ind w:left="459" w:hanging="459"/>
              <w:rPr>
                <w:rFonts w:cs="Arial"/>
                <w:sz w:val="20"/>
                <w:szCs w:val="20"/>
                <w:lang w:eastAsia="en-NZ"/>
              </w:rPr>
            </w:pPr>
            <w:r w:rsidRPr="000F314A">
              <w:rPr>
                <w:position w:val="-6"/>
                <w:sz w:val="20"/>
                <w:szCs w:val="20"/>
              </w:rPr>
              <w:object w:dxaOrig="220" w:dyaOrig="279">
                <v:shape id="_x0000_i1057" type="#_x0000_t75" style="width:12pt;height:15.25pt" o:ole="">
                  <v:imagedata r:id="rId130" o:title=""/>
                </v:shape>
                <o:OLEObject Type="Embed" ProgID="Equation.3" ShapeID="_x0000_i1057" DrawAspect="Content" ObjectID="_1403043275" r:id="rId131"/>
              </w:object>
            </w:r>
            <w:r w:rsidRPr="000F314A">
              <w:rPr>
                <w:rFonts w:cs="Arial"/>
                <w:sz w:val="20"/>
                <w:szCs w:val="20"/>
                <w:lang w:eastAsia="en-NZ"/>
              </w:rPr>
              <w:t xml:space="preserve">= </w:t>
            </w:r>
            <w:r w:rsidRPr="000F314A">
              <w:rPr>
                <w:rFonts w:cs="Arial"/>
                <w:sz w:val="20"/>
                <w:szCs w:val="20"/>
                <w:lang w:eastAsia="en-NZ"/>
              </w:rPr>
              <w:tab/>
            </w:r>
            <w:r w:rsidRPr="000F314A">
              <w:rPr>
                <w:rFonts w:cs="Arial"/>
                <w:bCs/>
                <w:sz w:val="20"/>
                <w:szCs w:val="20"/>
                <w:lang w:eastAsia="en-NZ"/>
              </w:rPr>
              <w:t>regulatory tax asset value of asset disposals</w:t>
            </w:r>
            <w:r w:rsidRPr="000F314A">
              <w:rPr>
                <w:rFonts w:cs="Arial"/>
                <w:sz w:val="20"/>
                <w:szCs w:val="20"/>
                <w:lang w:eastAsia="en-NZ"/>
              </w:rPr>
              <w:t xml:space="preserve"> </w:t>
            </w:r>
          </w:p>
          <w:p w:rsidR="00213934" w:rsidRPr="000F314A" w:rsidRDefault="00213934" w:rsidP="005A23C3">
            <w:pPr>
              <w:tabs>
                <w:tab w:val="left" w:pos="4045"/>
              </w:tabs>
              <w:spacing w:line="264" w:lineRule="auto"/>
              <w:ind w:left="459" w:hanging="459"/>
              <w:rPr>
                <w:rFonts w:cs="Arial"/>
                <w:sz w:val="20"/>
                <w:szCs w:val="20"/>
                <w:lang w:eastAsia="en-NZ"/>
              </w:rPr>
            </w:pPr>
            <w:r w:rsidRPr="000F314A">
              <w:rPr>
                <w:position w:val="-6"/>
                <w:sz w:val="20"/>
                <w:szCs w:val="20"/>
              </w:rPr>
              <w:object w:dxaOrig="180" w:dyaOrig="220">
                <v:shape id="_x0000_i1058" type="#_x0000_t75" style="width:10.9pt;height:12pt" o:ole="">
                  <v:imagedata r:id="rId98" o:title=""/>
                </v:shape>
                <o:OLEObject Type="Embed" ProgID="Equation.3" ShapeID="_x0000_i1058" DrawAspect="Content" ObjectID="_1403043276" r:id="rId132"/>
              </w:object>
            </w:r>
            <w:r w:rsidRPr="000F314A">
              <w:rPr>
                <w:rFonts w:cs="Arial"/>
                <w:sz w:val="20"/>
                <w:szCs w:val="20"/>
                <w:lang w:eastAsia="en-NZ"/>
              </w:rPr>
              <w:t xml:space="preserve">= </w:t>
            </w:r>
            <w:r w:rsidRPr="000F314A">
              <w:rPr>
                <w:rFonts w:cs="Arial"/>
                <w:sz w:val="20"/>
                <w:szCs w:val="20"/>
                <w:lang w:eastAsia="en-NZ"/>
              </w:rPr>
              <w:tab/>
            </w:r>
            <w:r w:rsidRPr="000F314A">
              <w:rPr>
                <w:rFonts w:cs="Arial"/>
                <w:bCs/>
                <w:sz w:val="20"/>
                <w:szCs w:val="20"/>
                <w:lang w:eastAsia="en-NZ"/>
              </w:rPr>
              <w:t>tax depreciation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sz w:val="20"/>
                <w:szCs w:val="20"/>
              </w:rPr>
            </w:pPr>
            <w:r w:rsidRPr="000F314A">
              <w:rPr>
                <w:rFonts w:cs="Arial"/>
                <w:bCs/>
                <w:sz w:val="20"/>
                <w:szCs w:val="20"/>
                <w:lang w:eastAsia="en-NZ"/>
              </w:rPr>
              <w:t>Other regulated service</w:t>
            </w:r>
          </w:p>
        </w:tc>
        <w:tc>
          <w:tcPr>
            <w:tcW w:w="0" w:type="auto"/>
          </w:tcPr>
          <w:p w:rsidR="00213934" w:rsidRPr="000F314A" w:rsidRDefault="00213934" w:rsidP="005A23C3">
            <w:pPr>
              <w:tabs>
                <w:tab w:val="left" w:pos="601"/>
                <w:tab w:val="left" w:pos="1026"/>
                <w:tab w:val="left" w:pos="1451"/>
              </w:tabs>
              <w:spacing w:line="264" w:lineRule="auto"/>
              <w:rPr>
                <w:sz w:val="20"/>
                <w:szCs w:val="20"/>
              </w:rPr>
            </w:pPr>
            <w:r w:rsidRPr="000F314A">
              <w:rPr>
                <w:rFonts w:cs="Arial"/>
                <w:sz w:val="20"/>
                <w:szCs w:val="20"/>
                <w:lang w:eastAsia="en-NZ"/>
              </w:rPr>
              <w:t>has the meaning set out in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Other related party transactions</w:t>
            </w:r>
          </w:p>
        </w:tc>
        <w:tc>
          <w:tcPr>
            <w:tcW w:w="0" w:type="auto"/>
          </w:tcPr>
          <w:p w:rsidR="00213934" w:rsidRPr="000F314A" w:rsidRDefault="00213934" w:rsidP="005A23C3">
            <w:pPr>
              <w:tabs>
                <w:tab w:val="left" w:pos="601"/>
                <w:tab w:val="left" w:pos="1026"/>
                <w:tab w:val="left" w:pos="1451"/>
              </w:tabs>
              <w:spacing w:line="264" w:lineRule="auto"/>
              <w:rPr>
                <w:rFonts w:cs="Arial"/>
                <w:sz w:val="20"/>
                <w:szCs w:val="20"/>
                <w:lang w:eastAsia="en-NZ"/>
              </w:rPr>
            </w:pPr>
            <w:r w:rsidRPr="000F314A">
              <w:rPr>
                <w:rFonts w:cs="Arial"/>
                <w:sz w:val="20"/>
                <w:szCs w:val="20"/>
                <w:lang w:eastAsia="en-NZ"/>
              </w:rPr>
              <w:t xml:space="preserve">means the value of </w:t>
            </w:r>
            <w:r w:rsidRPr="000F314A">
              <w:rPr>
                <w:rFonts w:cs="Arial"/>
                <w:bCs/>
                <w:sz w:val="20"/>
                <w:szCs w:val="20"/>
                <w:lang w:eastAsia="en-NZ"/>
              </w:rPr>
              <w:t>related party</w:t>
            </w:r>
            <w:r w:rsidRPr="000F314A">
              <w:rPr>
                <w:rFonts w:cs="Arial"/>
                <w:sz w:val="20"/>
                <w:szCs w:val="20"/>
                <w:lang w:eastAsia="en-NZ"/>
              </w:rPr>
              <w:t xml:space="preserve"> transactions that are not disclosed as </w:t>
            </w:r>
            <w:r w:rsidRPr="000F314A">
              <w:rPr>
                <w:rFonts w:cs="Arial"/>
                <w:bCs/>
                <w:sz w:val="20"/>
                <w:szCs w:val="20"/>
                <w:lang w:eastAsia="en-NZ"/>
              </w:rPr>
              <w:t>total regulatory income</w:t>
            </w:r>
            <w:r w:rsidRPr="000F314A">
              <w:rPr>
                <w:rFonts w:cs="Arial"/>
                <w:sz w:val="20"/>
                <w:szCs w:val="20"/>
                <w:lang w:eastAsia="en-NZ"/>
              </w:rPr>
              <w:t xml:space="preserve">, </w:t>
            </w:r>
            <w:r w:rsidRPr="000F314A">
              <w:rPr>
                <w:rFonts w:cs="Arial"/>
                <w:bCs/>
                <w:sz w:val="20"/>
                <w:szCs w:val="20"/>
                <w:lang w:eastAsia="en-NZ"/>
              </w:rPr>
              <w:t>operational expenditure</w:t>
            </w:r>
            <w:r w:rsidRPr="000F314A">
              <w:rPr>
                <w:rFonts w:cs="Arial"/>
                <w:sz w:val="20"/>
                <w:szCs w:val="20"/>
                <w:lang w:eastAsia="en-NZ"/>
              </w:rPr>
              <w:t xml:space="preserve">, </w:t>
            </w:r>
            <w:r w:rsidRPr="000F314A">
              <w:rPr>
                <w:rFonts w:cs="Arial"/>
                <w:bCs/>
                <w:sz w:val="20"/>
                <w:szCs w:val="20"/>
                <w:lang w:eastAsia="en-NZ"/>
              </w:rPr>
              <w:t>capital expenditure</w:t>
            </w:r>
            <w:r w:rsidRPr="000F314A">
              <w:rPr>
                <w:rFonts w:cs="Arial"/>
                <w:sz w:val="20"/>
                <w:szCs w:val="20"/>
                <w:lang w:eastAsia="en-NZ"/>
              </w:rPr>
              <w:t xml:space="preserve"> or </w:t>
            </w:r>
            <w:r w:rsidRPr="000F314A">
              <w:rPr>
                <w:rFonts w:cs="Arial"/>
                <w:bCs/>
                <w:sz w:val="20"/>
                <w:szCs w:val="20"/>
                <w:lang w:eastAsia="en-NZ"/>
              </w:rPr>
              <w:t>market value of asset disposals</w:t>
            </w:r>
          </w:p>
        </w:tc>
      </w:tr>
      <w:tr w:rsidR="00213934" w:rsidRPr="000F314A" w:rsidTr="00EA01E1">
        <w:trPr>
          <w:cantSplit/>
          <w:trHeight w:val="20"/>
        </w:trPr>
        <w:tc>
          <w:tcPr>
            <w:tcW w:w="0" w:type="auto"/>
          </w:tcPr>
          <w:p w:rsidR="00213934" w:rsidRPr="000F314A" w:rsidRDefault="00213934" w:rsidP="005A23C3">
            <w:pPr>
              <w:rPr>
                <w:color w:val="000000"/>
                <w:sz w:val="20"/>
                <w:szCs w:val="20"/>
                <w:lang w:val="en-AU"/>
              </w:rPr>
            </w:pPr>
            <w:r w:rsidRPr="000F314A">
              <w:rPr>
                <w:color w:val="000000"/>
                <w:sz w:val="20"/>
                <w:szCs w:val="20"/>
                <w:lang w:val="en-AU"/>
              </w:rPr>
              <w:t>Other reliability, safety and environment</w:t>
            </w:r>
          </w:p>
        </w:tc>
        <w:tc>
          <w:tcPr>
            <w:tcW w:w="0" w:type="auto"/>
          </w:tcPr>
          <w:p w:rsidR="00213934" w:rsidRPr="000F314A" w:rsidRDefault="00213934" w:rsidP="005A23C3">
            <w:pPr>
              <w:pStyle w:val="BodyText"/>
              <w:rPr>
                <w:sz w:val="20"/>
                <w:szCs w:val="20"/>
                <w:lang w:val="en-AU"/>
              </w:rPr>
            </w:pPr>
            <w:proofErr w:type="gramStart"/>
            <w:r w:rsidRPr="000F314A">
              <w:rPr>
                <w:sz w:val="20"/>
                <w:szCs w:val="20"/>
              </w:rPr>
              <w:t>in</w:t>
            </w:r>
            <w:proofErr w:type="gramEnd"/>
            <w:r w:rsidRPr="000F314A">
              <w:rPr>
                <w:sz w:val="20"/>
                <w:szCs w:val="20"/>
              </w:rPr>
              <w:t xml:space="preserve"> relation to expenditure, means gross capital expenditure where the primary driver is to improve network reliability or safety or to mitigate the environmental impacts of the network, but is  not included in either of the quality of supply or legislative and regulatory categories. For example, this category may include gross capital expenditure where the primary driver is to ensure staff safety or meet the GTB’s environmental policies.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sz w:val="20"/>
                <w:szCs w:val="20"/>
              </w:rPr>
              <w:t>Other specified pass-through costs</w:t>
            </w:r>
          </w:p>
        </w:tc>
        <w:tc>
          <w:tcPr>
            <w:tcW w:w="0" w:type="auto"/>
          </w:tcPr>
          <w:p w:rsidR="00213934" w:rsidRPr="000F314A" w:rsidRDefault="00213934" w:rsidP="005A23C3">
            <w:pPr>
              <w:tabs>
                <w:tab w:val="left" w:pos="601"/>
                <w:tab w:val="left" w:pos="1026"/>
                <w:tab w:val="left" w:pos="1451"/>
              </w:tabs>
              <w:spacing w:line="264" w:lineRule="auto"/>
              <w:rPr>
                <w:rFonts w:cs="Arial"/>
                <w:sz w:val="20"/>
                <w:szCs w:val="20"/>
                <w:lang w:eastAsia="en-NZ"/>
              </w:rPr>
            </w:pPr>
            <w:r w:rsidRPr="000F314A">
              <w:rPr>
                <w:sz w:val="20"/>
                <w:szCs w:val="20"/>
              </w:rPr>
              <w:t>means costs identified in clause 3.1.2(1)(b) of the IM determination</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Other stations</w:t>
            </w:r>
          </w:p>
        </w:tc>
        <w:tc>
          <w:tcPr>
            <w:tcW w:w="0" w:type="auto"/>
          </w:tcPr>
          <w:p w:rsidR="00213934" w:rsidRPr="000F314A" w:rsidRDefault="00213934" w:rsidP="005A23C3">
            <w:pPr>
              <w:pStyle w:val="Tablebodytext"/>
              <w:rPr>
                <w:sz w:val="20"/>
                <w:szCs w:val="20"/>
              </w:rPr>
            </w:pPr>
            <w:r w:rsidRPr="000F314A">
              <w:rPr>
                <w:sz w:val="20"/>
                <w:szCs w:val="20"/>
                <w:lang w:val="en-AU"/>
              </w:rPr>
              <w:t>means a station other than a compressor station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sz w:val="20"/>
                <w:szCs w:val="20"/>
              </w:rPr>
            </w:pPr>
            <w:r w:rsidRPr="000F314A">
              <w:rPr>
                <w:sz w:val="20"/>
                <w:szCs w:val="20"/>
              </w:rPr>
              <w:t>Other system fixed assets</w:t>
            </w:r>
          </w:p>
        </w:tc>
        <w:tc>
          <w:tcPr>
            <w:tcW w:w="0" w:type="auto"/>
          </w:tcPr>
          <w:p w:rsidR="00213934" w:rsidRPr="000F314A" w:rsidRDefault="00213934" w:rsidP="005A23C3">
            <w:pPr>
              <w:tabs>
                <w:tab w:val="left" w:pos="4045"/>
              </w:tabs>
              <w:spacing w:line="264" w:lineRule="auto"/>
              <w:rPr>
                <w:rFonts w:cs="Arial"/>
                <w:sz w:val="20"/>
                <w:szCs w:val="20"/>
                <w:lang w:eastAsia="en-NZ"/>
              </w:rPr>
            </w:pPr>
            <w:r w:rsidRPr="000F314A">
              <w:rPr>
                <w:color w:val="000000"/>
                <w:sz w:val="20"/>
                <w:szCs w:val="20"/>
                <w:lang w:val="en-US"/>
              </w:rPr>
              <w:t>means [TBC by technical consultation]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sz w:val="20"/>
                <w:szCs w:val="20"/>
              </w:rPr>
            </w:pPr>
            <w:r w:rsidRPr="000F314A">
              <w:rPr>
                <w:rFonts w:cs="Arial"/>
                <w:bCs/>
                <w:sz w:val="20"/>
                <w:szCs w:val="20"/>
                <w:lang w:eastAsia="en-NZ"/>
              </w:rPr>
              <w:t>OVABAA allocation increase</w:t>
            </w:r>
          </w:p>
        </w:tc>
        <w:tc>
          <w:tcPr>
            <w:tcW w:w="0" w:type="auto"/>
          </w:tcPr>
          <w:p w:rsidR="00213934" w:rsidRPr="000F314A" w:rsidRDefault="00213934" w:rsidP="005A23C3">
            <w:pPr>
              <w:tabs>
                <w:tab w:val="left" w:pos="601"/>
                <w:tab w:val="left" w:pos="1026"/>
                <w:tab w:val="left" w:pos="1451"/>
              </w:tabs>
              <w:spacing w:line="264" w:lineRule="auto"/>
              <w:rPr>
                <w:sz w:val="20"/>
                <w:szCs w:val="20"/>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Pass-through and recoverable costs</w:t>
            </w:r>
          </w:p>
        </w:tc>
        <w:tc>
          <w:tcPr>
            <w:tcW w:w="0" w:type="auto"/>
          </w:tcPr>
          <w:p w:rsidR="00213934" w:rsidRPr="000F314A" w:rsidRDefault="00213934" w:rsidP="005A23C3">
            <w:pPr>
              <w:tabs>
                <w:tab w:val="left" w:pos="4045"/>
              </w:tabs>
              <w:spacing w:line="264" w:lineRule="auto"/>
              <w:rPr>
                <w:sz w:val="20"/>
                <w:szCs w:val="20"/>
              </w:rPr>
            </w:pPr>
            <w:r w:rsidRPr="000F314A">
              <w:rPr>
                <w:rFonts w:cs="Arial"/>
                <w:sz w:val="20"/>
                <w:szCs w:val="20"/>
                <w:lang w:eastAsia="en-NZ"/>
              </w:rPr>
              <w:t>means a cost specified in clause 3.1.2 or 3.1.3 of the IM determination</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Posted discounts</w:t>
            </w:r>
          </w:p>
        </w:tc>
        <w:tc>
          <w:tcPr>
            <w:tcW w:w="0" w:type="auto"/>
          </w:tcPr>
          <w:p w:rsidR="00213934" w:rsidRPr="000F314A" w:rsidRDefault="00213934" w:rsidP="005A23C3">
            <w:pPr>
              <w:pStyle w:val="BodyText"/>
              <w:rPr>
                <w:i/>
                <w:sz w:val="20"/>
                <w:szCs w:val="20"/>
              </w:rPr>
            </w:pPr>
            <w:r w:rsidRPr="000F314A">
              <w:rPr>
                <w:sz w:val="20"/>
                <w:szCs w:val="20"/>
              </w:rPr>
              <w:t xml:space="preserve">means a discount to charges payable for the supply of gas pipeline services </w:t>
            </w:r>
            <w:proofErr w:type="spellStart"/>
            <w:r w:rsidRPr="000F314A">
              <w:rPr>
                <w:sz w:val="20"/>
                <w:szCs w:val="20"/>
              </w:rPr>
              <w:t>i</w:t>
            </w:r>
            <w:proofErr w:type="spellEnd"/>
            <w:r w:rsidRPr="000F314A">
              <w:rPr>
                <w:sz w:val="20"/>
                <w:szCs w:val="20"/>
              </w:rPr>
              <w:t>) that is offered by the GTB in a published tariff schedule; and ii) the take-up of which is determined by consumers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Previous years’ incremental gain/(loss)</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means the incremental change or incremental adjustment term for the disclosure year in question determined in accordance with clause 3.3.1 of the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Previous years’ incremental gain/(loss) adjusted for inflation</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means the previous years’ incremental gain/(loss) carried forward by applying the inflation rate in accordance with clause 3.3.2(1) of the IM determination</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Price category code</w:t>
            </w:r>
          </w:p>
        </w:tc>
        <w:tc>
          <w:tcPr>
            <w:tcW w:w="0" w:type="auto"/>
          </w:tcPr>
          <w:p w:rsidR="00213934" w:rsidRPr="000F314A" w:rsidRDefault="00213934" w:rsidP="005A23C3">
            <w:pPr>
              <w:pStyle w:val="BodyText"/>
              <w:rPr>
                <w:i/>
                <w:sz w:val="20"/>
                <w:szCs w:val="20"/>
              </w:rPr>
            </w:pPr>
            <w:r w:rsidRPr="000F314A">
              <w:rPr>
                <w:sz w:val="20"/>
                <w:szCs w:val="20"/>
              </w:rPr>
              <w:t>Means the relevant code in the schedule published by the GTB that is used to unambiguously define the line charges for an ICP</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Pricing date</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means the day on which a </w:t>
            </w:r>
            <w:r w:rsidRPr="000F314A">
              <w:rPr>
                <w:rFonts w:cs="Arial"/>
                <w:bCs/>
                <w:sz w:val="20"/>
                <w:szCs w:val="20"/>
                <w:lang w:eastAsia="en-NZ"/>
              </w:rPr>
              <w:t>qualifying debt</w:t>
            </w:r>
            <w:r w:rsidRPr="000F314A">
              <w:rPr>
                <w:rFonts w:cs="Arial"/>
                <w:sz w:val="20"/>
                <w:szCs w:val="20"/>
                <w:lang w:eastAsia="en-NZ"/>
              </w:rPr>
              <w:t xml:space="preserve"> is priced</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Pricing schedule</w:t>
            </w:r>
          </w:p>
        </w:tc>
        <w:tc>
          <w:tcPr>
            <w:tcW w:w="0" w:type="auto"/>
          </w:tcPr>
          <w:p w:rsidR="00213934" w:rsidRPr="000F314A" w:rsidRDefault="00213934" w:rsidP="005A23C3">
            <w:pPr>
              <w:pStyle w:val="BodyText"/>
              <w:rPr>
                <w:i/>
                <w:sz w:val="20"/>
                <w:szCs w:val="20"/>
              </w:rPr>
            </w:pPr>
            <w:r w:rsidRPr="000F314A">
              <w:rPr>
                <w:sz w:val="20"/>
                <w:szCs w:val="20"/>
              </w:rPr>
              <w:t>Means the list of prices by price category code for the provision of gas pipeline services that is publicly disclosed</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Proportion of emergencies responded to within 1 hour (%)</w:t>
            </w:r>
          </w:p>
        </w:tc>
        <w:tc>
          <w:tcPr>
            <w:tcW w:w="0" w:type="auto"/>
          </w:tcPr>
          <w:p w:rsidR="00213934" w:rsidRPr="000F314A" w:rsidRDefault="00213934" w:rsidP="005A23C3">
            <w:pPr>
              <w:pStyle w:val="Tablebodytext"/>
              <w:rPr>
                <w:i/>
                <w:sz w:val="20"/>
                <w:szCs w:val="20"/>
              </w:rPr>
            </w:pPr>
            <w:r w:rsidRPr="000F314A">
              <w:rPr>
                <w:sz w:val="20"/>
                <w:szCs w:val="20"/>
                <w:lang w:eastAsia="en-NZ"/>
              </w:rPr>
              <w:t>Number of emergencies responded to within 60 minutes / total number of emergencies.</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Proportion of emergencies responded to within 3 hours (%)</w:t>
            </w:r>
          </w:p>
        </w:tc>
        <w:tc>
          <w:tcPr>
            <w:tcW w:w="0" w:type="auto"/>
          </w:tcPr>
          <w:p w:rsidR="00213934" w:rsidRPr="000F314A" w:rsidRDefault="00213934" w:rsidP="005A23C3">
            <w:pPr>
              <w:pStyle w:val="Tablebodytext"/>
              <w:rPr>
                <w:i/>
                <w:sz w:val="20"/>
                <w:szCs w:val="20"/>
              </w:rPr>
            </w:pPr>
            <w:r w:rsidRPr="000F314A">
              <w:rPr>
                <w:sz w:val="20"/>
                <w:szCs w:val="20"/>
                <w:lang w:eastAsia="en-NZ"/>
              </w:rPr>
              <w:t>Number of emergencies responded to within 180 minutes / total number of emergencies.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Qualifying debt</w:t>
            </w:r>
          </w:p>
        </w:tc>
        <w:tc>
          <w:tcPr>
            <w:tcW w:w="0" w:type="auto"/>
          </w:tcPr>
          <w:p w:rsidR="00213934" w:rsidRPr="000F314A" w:rsidRDefault="00213934" w:rsidP="005A23C3">
            <w:pPr>
              <w:spacing w:line="264" w:lineRule="auto"/>
              <w:rPr>
                <w:sz w:val="20"/>
                <w:szCs w:val="20"/>
              </w:rPr>
            </w:pPr>
            <w:r w:rsidRPr="000F314A">
              <w:rPr>
                <w:rFonts w:cs="Arial"/>
                <w:sz w:val="20"/>
                <w:szCs w:val="20"/>
                <w:lang w:eastAsia="en-NZ"/>
              </w:rPr>
              <w:t xml:space="preserve">has the meaning set out in paragraph (a) of the defined term </w:t>
            </w:r>
            <w:bookmarkStart w:id="791" w:name="OLE_LINK11"/>
            <w:bookmarkStart w:id="792" w:name="OLE_LINK12"/>
            <w:r w:rsidRPr="000F314A">
              <w:rPr>
                <w:rFonts w:cs="Arial"/>
                <w:sz w:val="20"/>
                <w:szCs w:val="20"/>
                <w:lang w:eastAsia="en-NZ"/>
              </w:rPr>
              <w:t xml:space="preserve">in clause 1.1.4(2) </w:t>
            </w:r>
            <w:bookmarkEnd w:id="791"/>
            <w:bookmarkEnd w:id="792"/>
            <w:r w:rsidRPr="000F314A">
              <w:rPr>
                <w:rFonts w:cs="Arial"/>
                <w:sz w:val="20"/>
                <w:szCs w:val="20"/>
                <w:lang w:eastAsia="en-NZ"/>
              </w:rPr>
              <w:t>in the</w:t>
            </w:r>
            <w:r w:rsidRPr="000F314A">
              <w:rPr>
                <w:rFonts w:cs="Arial"/>
                <w:bCs/>
                <w:sz w:val="20"/>
                <w:szCs w:val="20"/>
                <w:lang w:eastAsia="en-NZ"/>
              </w:rPr>
              <w:t xml:space="preserv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Rates</w:t>
            </w:r>
          </w:p>
        </w:tc>
        <w:tc>
          <w:tcPr>
            <w:tcW w:w="0" w:type="auto"/>
          </w:tcPr>
          <w:p w:rsidR="00213934" w:rsidRPr="000F314A" w:rsidRDefault="00213934" w:rsidP="005A23C3">
            <w:pPr>
              <w:tabs>
                <w:tab w:val="left" w:pos="4045"/>
              </w:tabs>
              <w:spacing w:line="264" w:lineRule="auto"/>
              <w:ind w:left="34"/>
              <w:rPr>
                <w:rFonts w:cs="Arial"/>
                <w:bCs/>
                <w:sz w:val="20"/>
                <w:szCs w:val="20"/>
                <w:lang w:eastAsia="en-NZ"/>
              </w:rPr>
            </w:pPr>
            <w:r w:rsidRPr="000F314A">
              <w:rPr>
                <w:rFonts w:cs="Arial"/>
                <w:sz w:val="20"/>
                <w:szCs w:val="20"/>
                <w:lang w:eastAsia="en-NZ"/>
              </w:rPr>
              <w:t>means a cost specified in clause 3.1.2(2)(a) of the 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Rationale for change</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means the rationale for changing the allocator or line items, including whether the change occurred because of change in circumstance or another reason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Reason for non-standard depreciation</w:t>
            </w:r>
          </w:p>
        </w:tc>
        <w:tc>
          <w:tcPr>
            <w:tcW w:w="0" w:type="auto"/>
          </w:tcPr>
          <w:p w:rsidR="00213934" w:rsidRPr="000F314A" w:rsidRDefault="00213934" w:rsidP="005A23C3">
            <w:pPr>
              <w:tabs>
                <w:tab w:val="left" w:pos="4045"/>
              </w:tabs>
              <w:spacing w:line="264" w:lineRule="auto"/>
              <w:ind w:left="108"/>
              <w:rPr>
                <w:rFonts w:cs="Arial"/>
                <w:sz w:val="20"/>
                <w:szCs w:val="20"/>
                <w:lang w:eastAsia="en-NZ"/>
              </w:rPr>
            </w:pPr>
            <w:r w:rsidRPr="000F314A">
              <w:rPr>
                <w:rFonts w:cs="Arial"/>
                <w:sz w:val="20"/>
                <w:szCs w:val="20"/>
                <w:lang w:eastAsia="en-NZ"/>
              </w:rPr>
              <w:t>means:</w:t>
            </w:r>
          </w:p>
          <w:p w:rsidR="00213934" w:rsidRPr="000F314A" w:rsidRDefault="00213934" w:rsidP="00213934">
            <w:pPr>
              <w:pStyle w:val="ListParagraph"/>
              <w:numPr>
                <w:ilvl w:val="3"/>
                <w:numId w:val="83"/>
              </w:numPr>
              <w:tabs>
                <w:tab w:val="left" w:pos="742"/>
              </w:tabs>
              <w:spacing w:line="264" w:lineRule="auto"/>
              <w:ind w:left="742" w:hanging="567"/>
              <w:rPr>
                <w:rFonts w:cs="Arial"/>
                <w:sz w:val="20"/>
                <w:szCs w:val="20"/>
                <w:lang w:eastAsia="en-NZ"/>
              </w:rPr>
            </w:pPr>
            <w:r w:rsidRPr="000F314A">
              <w:rPr>
                <w:rFonts w:cs="Arial"/>
                <w:sz w:val="20"/>
                <w:szCs w:val="20"/>
                <w:lang w:eastAsia="en-NZ"/>
              </w:rPr>
              <w:t xml:space="preserve">in relation to assets or groups of assets where depreciation is included in </w:t>
            </w:r>
            <w:r w:rsidRPr="000F314A">
              <w:rPr>
                <w:rFonts w:cs="Arial"/>
                <w:bCs/>
                <w:sz w:val="20"/>
                <w:szCs w:val="20"/>
                <w:lang w:eastAsia="en-NZ"/>
              </w:rPr>
              <w:t>depreciation - no standard life asset</w:t>
            </w:r>
            <w:r w:rsidRPr="000F314A">
              <w:rPr>
                <w:rFonts w:cs="Arial"/>
                <w:sz w:val="20"/>
                <w:szCs w:val="20"/>
                <w:lang w:eastAsia="en-NZ"/>
              </w:rPr>
              <w:t>, 'no standard life';</w:t>
            </w:r>
          </w:p>
          <w:p w:rsidR="00213934" w:rsidRPr="000F314A" w:rsidRDefault="00213934" w:rsidP="00213934">
            <w:pPr>
              <w:pStyle w:val="ListParagraph"/>
              <w:numPr>
                <w:ilvl w:val="3"/>
                <w:numId w:val="83"/>
              </w:numPr>
              <w:tabs>
                <w:tab w:val="left" w:pos="742"/>
              </w:tabs>
              <w:spacing w:line="264" w:lineRule="auto"/>
              <w:ind w:left="742" w:hanging="567"/>
              <w:rPr>
                <w:rFonts w:cs="Arial"/>
                <w:sz w:val="20"/>
                <w:szCs w:val="20"/>
                <w:lang w:eastAsia="en-NZ"/>
              </w:rPr>
            </w:pPr>
            <w:r w:rsidRPr="000F314A">
              <w:rPr>
                <w:rFonts w:cs="Arial"/>
                <w:sz w:val="20"/>
                <w:szCs w:val="20"/>
                <w:lang w:eastAsia="en-NZ"/>
              </w:rPr>
              <w:t xml:space="preserve">in relation to assets or groups of assets where depreciation is included in </w:t>
            </w:r>
            <w:r w:rsidRPr="000F314A">
              <w:rPr>
                <w:rFonts w:cs="Arial"/>
                <w:bCs/>
                <w:sz w:val="20"/>
                <w:szCs w:val="20"/>
                <w:lang w:eastAsia="en-NZ"/>
              </w:rPr>
              <w:t>depreciation - modified life assets</w:t>
            </w:r>
            <w:r w:rsidRPr="000F314A">
              <w:rPr>
                <w:rFonts w:cs="Arial"/>
                <w:sz w:val="20"/>
                <w:szCs w:val="20"/>
                <w:lang w:eastAsia="en-NZ"/>
              </w:rPr>
              <w:t>, 'modified life';</w:t>
            </w:r>
          </w:p>
          <w:p w:rsidR="00213934" w:rsidRPr="000F314A" w:rsidRDefault="00213934" w:rsidP="00213934">
            <w:pPr>
              <w:pStyle w:val="ListParagraph"/>
              <w:numPr>
                <w:ilvl w:val="3"/>
                <w:numId w:val="83"/>
              </w:numPr>
              <w:tabs>
                <w:tab w:val="left" w:pos="742"/>
              </w:tabs>
              <w:spacing w:line="264" w:lineRule="auto"/>
              <w:ind w:left="742" w:hanging="567"/>
              <w:rPr>
                <w:rFonts w:cs="Arial"/>
                <w:sz w:val="20"/>
                <w:szCs w:val="20"/>
                <w:lang w:eastAsia="en-NZ"/>
              </w:rPr>
            </w:pPr>
            <w:r w:rsidRPr="000F314A">
              <w:rPr>
                <w:rFonts w:cs="Arial"/>
                <w:sz w:val="20"/>
                <w:szCs w:val="20"/>
                <w:lang w:eastAsia="en-NZ"/>
              </w:rPr>
              <w:t xml:space="preserve">in relation to assets or groups of assets where depreciation is included in </w:t>
            </w:r>
            <w:r w:rsidRPr="000F314A">
              <w:rPr>
                <w:rFonts w:cs="Arial"/>
                <w:bCs/>
                <w:sz w:val="20"/>
                <w:szCs w:val="20"/>
                <w:lang w:eastAsia="en-NZ"/>
              </w:rPr>
              <w:t xml:space="preserve">depreciation - alternative depreciation determined in accordance with CPP, </w:t>
            </w:r>
            <w:r w:rsidRPr="000F314A">
              <w:rPr>
                <w:rFonts w:cs="Arial"/>
                <w:sz w:val="20"/>
                <w:szCs w:val="20"/>
                <w:lang w:eastAsia="en-NZ"/>
              </w:rPr>
              <w:t>'CPP amendment'</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Recoverable costs</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rFonts w:cs="Arial"/>
                <w:bCs/>
                <w:sz w:val="20"/>
                <w:szCs w:val="20"/>
                <w:lang w:eastAsia="en-NZ"/>
              </w:rPr>
              <w:t>Recoverable customised price-quality path costs</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means a cost specified in clause 3.1.3(h),(</w:t>
            </w:r>
            <w:proofErr w:type="spellStart"/>
            <w:r w:rsidRPr="000F314A">
              <w:rPr>
                <w:rFonts w:cs="Arial"/>
                <w:sz w:val="20"/>
                <w:szCs w:val="20"/>
                <w:lang w:eastAsia="en-NZ"/>
              </w:rPr>
              <w:t>i</w:t>
            </w:r>
            <w:proofErr w:type="spellEnd"/>
            <w:r w:rsidRPr="000F314A">
              <w:rPr>
                <w:rFonts w:cs="Arial"/>
                <w:sz w:val="20"/>
                <w:szCs w:val="20"/>
                <w:lang w:eastAsia="en-NZ"/>
              </w:rPr>
              <w:t>),(j),(k) or (l) of the IM determination</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Regulated supplier</w:t>
            </w:r>
          </w:p>
        </w:tc>
        <w:tc>
          <w:tcPr>
            <w:tcW w:w="0" w:type="auto"/>
          </w:tcPr>
          <w:p w:rsidR="00213934" w:rsidRPr="000F314A" w:rsidRDefault="00213934" w:rsidP="005A23C3">
            <w:pPr>
              <w:tabs>
                <w:tab w:val="left" w:pos="4045"/>
              </w:tabs>
              <w:spacing w:line="264" w:lineRule="auto"/>
              <w:ind w:left="34"/>
              <w:rPr>
                <w:rFonts w:cs="Arial"/>
                <w:sz w:val="20"/>
                <w:szCs w:val="20"/>
                <w:lang w:eastAsia="en-NZ"/>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Regulatory net taxable income</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has the meaning specified in clause 2.3.1(2)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Regulatory period</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Regulatory profit / (loss)</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 the</w:t>
            </w:r>
            <w:r w:rsidRPr="000F314A">
              <w:rPr>
                <w:rFonts w:cs="Arial"/>
                <w:bCs/>
                <w:sz w:val="20"/>
                <w:szCs w:val="20"/>
                <w:lang w:eastAsia="en-NZ"/>
              </w:rPr>
              <w:t xml:space="preserve"> regulatory profit / (loss) before tax </w:t>
            </w:r>
            <w:r w:rsidRPr="000F314A">
              <w:rPr>
                <w:rFonts w:cs="Arial"/>
                <w:sz w:val="20"/>
                <w:szCs w:val="20"/>
                <w:lang w:eastAsia="en-NZ"/>
              </w:rPr>
              <w:t xml:space="preserve">less the </w:t>
            </w:r>
            <w:r w:rsidRPr="000F314A">
              <w:rPr>
                <w:rFonts w:cs="Arial"/>
                <w:bCs/>
                <w:sz w:val="20"/>
                <w:szCs w:val="20"/>
                <w:lang w:eastAsia="en-NZ"/>
              </w:rPr>
              <w:t>regulatory tax allowance</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Regulatory profit / (loss) before tax</w:t>
            </w:r>
          </w:p>
        </w:tc>
        <w:tc>
          <w:tcPr>
            <w:tcW w:w="0" w:type="auto"/>
          </w:tcPr>
          <w:p w:rsidR="00213934" w:rsidRPr="000F314A" w:rsidRDefault="00213934" w:rsidP="005A23C3">
            <w:pPr>
              <w:tabs>
                <w:tab w:val="left" w:pos="1026"/>
                <w:tab w:val="left" w:pos="1451"/>
                <w:tab w:val="left" w:pos="1876"/>
              </w:tabs>
              <w:spacing w:line="264" w:lineRule="auto"/>
              <w:rPr>
                <w:position w:val="-6"/>
                <w:sz w:val="20"/>
                <w:szCs w:val="20"/>
              </w:rPr>
            </w:pPr>
            <w:r w:rsidRPr="000F314A">
              <w:rPr>
                <w:rFonts w:cs="Arial"/>
                <w:sz w:val="20"/>
                <w:szCs w:val="20"/>
                <w:lang w:eastAsia="en-NZ"/>
              </w:rPr>
              <w:t>means the value of  calculated using the following formula:</w:t>
            </w:r>
            <w:r w:rsidRPr="000F314A">
              <w:rPr>
                <w:rFonts w:cs="Arial"/>
                <w:sz w:val="20"/>
                <w:szCs w:val="20"/>
                <w:lang w:eastAsia="en-NZ"/>
              </w:rPr>
              <w:br/>
            </w:r>
            <w:r w:rsidRPr="000F314A">
              <w:rPr>
                <w:position w:val="-10"/>
                <w:sz w:val="20"/>
                <w:szCs w:val="20"/>
              </w:rPr>
              <w:tab/>
            </w:r>
            <w:r w:rsidRPr="000F314A">
              <w:rPr>
                <w:position w:val="-10"/>
                <w:sz w:val="20"/>
                <w:szCs w:val="20"/>
              </w:rPr>
              <w:object w:dxaOrig="200" w:dyaOrig="240">
                <v:shape id="_x0000_i1059" type="#_x0000_t75" style="width:10.9pt;height:13.1pt" o:ole="">
                  <v:imagedata r:id="rId133" o:title=""/>
                </v:shape>
                <o:OLEObject Type="Embed" ProgID="Equation.3" ShapeID="_x0000_i1059" DrawAspect="Content" ObjectID="_1403043277" r:id="rId134"/>
              </w:object>
            </w:r>
            <w:r w:rsidRPr="000F314A">
              <w:rPr>
                <w:sz w:val="20"/>
                <w:szCs w:val="20"/>
              </w:rPr>
              <w:tab/>
              <w:t>=</w:t>
            </w:r>
            <w:r w:rsidRPr="000F314A">
              <w:rPr>
                <w:sz w:val="20"/>
                <w:szCs w:val="20"/>
              </w:rPr>
              <w:tab/>
            </w:r>
            <w:r w:rsidRPr="000F314A">
              <w:rPr>
                <w:position w:val="-6"/>
                <w:sz w:val="20"/>
                <w:szCs w:val="20"/>
              </w:rPr>
              <w:object w:dxaOrig="820" w:dyaOrig="260">
                <v:shape id="_x0000_i1060" type="#_x0000_t75" style="width:43.65pt;height:13.1pt" o:ole="">
                  <v:imagedata r:id="rId135" o:title=""/>
                </v:shape>
                <o:OLEObject Type="Embed" ProgID="Equation.3" ShapeID="_x0000_i1060" DrawAspect="Content" ObjectID="_1403043278" r:id="rId136"/>
              </w:object>
            </w:r>
          </w:p>
          <w:p w:rsidR="00213934" w:rsidRPr="000F314A" w:rsidRDefault="00213934" w:rsidP="005A23C3">
            <w:pPr>
              <w:spacing w:line="264" w:lineRule="auto"/>
              <w:rPr>
                <w:rFonts w:cs="Arial"/>
                <w:sz w:val="20"/>
                <w:szCs w:val="20"/>
                <w:lang w:eastAsia="en-NZ"/>
              </w:rPr>
            </w:pPr>
            <w:r w:rsidRPr="000F314A">
              <w:rPr>
                <w:rFonts w:cs="Arial"/>
                <w:sz w:val="20"/>
                <w:szCs w:val="20"/>
                <w:lang w:eastAsia="en-NZ"/>
              </w:rPr>
              <w:t>where:</w:t>
            </w:r>
            <w:r w:rsidRPr="000F314A">
              <w:rPr>
                <w:rFonts w:cs="Arial"/>
                <w:bCs/>
                <w:sz w:val="20"/>
                <w:szCs w:val="20"/>
                <w:lang w:eastAsia="en-NZ"/>
              </w:rPr>
              <w:br/>
            </w:r>
            <w:r w:rsidRPr="000F314A">
              <w:rPr>
                <w:position w:val="-6"/>
                <w:sz w:val="20"/>
                <w:szCs w:val="20"/>
              </w:rPr>
              <w:object w:dxaOrig="200" w:dyaOrig="220">
                <v:shape id="_x0000_i1061" type="#_x0000_t75" style="width:10.9pt;height:12pt" o:ole="">
                  <v:imagedata r:id="rId137" o:title=""/>
                </v:shape>
                <o:OLEObject Type="Embed" ProgID="Equation.3" ShapeID="_x0000_i1061" DrawAspect="Content" ObjectID="_1403043279" r:id="rId138"/>
              </w:object>
            </w:r>
            <w:r w:rsidRPr="000F314A">
              <w:rPr>
                <w:rFonts w:cs="Arial"/>
                <w:sz w:val="20"/>
                <w:szCs w:val="20"/>
                <w:lang w:eastAsia="en-NZ"/>
              </w:rPr>
              <w:t xml:space="preserve"> =  </w:t>
            </w:r>
            <w:r w:rsidRPr="000F314A">
              <w:rPr>
                <w:rFonts w:cs="Arial"/>
                <w:bCs/>
                <w:sz w:val="20"/>
                <w:szCs w:val="20"/>
                <w:lang w:eastAsia="en-NZ"/>
              </w:rPr>
              <w:t>operating surplus / (deficit)</w:t>
            </w:r>
            <w:r w:rsidRPr="000F314A">
              <w:rPr>
                <w:rFonts w:cs="Arial"/>
                <w:bCs/>
                <w:sz w:val="20"/>
                <w:szCs w:val="20"/>
                <w:lang w:eastAsia="en-NZ"/>
              </w:rPr>
              <w:br/>
            </w:r>
            <w:r w:rsidRPr="000F314A">
              <w:rPr>
                <w:position w:val="-6"/>
                <w:sz w:val="20"/>
                <w:szCs w:val="20"/>
              </w:rPr>
              <w:object w:dxaOrig="200" w:dyaOrig="279">
                <v:shape id="_x0000_i1062" type="#_x0000_t75" style="width:10.9pt;height:15.25pt" o:ole="">
                  <v:imagedata r:id="rId139" o:title=""/>
                </v:shape>
                <o:OLEObject Type="Embed" ProgID="Equation.3" ShapeID="_x0000_i1062" DrawAspect="Content" ObjectID="_1403043280" r:id="rId140"/>
              </w:object>
            </w:r>
            <w:r w:rsidRPr="000F314A">
              <w:rPr>
                <w:rFonts w:cs="Arial"/>
                <w:sz w:val="20"/>
                <w:szCs w:val="20"/>
                <w:lang w:eastAsia="en-NZ"/>
              </w:rPr>
              <w:t xml:space="preserve"> =  </w:t>
            </w:r>
            <w:r w:rsidRPr="000F314A">
              <w:rPr>
                <w:rFonts w:cs="Arial"/>
                <w:bCs/>
                <w:sz w:val="20"/>
                <w:szCs w:val="20"/>
                <w:lang w:eastAsia="en-NZ"/>
              </w:rPr>
              <w:t>total depreciation</w:t>
            </w:r>
            <w:r w:rsidRPr="000F314A">
              <w:rPr>
                <w:rFonts w:cs="Arial"/>
                <w:bCs/>
                <w:sz w:val="20"/>
                <w:szCs w:val="20"/>
                <w:lang w:eastAsia="en-NZ"/>
              </w:rPr>
              <w:br/>
            </w:r>
            <w:r w:rsidRPr="000F314A">
              <w:rPr>
                <w:position w:val="-6"/>
                <w:sz w:val="20"/>
                <w:szCs w:val="20"/>
              </w:rPr>
              <w:object w:dxaOrig="180" w:dyaOrig="220">
                <v:shape id="_x0000_i1063" type="#_x0000_t75" style="width:10.9pt;height:12pt" o:ole="">
                  <v:imagedata r:id="rId141" o:title=""/>
                </v:shape>
                <o:OLEObject Type="Embed" ProgID="Equation.3" ShapeID="_x0000_i1063" DrawAspect="Content" ObjectID="_1403043281" r:id="rId142"/>
              </w:object>
            </w:r>
            <w:r w:rsidRPr="000F314A">
              <w:rPr>
                <w:rFonts w:cs="Arial"/>
                <w:sz w:val="20"/>
                <w:szCs w:val="20"/>
                <w:lang w:eastAsia="en-NZ"/>
              </w:rPr>
              <w:t xml:space="preserve"> =  total CPI </w:t>
            </w:r>
            <w:r w:rsidRPr="000F314A">
              <w:rPr>
                <w:rFonts w:cs="Arial"/>
                <w:bCs/>
                <w:sz w:val="20"/>
                <w:szCs w:val="20"/>
                <w:lang w:eastAsia="en-NZ"/>
              </w:rPr>
              <w:t>revaluations</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Regulatory tax allowance</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has the meaning set out in clause 2.3.1 of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Regulatory tax asset value</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Regulatory tax asset value of asset disposals</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means the sum of </w:t>
            </w:r>
            <w:r w:rsidRPr="000F314A">
              <w:rPr>
                <w:rFonts w:cs="Arial"/>
                <w:bCs/>
                <w:sz w:val="20"/>
                <w:szCs w:val="20"/>
                <w:lang w:eastAsia="en-NZ"/>
              </w:rPr>
              <w:t xml:space="preserve">regulatory tax asset values </w:t>
            </w:r>
            <w:r w:rsidRPr="000F314A">
              <w:rPr>
                <w:rFonts w:cs="Arial"/>
                <w:sz w:val="20"/>
                <w:szCs w:val="20"/>
                <w:lang w:eastAsia="en-NZ"/>
              </w:rPr>
              <w:t xml:space="preserve">for assets that have a value in </w:t>
            </w:r>
            <w:r w:rsidRPr="000F314A">
              <w:rPr>
                <w:rFonts w:cs="Arial"/>
                <w:bCs/>
                <w:sz w:val="20"/>
                <w:szCs w:val="20"/>
                <w:lang w:eastAsia="en-NZ"/>
              </w:rPr>
              <w:t>asset disposals</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Regulatory tax asset value of assets commissioned</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 the sum of</w:t>
            </w:r>
            <w:r w:rsidRPr="000F314A">
              <w:rPr>
                <w:rFonts w:cs="Arial"/>
                <w:bCs/>
                <w:sz w:val="20"/>
                <w:szCs w:val="20"/>
                <w:lang w:eastAsia="en-NZ"/>
              </w:rPr>
              <w:t xml:space="preserve"> regulatory tax asset values</w:t>
            </w:r>
            <w:r w:rsidRPr="000F314A">
              <w:rPr>
                <w:rFonts w:cs="Arial"/>
                <w:sz w:val="20"/>
                <w:szCs w:val="20"/>
                <w:lang w:eastAsia="en-NZ"/>
              </w:rPr>
              <w:t xml:space="preserve"> for assets that have a value in </w:t>
            </w:r>
            <w:r w:rsidRPr="000F314A">
              <w:rPr>
                <w:rFonts w:cs="Arial"/>
                <w:bCs/>
                <w:sz w:val="20"/>
                <w:szCs w:val="20"/>
                <w:lang w:eastAsia="en-NZ"/>
              </w:rPr>
              <w:t>assets commissioned</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Regulatory taxable income</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241494">
            <w:pPr>
              <w:pStyle w:val="Clausetextunnumbered"/>
              <w:rPr>
                <w:rFonts w:cs="Arial"/>
                <w:lang w:eastAsia="en-NZ"/>
              </w:rPr>
            </w:pPr>
            <w:r w:rsidRPr="000F314A">
              <w:rPr>
                <w:rStyle w:val="Emphasis-Bold"/>
                <w:b w:val="0"/>
              </w:rPr>
              <w:t>Request for reserved capacity</w:t>
            </w:r>
          </w:p>
        </w:tc>
        <w:tc>
          <w:tcPr>
            <w:tcW w:w="0" w:type="auto"/>
          </w:tcPr>
          <w:p w:rsidR="00213934" w:rsidRPr="000F314A" w:rsidRDefault="00213934" w:rsidP="00241494">
            <w:pPr>
              <w:pStyle w:val="Clausetextunnumbered"/>
            </w:pPr>
            <w:r w:rsidRPr="000F314A">
              <w:t>means a notice from a shipper to a GTB that:</w:t>
            </w:r>
          </w:p>
          <w:p w:rsidR="00213934" w:rsidRPr="000F314A" w:rsidRDefault="00213934" w:rsidP="00213934">
            <w:pPr>
              <w:pStyle w:val="ListParagraph"/>
              <w:numPr>
                <w:ilvl w:val="4"/>
                <w:numId w:val="85"/>
              </w:numPr>
              <w:tabs>
                <w:tab w:val="clear" w:pos="3600"/>
                <w:tab w:val="num" w:pos="459"/>
              </w:tabs>
              <w:spacing w:line="264" w:lineRule="auto"/>
              <w:ind w:left="459" w:hanging="459"/>
              <w:rPr>
                <w:rFonts w:cs="Arial"/>
                <w:sz w:val="20"/>
                <w:szCs w:val="20"/>
                <w:lang w:eastAsia="en-NZ"/>
              </w:rPr>
            </w:pPr>
            <w:r w:rsidRPr="000F314A">
              <w:rPr>
                <w:rFonts w:cs="Arial"/>
                <w:sz w:val="20"/>
                <w:szCs w:val="20"/>
                <w:lang w:eastAsia="en-NZ"/>
              </w:rPr>
              <w:t xml:space="preserve">is made before the start of the disclosure year in respect of which the request relates; and </w:t>
            </w:r>
          </w:p>
          <w:p w:rsidR="00213934" w:rsidRPr="000F314A" w:rsidRDefault="00213934" w:rsidP="00213934">
            <w:pPr>
              <w:pStyle w:val="ListParagraph"/>
              <w:numPr>
                <w:ilvl w:val="4"/>
                <w:numId w:val="85"/>
              </w:numPr>
              <w:tabs>
                <w:tab w:val="clear" w:pos="3600"/>
                <w:tab w:val="num" w:pos="459"/>
              </w:tabs>
              <w:spacing w:line="264" w:lineRule="auto"/>
              <w:ind w:left="459" w:hanging="459"/>
              <w:rPr>
                <w:rFonts w:cs="Arial"/>
                <w:sz w:val="20"/>
                <w:szCs w:val="20"/>
                <w:lang w:eastAsia="en-NZ"/>
              </w:rPr>
            </w:pPr>
            <w:r w:rsidRPr="000F314A">
              <w:rPr>
                <w:rFonts w:cs="Arial"/>
                <w:sz w:val="20"/>
                <w:szCs w:val="20"/>
                <w:lang w:eastAsia="en-NZ"/>
              </w:rPr>
              <w:t>specifies the pipeline capacity or capacities to which the shipper requires either:</w:t>
            </w:r>
          </w:p>
          <w:p w:rsidR="00213934" w:rsidRPr="000F314A" w:rsidRDefault="00213934" w:rsidP="00213934">
            <w:pPr>
              <w:pStyle w:val="ListParagraph"/>
              <w:numPr>
                <w:ilvl w:val="1"/>
                <w:numId w:val="84"/>
              </w:numPr>
              <w:tabs>
                <w:tab w:val="clear" w:pos="1920"/>
                <w:tab w:val="num" w:pos="459"/>
                <w:tab w:val="num" w:pos="884"/>
              </w:tabs>
              <w:spacing w:line="264" w:lineRule="auto"/>
              <w:ind w:left="884" w:hanging="425"/>
              <w:rPr>
                <w:rFonts w:cs="Arial"/>
                <w:sz w:val="20"/>
                <w:szCs w:val="20"/>
                <w:lang w:eastAsia="en-NZ"/>
              </w:rPr>
            </w:pPr>
            <w:r w:rsidRPr="000F314A">
              <w:rPr>
                <w:rFonts w:cs="Arial"/>
                <w:sz w:val="20"/>
                <w:szCs w:val="20"/>
                <w:lang w:eastAsia="en-NZ"/>
              </w:rPr>
              <w:t xml:space="preserve">access; or </w:t>
            </w:r>
          </w:p>
          <w:p w:rsidR="00213934" w:rsidRPr="000F314A" w:rsidRDefault="00213934" w:rsidP="00213934">
            <w:pPr>
              <w:pStyle w:val="ListParagraph"/>
              <w:numPr>
                <w:ilvl w:val="1"/>
                <w:numId w:val="84"/>
              </w:numPr>
              <w:tabs>
                <w:tab w:val="clear" w:pos="1920"/>
                <w:tab w:val="num" w:pos="459"/>
                <w:tab w:val="num" w:pos="884"/>
              </w:tabs>
              <w:spacing w:line="264" w:lineRule="auto"/>
              <w:ind w:left="884" w:hanging="425"/>
              <w:rPr>
                <w:rFonts w:cs="Arial"/>
                <w:sz w:val="20"/>
                <w:szCs w:val="20"/>
                <w:lang w:eastAsia="en-NZ"/>
              </w:rPr>
            </w:pPr>
            <w:r w:rsidRPr="000F314A">
              <w:rPr>
                <w:rFonts w:cs="Arial"/>
                <w:sz w:val="20"/>
                <w:szCs w:val="20"/>
                <w:lang w:eastAsia="en-NZ"/>
              </w:rPr>
              <w:t>priority access</w:t>
            </w:r>
          </w:p>
          <w:p w:rsidR="00213934" w:rsidRPr="000F314A" w:rsidRDefault="00213934" w:rsidP="005A23C3">
            <w:pPr>
              <w:spacing w:line="264" w:lineRule="auto"/>
              <w:rPr>
                <w:rFonts w:cs="Arial"/>
                <w:sz w:val="20"/>
                <w:szCs w:val="20"/>
                <w:lang w:eastAsia="en-NZ"/>
              </w:rPr>
            </w:pPr>
            <w:r w:rsidRPr="000F314A">
              <w:rPr>
                <w:sz w:val="20"/>
                <w:szCs w:val="20"/>
              </w:rPr>
              <w:t>for the duration or part of the disclosure year</w:t>
            </w:r>
          </w:p>
        </w:tc>
      </w:tr>
      <w:tr w:rsidR="00213934" w:rsidRPr="000F314A" w:rsidTr="00EA01E1">
        <w:trPr>
          <w:cantSplit/>
          <w:trHeight w:val="20"/>
        </w:trPr>
        <w:tc>
          <w:tcPr>
            <w:tcW w:w="0" w:type="auto"/>
          </w:tcPr>
          <w:p w:rsidR="00213934" w:rsidRPr="000F314A" w:rsidRDefault="00213934" w:rsidP="005A23C3">
            <w:pPr>
              <w:rPr>
                <w:color w:val="000000"/>
                <w:sz w:val="20"/>
                <w:szCs w:val="20"/>
                <w:lang w:val="en-AU"/>
              </w:rPr>
            </w:pPr>
            <w:r w:rsidRPr="000F314A">
              <w:rPr>
                <w:color w:val="000000"/>
                <w:sz w:val="20"/>
                <w:szCs w:val="20"/>
                <w:lang w:val="en-AU"/>
              </w:rPr>
              <w:t>Research and development</w:t>
            </w:r>
          </w:p>
        </w:tc>
        <w:tc>
          <w:tcPr>
            <w:tcW w:w="0" w:type="auto"/>
          </w:tcPr>
          <w:p w:rsidR="00213934" w:rsidRPr="000F314A" w:rsidRDefault="00213934" w:rsidP="005A23C3">
            <w:pPr>
              <w:pStyle w:val="BodyText"/>
              <w:rPr>
                <w:sz w:val="20"/>
                <w:szCs w:val="20"/>
              </w:rPr>
            </w:pPr>
            <w:r w:rsidRPr="000F314A">
              <w:rPr>
                <w:sz w:val="20"/>
                <w:szCs w:val="20"/>
              </w:rPr>
              <w:t xml:space="preserve">in relation to expenditure, means gross capital expenditure or operational expenditure where the primary driver for the expenditure relates to increasing the efficient provision of gas pipeline services through: </w:t>
            </w:r>
          </w:p>
          <w:p w:rsidR="00213934" w:rsidRPr="000F314A" w:rsidRDefault="00213934" w:rsidP="00213934">
            <w:pPr>
              <w:pStyle w:val="Tablebullet"/>
              <w:numPr>
                <w:ilvl w:val="0"/>
                <w:numId w:val="63"/>
              </w:numPr>
              <w:spacing w:after="120"/>
              <w:rPr>
                <w:sz w:val="20"/>
                <w:szCs w:val="20"/>
                <w:lang w:val="en-AU"/>
              </w:rPr>
            </w:pPr>
            <w:r w:rsidRPr="000F314A">
              <w:rPr>
                <w:sz w:val="20"/>
                <w:szCs w:val="20"/>
              </w:rPr>
              <w:t xml:space="preserve">implementing an original and planned investigation undertaken with the prospect of gaining new scientific or technical knowledge or understanding; or </w:t>
            </w:r>
          </w:p>
          <w:p w:rsidR="00213934" w:rsidRPr="000F314A" w:rsidRDefault="00213934" w:rsidP="00213934">
            <w:pPr>
              <w:pStyle w:val="Tablebullet"/>
              <w:numPr>
                <w:ilvl w:val="0"/>
                <w:numId w:val="63"/>
              </w:numPr>
              <w:spacing w:after="120"/>
              <w:rPr>
                <w:sz w:val="20"/>
                <w:szCs w:val="20"/>
                <w:lang w:val="en-AU"/>
              </w:rPr>
            </w:pPr>
            <w:r w:rsidRPr="000F314A">
              <w:rPr>
                <w:sz w:val="20"/>
                <w:szCs w:val="20"/>
              </w:rPr>
              <w:t>applying research findings or other knowledge to a plan or design for the production of new or substantially improved materials, devices, products, processes, systems or services before the start of commercial production or use.</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Response time to emergencies (RTE)</w:t>
            </w:r>
          </w:p>
        </w:tc>
        <w:tc>
          <w:tcPr>
            <w:tcW w:w="0" w:type="auto"/>
          </w:tcPr>
          <w:p w:rsidR="00213934" w:rsidRPr="000F314A" w:rsidRDefault="00213934" w:rsidP="005A23C3">
            <w:pPr>
              <w:pStyle w:val="Tablebodytext"/>
              <w:rPr>
                <w:sz w:val="20"/>
                <w:szCs w:val="20"/>
              </w:rPr>
            </w:pPr>
            <w:r w:rsidRPr="000F314A">
              <w:rPr>
                <w:sz w:val="20"/>
                <w:szCs w:val="20"/>
                <w:lang w:eastAsia="en-NZ"/>
              </w:rPr>
              <w:t>means the time elapsed from when an emergency is reported to a GTB representative until the GTB’s personnel arrives at the location of the emergency</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Revaluation rate</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Revenue related working capital</w:t>
            </w:r>
          </w:p>
        </w:tc>
        <w:tc>
          <w:tcPr>
            <w:tcW w:w="0" w:type="auto"/>
          </w:tcPr>
          <w:p w:rsidR="00213934" w:rsidRPr="000F314A" w:rsidRDefault="00213934" w:rsidP="005A23C3">
            <w:pPr>
              <w:spacing w:line="264" w:lineRule="auto"/>
              <w:rPr>
                <w:rFonts w:cs="Arial"/>
                <w:sz w:val="20"/>
                <w:szCs w:val="20"/>
                <w:lang w:eastAsia="en-NZ"/>
              </w:rPr>
            </w:pPr>
            <w:r w:rsidRPr="000F314A">
              <w:rPr>
                <w:sz w:val="20"/>
                <w:szCs w:val="20"/>
              </w:rPr>
              <w:t>means for the opening RIV and closing RIV, the revenue for the last month of the disclosure year</w:t>
            </w:r>
          </w:p>
        </w:tc>
      </w:tr>
      <w:tr w:rsidR="00213934" w:rsidRPr="000F314A" w:rsidTr="00EA01E1">
        <w:trPr>
          <w:cantSplit/>
          <w:trHeight w:val="20"/>
        </w:trPr>
        <w:tc>
          <w:tcPr>
            <w:tcW w:w="0" w:type="auto"/>
          </w:tcPr>
          <w:p w:rsidR="00213934" w:rsidRPr="000F314A" w:rsidRDefault="00213934" w:rsidP="005A23C3">
            <w:pPr>
              <w:spacing w:line="264" w:lineRule="auto"/>
              <w:rPr>
                <w:rFonts w:cs="Arial"/>
                <w:bCs/>
                <w:sz w:val="20"/>
                <w:szCs w:val="20"/>
                <w:lang w:eastAsia="en-NZ"/>
              </w:rPr>
            </w:pPr>
            <w:r w:rsidRPr="000F314A">
              <w:rPr>
                <w:rFonts w:cs="Arial"/>
                <w:bCs/>
                <w:sz w:val="20"/>
                <w:szCs w:val="20"/>
                <w:lang w:eastAsia="en-NZ"/>
              </w:rPr>
              <w:t>ROI</w:t>
            </w:r>
          </w:p>
        </w:tc>
        <w:tc>
          <w:tcPr>
            <w:tcW w:w="0" w:type="auto"/>
          </w:tcPr>
          <w:p w:rsidR="00213934" w:rsidRPr="000F314A" w:rsidRDefault="00213934" w:rsidP="005A23C3">
            <w:pPr>
              <w:spacing w:line="264" w:lineRule="auto"/>
              <w:rPr>
                <w:rFonts w:cs="Arial"/>
                <w:sz w:val="20"/>
                <w:szCs w:val="20"/>
                <w:lang w:eastAsia="en-NZ"/>
              </w:rPr>
            </w:pPr>
            <w:r w:rsidRPr="000F314A">
              <w:rPr>
                <w:rFonts w:cs="Arial"/>
                <w:sz w:val="20"/>
                <w:szCs w:val="20"/>
                <w:lang w:eastAsia="en-NZ"/>
              </w:rPr>
              <w:t>means return on investment</w:t>
            </w:r>
          </w:p>
        </w:tc>
      </w:tr>
      <w:tr w:rsidR="00213934" w:rsidRPr="000F314A" w:rsidTr="00EA01E1">
        <w:trPr>
          <w:cantSplit/>
          <w:trHeight w:val="20"/>
        </w:trPr>
        <w:tc>
          <w:tcPr>
            <w:tcW w:w="0" w:type="auto"/>
          </w:tcPr>
          <w:p w:rsidR="00213934" w:rsidRPr="000F314A" w:rsidRDefault="00213934" w:rsidP="005A23C3">
            <w:pPr>
              <w:spacing w:line="264" w:lineRule="auto"/>
              <w:rPr>
                <w:sz w:val="20"/>
                <w:szCs w:val="20"/>
              </w:rPr>
            </w:pPr>
            <w:r w:rsidRPr="000F314A">
              <w:rPr>
                <w:sz w:val="20"/>
                <w:szCs w:val="20"/>
              </w:rPr>
              <w:t>ROI comparable to a post-tax WACC</w:t>
            </w:r>
          </w:p>
        </w:tc>
        <w:tc>
          <w:tcPr>
            <w:tcW w:w="0" w:type="auto"/>
          </w:tcPr>
          <w:p w:rsidR="00213934" w:rsidRPr="000F314A" w:rsidRDefault="00213934" w:rsidP="005A23C3">
            <w:pPr>
              <w:rPr>
                <w:sz w:val="20"/>
                <w:szCs w:val="20"/>
              </w:rPr>
            </w:pPr>
            <w:r w:rsidRPr="000F314A">
              <w:rPr>
                <w:sz w:val="20"/>
                <w:szCs w:val="20"/>
              </w:rPr>
              <w:t xml:space="preserve">means the </w:t>
            </w:r>
            <w:r w:rsidRPr="000F314A">
              <w:rPr>
                <w:bCs/>
                <w:sz w:val="20"/>
                <w:szCs w:val="20"/>
              </w:rPr>
              <w:t>ROI comparable to the vanilla WACC</w:t>
            </w:r>
            <w:r w:rsidRPr="000F314A">
              <w:rPr>
                <w:sz w:val="20"/>
                <w:szCs w:val="20"/>
              </w:rPr>
              <w:t xml:space="preserve"> less the product of the </w:t>
            </w:r>
            <w:r w:rsidRPr="000F314A">
              <w:rPr>
                <w:bCs/>
                <w:sz w:val="20"/>
                <w:szCs w:val="20"/>
              </w:rPr>
              <w:t>cost of debt (%),</w:t>
            </w:r>
            <w:r w:rsidRPr="000F314A">
              <w:rPr>
                <w:sz w:val="20"/>
                <w:szCs w:val="20"/>
              </w:rPr>
              <w:t xml:space="preserve"> the </w:t>
            </w:r>
            <w:r w:rsidRPr="000F314A">
              <w:rPr>
                <w:bCs/>
                <w:sz w:val="20"/>
                <w:szCs w:val="20"/>
              </w:rPr>
              <w:t>leverage</w:t>
            </w:r>
            <w:r w:rsidRPr="000F314A">
              <w:rPr>
                <w:sz w:val="20"/>
                <w:szCs w:val="20"/>
              </w:rPr>
              <w:t xml:space="preserve"> and the </w:t>
            </w:r>
            <w:r w:rsidRPr="000F314A">
              <w:rPr>
                <w:bCs/>
                <w:sz w:val="20"/>
                <w:szCs w:val="20"/>
              </w:rPr>
              <w:t>corporate tax rate</w:t>
            </w:r>
          </w:p>
        </w:tc>
      </w:tr>
      <w:tr w:rsidR="00213934" w:rsidRPr="000F314A" w:rsidTr="00EA01E1">
        <w:trPr>
          <w:cantSplit/>
          <w:trHeight w:val="20"/>
        </w:trPr>
        <w:tc>
          <w:tcPr>
            <w:tcW w:w="0" w:type="auto"/>
          </w:tcPr>
          <w:p w:rsidR="00213934" w:rsidRPr="000F314A" w:rsidRDefault="00213934" w:rsidP="005A23C3">
            <w:pPr>
              <w:spacing w:line="264" w:lineRule="auto"/>
              <w:rPr>
                <w:sz w:val="20"/>
                <w:szCs w:val="20"/>
              </w:rPr>
            </w:pPr>
            <w:r w:rsidRPr="000F314A">
              <w:rPr>
                <w:sz w:val="20"/>
                <w:szCs w:val="20"/>
              </w:rPr>
              <w:t>ROI comparable to a vanilla WACC</w:t>
            </w:r>
          </w:p>
        </w:tc>
        <w:tc>
          <w:tcPr>
            <w:tcW w:w="0" w:type="auto"/>
          </w:tcPr>
          <w:p w:rsidR="00213934" w:rsidRPr="000F314A" w:rsidRDefault="00213934" w:rsidP="005A23C3">
            <w:pPr>
              <w:rPr>
                <w:sz w:val="20"/>
                <w:szCs w:val="20"/>
              </w:rPr>
            </w:pPr>
            <w:r w:rsidRPr="000F314A">
              <w:rPr>
                <w:sz w:val="20"/>
                <w:szCs w:val="20"/>
              </w:rPr>
              <w:t>means:</w:t>
            </w:r>
          </w:p>
          <w:p w:rsidR="00213934" w:rsidRPr="000F314A" w:rsidRDefault="00213934" w:rsidP="005A23C3">
            <w:pPr>
              <w:rPr>
                <w:i/>
                <w:sz w:val="20"/>
                <w:szCs w:val="20"/>
              </w:rPr>
            </w:pPr>
            <w:r w:rsidRPr="000F314A">
              <w:rPr>
                <w:sz w:val="20"/>
                <w:szCs w:val="20"/>
              </w:rPr>
              <w:tab/>
            </w:r>
            <w:r w:rsidRPr="000F314A">
              <w:rPr>
                <w:i/>
                <w:sz w:val="20"/>
                <w:szCs w:val="20"/>
              </w:rPr>
              <w:t>q  = (1 + half-yearly IRR)</w:t>
            </w:r>
            <w:r w:rsidRPr="000F314A">
              <w:rPr>
                <w:i/>
                <w:sz w:val="20"/>
                <w:szCs w:val="20"/>
                <w:vertAlign w:val="superscript"/>
              </w:rPr>
              <w:t>2</w:t>
            </w:r>
            <w:r w:rsidRPr="000F314A">
              <w:rPr>
                <w:i/>
                <w:sz w:val="20"/>
                <w:szCs w:val="20"/>
              </w:rPr>
              <w:t xml:space="preserve"> – 1</w:t>
            </w:r>
          </w:p>
          <w:p w:rsidR="00213934" w:rsidRPr="000F314A" w:rsidRDefault="00213934" w:rsidP="005A23C3">
            <w:pPr>
              <w:ind w:left="459"/>
              <w:rPr>
                <w:sz w:val="20"/>
                <w:szCs w:val="20"/>
              </w:rPr>
            </w:pPr>
          </w:p>
          <w:p w:rsidR="00213934" w:rsidRPr="000F314A" w:rsidRDefault="00213934" w:rsidP="005A23C3">
            <w:pPr>
              <w:ind w:left="34"/>
              <w:rPr>
                <w:sz w:val="20"/>
                <w:szCs w:val="20"/>
              </w:rPr>
            </w:pPr>
            <w:r w:rsidRPr="000F314A">
              <w:rPr>
                <w:sz w:val="20"/>
                <w:szCs w:val="20"/>
              </w:rPr>
              <w:t>where:</w:t>
            </w:r>
          </w:p>
          <w:p w:rsidR="00213934" w:rsidRPr="000F314A" w:rsidRDefault="00213934" w:rsidP="005A23C3">
            <w:pPr>
              <w:ind w:left="34"/>
              <w:rPr>
                <w:sz w:val="20"/>
                <w:szCs w:val="20"/>
              </w:rPr>
            </w:pPr>
            <w:r w:rsidRPr="000F314A">
              <w:rPr>
                <w:i/>
                <w:sz w:val="20"/>
                <w:szCs w:val="20"/>
              </w:rPr>
              <w:t>half-yearly IRR</w:t>
            </w:r>
            <w:r w:rsidRPr="000F314A">
              <w:rPr>
                <w:sz w:val="20"/>
                <w:szCs w:val="20"/>
              </w:rPr>
              <w:t xml:space="preserve"> = IRR (3 half-yearly amounts)</w:t>
            </w:r>
          </w:p>
          <w:p w:rsidR="00213934" w:rsidRPr="000F314A" w:rsidRDefault="00213934" w:rsidP="005A23C3">
            <w:pPr>
              <w:ind w:left="34"/>
              <w:rPr>
                <w:sz w:val="20"/>
                <w:szCs w:val="20"/>
              </w:rPr>
            </w:pPr>
          </w:p>
          <w:p w:rsidR="00213934" w:rsidRPr="000F314A" w:rsidRDefault="00213934" w:rsidP="005A23C3">
            <w:pPr>
              <w:ind w:left="34"/>
              <w:rPr>
                <w:sz w:val="20"/>
                <w:szCs w:val="20"/>
              </w:rPr>
            </w:pPr>
            <w:r w:rsidRPr="000F314A">
              <w:rPr>
                <w:sz w:val="20"/>
                <w:szCs w:val="20"/>
              </w:rPr>
              <w:t>where the 3 half-yearly amounts are:</w:t>
            </w:r>
          </w:p>
          <w:p w:rsidR="00213934" w:rsidRPr="000F314A" w:rsidRDefault="00213934" w:rsidP="005A23C3">
            <w:pPr>
              <w:pStyle w:val="Tablebullet"/>
              <w:tabs>
                <w:tab w:val="clear" w:pos="284"/>
                <w:tab w:val="num" w:pos="459"/>
              </w:tabs>
              <w:spacing w:before="60" w:after="60" w:line="264" w:lineRule="auto"/>
              <w:ind w:left="459" w:hanging="425"/>
              <w:rPr>
                <w:sz w:val="20"/>
                <w:szCs w:val="20"/>
              </w:rPr>
            </w:pPr>
            <w:r w:rsidRPr="000F314A">
              <w:rPr>
                <w:sz w:val="20"/>
                <w:szCs w:val="20"/>
              </w:rPr>
              <w:t xml:space="preserve">the negative of </w:t>
            </w:r>
            <w:r w:rsidRPr="000F314A">
              <w:rPr>
                <w:bCs/>
                <w:sz w:val="20"/>
                <w:szCs w:val="20"/>
              </w:rPr>
              <w:t>opening RIV (year-start)</w:t>
            </w:r>
          </w:p>
          <w:p w:rsidR="00213934" w:rsidRPr="000F314A" w:rsidRDefault="00213934" w:rsidP="005A23C3">
            <w:pPr>
              <w:pStyle w:val="Tablebullet"/>
              <w:tabs>
                <w:tab w:val="clear" w:pos="284"/>
                <w:tab w:val="num" w:pos="459"/>
              </w:tabs>
              <w:spacing w:before="60" w:after="60" w:line="264" w:lineRule="auto"/>
              <w:ind w:left="459" w:hanging="425"/>
              <w:rPr>
                <w:sz w:val="20"/>
                <w:szCs w:val="20"/>
              </w:rPr>
            </w:pPr>
            <w:r w:rsidRPr="000F314A">
              <w:rPr>
                <w:bCs/>
                <w:sz w:val="20"/>
                <w:szCs w:val="20"/>
              </w:rPr>
              <w:t>notional net cash flows (mid-year)</w:t>
            </w:r>
          </w:p>
          <w:p w:rsidR="00213934" w:rsidRPr="000F314A" w:rsidRDefault="00213934" w:rsidP="005A23C3">
            <w:pPr>
              <w:pStyle w:val="Tablebullet"/>
              <w:tabs>
                <w:tab w:val="clear" w:pos="284"/>
                <w:tab w:val="num" w:pos="459"/>
              </w:tabs>
              <w:spacing w:before="60" w:after="60" w:line="264" w:lineRule="auto"/>
              <w:ind w:left="459" w:hanging="425"/>
              <w:rPr>
                <w:sz w:val="20"/>
                <w:szCs w:val="20"/>
              </w:rPr>
            </w:pPr>
            <w:r w:rsidRPr="000F314A">
              <w:rPr>
                <w:sz w:val="20"/>
                <w:szCs w:val="20"/>
              </w:rPr>
              <w:t xml:space="preserve">the </w:t>
            </w:r>
            <w:r w:rsidRPr="000F314A">
              <w:rPr>
                <w:bCs/>
                <w:sz w:val="20"/>
                <w:szCs w:val="20"/>
              </w:rPr>
              <w:t xml:space="preserve">closing RIV </w:t>
            </w:r>
            <w:r w:rsidRPr="000F314A">
              <w:rPr>
                <w:sz w:val="20"/>
                <w:szCs w:val="20"/>
              </w:rPr>
              <w:t xml:space="preserve">less </w:t>
            </w:r>
            <w:r w:rsidRPr="000F314A">
              <w:rPr>
                <w:bCs/>
                <w:sz w:val="20"/>
                <w:szCs w:val="20"/>
              </w:rPr>
              <w:t>term credit spread differential allowance (year-end)</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SCADA and communications</w:t>
            </w:r>
          </w:p>
        </w:tc>
        <w:tc>
          <w:tcPr>
            <w:tcW w:w="0" w:type="auto"/>
          </w:tcPr>
          <w:p w:rsidR="00213934" w:rsidRPr="000F314A" w:rsidRDefault="00213934" w:rsidP="005A23C3">
            <w:pPr>
              <w:pStyle w:val="Tablebodytext"/>
              <w:rPr>
                <w:sz w:val="20"/>
                <w:szCs w:val="20"/>
              </w:rPr>
            </w:pPr>
            <w:r w:rsidRPr="000F314A">
              <w:rPr>
                <w:sz w:val="20"/>
                <w:szCs w:val="20"/>
                <w:lang w:val="en-AU"/>
              </w:rPr>
              <w:t>means a Supervisory Control and Data Acquisition system and its associated communications system that is used to monitor and control the operation of a network</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bCs/>
                <w:sz w:val="20"/>
                <w:szCs w:val="20"/>
              </w:rPr>
            </w:pPr>
            <w:r w:rsidRPr="000F314A">
              <w:rPr>
                <w:sz w:val="20"/>
                <w:szCs w:val="20"/>
              </w:rPr>
              <w:t>Secondary assets</w:t>
            </w:r>
          </w:p>
        </w:tc>
        <w:tc>
          <w:tcPr>
            <w:tcW w:w="0" w:type="auto"/>
          </w:tcPr>
          <w:p w:rsidR="00213934" w:rsidRPr="000F314A" w:rsidRDefault="00213934" w:rsidP="005A23C3">
            <w:pPr>
              <w:tabs>
                <w:tab w:val="left" w:pos="4045"/>
              </w:tabs>
              <w:spacing w:line="264" w:lineRule="auto"/>
              <w:rPr>
                <w:sz w:val="20"/>
                <w:szCs w:val="20"/>
              </w:rPr>
            </w:pPr>
            <w:proofErr w:type="gramStart"/>
            <w:r w:rsidRPr="000F314A">
              <w:rPr>
                <w:sz w:val="20"/>
                <w:szCs w:val="20"/>
              </w:rPr>
              <w:t>means</w:t>
            </w:r>
            <w:proofErr w:type="gramEnd"/>
            <w:r w:rsidRPr="000F314A">
              <w:rPr>
                <w:sz w:val="20"/>
                <w:szCs w:val="20"/>
              </w:rPr>
              <w:t xml:space="preserve"> system fixed assets that support the conveyance of gas</w:t>
            </w:r>
            <w:r w:rsidR="009C2C2C" w:rsidRPr="000F314A">
              <w:rPr>
                <w:sz w:val="20"/>
                <w:szCs w:val="20"/>
              </w:rPr>
              <w:t xml:space="preserve">. </w:t>
            </w:r>
            <w:r w:rsidRPr="000F314A">
              <w:rPr>
                <w:sz w:val="20"/>
                <w:szCs w:val="20"/>
              </w:rPr>
              <w:t>Secondary assets include protection, SCADA and communication systems and chromatographs, but do not include compressors and river crossings</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rFonts w:cs="Arial"/>
                <w:bCs/>
                <w:sz w:val="20"/>
                <w:szCs w:val="20"/>
                <w:lang w:eastAsia="en-NZ"/>
              </w:rPr>
            </w:pPr>
            <w:r w:rsidRPr="000F314A">
              <w:rPr>
                <w:sz w:val="20"/>
                <w:szCs w:val="20"/>
              </w:rPr>
              <w:t>Self-insurance allowance</w:t>
            </w:r>
          </w:p>
        </w:tc>
        <w:tc>
          <w:tcPr>
            <w:tcW w:w="0" w:type="auto"/>
          </w:tcPr>
          <w:p w:rsidR="00213934" w:rsidRPr="000F314A" w:rsidRDefault="00213934" w:rsidP="005A23C3">
            <w:pPr>
              <w:tabs>
                <w:tab w:val="left" w:pos="4045"/>
              </w:tabs>
              <w:spacing w:line="264" w:lineRule="auto"/>
              <w:rPr>
                <w:sz w:val="20"/>
                <w:szCs w:val="20"/>
              </w:rPr>
            </w:pPr>
            <w:r w:rsidRPr="000F314A">
              <w:rPr>
                <w:sz w:val="20"/>
                <w:szCs w:val="20"/>
              </w:rPr>
              <w:t>means any self-insurance allowance allowed by the Commission through a CPP</w:t>
            </w:r>
          </w:p>
        </w:tc>
      </w:tr>
      <w:tr w:rsidR="008D5589" w:rsidRPr="000F314A" w:rsidTr="00EA01E1">
        <w:trPr>
          <w:cantSplit/>
          <w:trHeight w:val="20"/>
        </w:trPr>
        <w:tc>
          <w:tcPr>
            <w:tcW w:w="0" w:type="auto"/>
          </w:tcPr>
          <w:p w:rsidR="008D5589" w:rsidRPr="000F314A" w:rsidRDefault="008D5589" w:rsidP="005A23C3">
            <w:pPr>
              <w:pStyle w:val="BodyText"/>
              <w:spacing w:line="264" w:lineRule="auto"/>
              <w:rPr>
                <w:sz w:val="20"/>
                <w:szCs w:val="20"/>
              </w:rPr>
            </w:pPr>
            <w:r w:rsidRPr="000F314A">
              <w:rPr>
                <w:sz w:val="20"/>
                <w:szCs w:val="20"/>
              </w:rPr>
              <w:t>Service interruptions, incidents and emergencies</w:t>
            </w:r>
          </w:p>
        </w:tc>
        <w:tc>
          <w:tcPr>
            <w:tcW w:w="0" w:type="auto"/>
          </w:tcPr>
          <w:p w:rsidR="008D5589" w:rsidRPr="000F314A" w:rsidRDefault="008D5589" w:rsidP="004D1973">
            <w:pPr>
              <w:spacing w:line="264" w:lineRule="auto"/>
              <w:rPr>
                <w:sz w:val="20"/>
                <w:szCs w:val="20"/>
              </w:rPr>
            </w:pPr>
            <w:r w:rsidRPr="000F314A">
              <w:rPr>
                <w:sz w:val="20"/>
                <w:szCs w:val="20"/>
              </w:rPr>
              <w:t>In relation to expenditure, means operational expenditure where the primary driver is an unplanned instantaneous event or incident that impairs the normal operation of network assets. This relates to reactive work (either temporary or permanent) undertaken in the immediate or short term in response to an unplanned event.  This category also includes the direct cost of providing a service to respond to reported gas escapes, loss of supply and low pressure reports to make safe, including a repair allowance, the cost of rechecks, restoring supply, provision for 24/7 response and any waiting/non-productive time for response teams.  Includes back-up assistance required to restore supply, repair leaks or make safe.  It also includes operational support used during the outage or emergency response. It also includes any necessary response to events arising upstream.  It does not include expenditure on activities performed proactively to mitigate the impact such an event would have should it occur.</w:t>
            </w:r>
          </w:p>
          <w:p w:rsidR="008D5589" w:rsidRPr="000F314A" w:rsidRDefault="008D5589" w:rsidP="004D1973">
            <w:pPr>
              <w:spacing w:line="264" w:lineRule="auto"/>
              <w:rPr>
                <w:sz w:val="20"/>
                <w:szCs w:val="20"/>
              </w:rPr>
            </w:pPr>
            <w:r w:rsidRPr="000F314A">
              <w:rPr>
                <w:sz w:val="20"/>
                <w:szCs w:val="20"/>
              </w:rPr>
              <w:t>Planned follow-up activities resulting from an event which were unable to be permanently repaired in the short term are to be included under routine and corrective maintenance and inspection</w:t>
            </w:r>
          </w:p>
        </w:tc>
      </w:tr>
      <w:tr w:rsidR="00213934" w:rsidRPr="000F314A" w:rsidTr="00EA01E1">
        <w:trPr>
          <w:cantSplit/>
          <w:trHeight w:val="20"/>
        </w:trPr>
        <w:tc>
          <w:tcPr>
            <w:tcW w:w="0" w:type="auto"/>
          </w:tcPr>
          <w:p w:rsidR="00213934" w:rsidRPr="000F314A" w:rsidRDefault="00213934" w:rsidP="005A23C3">
            <w:pPr>
              <w:pStyle w:val="BodyText"/>
              <w:spacing w:line="264" w:lineRule="auto"/>
              <w:rPr>
                <w:bCs/>
                <w:sz w:val="20"/>
                <w:szCs w:val="20"/>
              </w:rPr>
            </w:pPr>
            <w:r w:rsidRPr="000F314A">
              <w:rPr>
                <w:sz w:val="20"/>
                <w:szCs w:val="20"/>
              </w:rPr>
              <w:t>Shipper</w:t>
            </w:r>
          </w:p>
        </w:tc>
        <w:tc>
          <w:tcPr>
            <w:tcW w:w="0" w:type="auto"/>
          </w:tcPr>
          <w:p w:rsidR="00213934" w:rsidRPr="000F314A" w:rsidRDefault="00213934" w:rsidP="005A23C3">
            <w:pPr>
              <w:spacing w:line="264" w:lineRule="auto"/>
              <w:rPr>
                <w:sz w:val="20"/>
                <w:szCs w:val="20"/>
              </w:rPr>
            </w:pPr>
            <w:r w:rsidRPr="000F314A">
              <w:rPr>
                <w:sz w:val="20"/>
                <w:szCs w:val="20"/>
              </w:rPr>
              <w:t xml:space="preserve">means </w:t>
            </w:r>
            <w:r w:rsidRPr="000F314A">
              <w:rPr>
                <w:sz w:val="20"/>
                <w:szCs w:val="20"/>
                <w:lang w:eastAsia="en-NZ"/>
              </w:rPr>
              <w:t>a person who is a party to a contract with a transmission system owner to have gas transported through all or part of the transmission system</w:t>
            </w:r>
          </w:p>
        </w:tc>
      </w:tr>
      <w:tr w:rsidR="00213934" w:rsidRPr="000F314A" w:rsidTr="00EA01E1">
        <w:trPr>
          <w:cantSplit/>
          <w:trHeight w:val="20"/>
        </w:trPr>
        <w:tc>
          <w:tcPr>
            <w:tcW w:w="0" w:type="auto"/>
          </w:tcPr>
          <w:p w:rsidR="00213934" w:rsidRPr="000F314A" w:rsidRDefault="00213934" w:rsidP="005A23C3">
            <w:pPr>
              <w:pStyle w:val="Tablebodytext"/>
              <w:rPr>
                <w:sz w:val="20"/>
                <w:szCs w:val="20"/>
              </w:rPr>
            </w:pPr>
            <w:r w:rsidRPr="000F314A">
              <w:rPr>
                <w:sz w:val="20"/>
                <w:szCs w:val="20"/>
              </w:rPr>
              <w:t>Standard consumer</w:t>
            </w:r>
          </w:p>
        </w:tc>
        <w:tc>
          <w:tcPr>
            <w:tcW w:w="0" w:type="auto"/>
          </w:tcPr>
          <w:p w:rsidR="00213934" w:rsidRPr="000F314A" w:rsidRDefault="00213934" w:rsidP="00241494">
            <w:pPr>
              <w:rPr>
                <w:sz w:val="20"/>
                <w:szCs w:val="20"/>
              </w:rPr>
            </w:pPr>
            <w:r w:rsidRPr="000F314A">
              <w:rPr>
                <w:sz w:val="20"/>
                <w:szCs w:val="20"/>
              </w:rPr>
              <w:t xml:space="preserve">means a </w:t>
            </w:r>
            <w:r w:rsidRPr="000F314A">
              <w:rPr>
                <w:bCs/>
                <w:sz w:val="20"/>
                <w:szCs w:val="20"/>
              </w:rPr>
              <w:t>consumer</w:t>
            </w:r>
            <w:r w:rsidRPr="000F314A">
              <w:rPr>
                <w:sz w:val="20"/>
                <w:szCs w:val="20"/>
              </w:rPr>
              <w:t xml:space="preserve"> of the GTB that has a </w:t>
            </w:r>
            <w:r w:rsidRPr="000F314A">
              <w:rPr>
                <w:bCs/>
                <w:sz w:val="20"/>
                <w:szCs w:val="20"/>
              </w:rPr>
              <w:t>standard contract</w:t>
            </w:r>
            <w:r w:rsidRPr="000F314A">
              <w:rPr>
                <w:sz w:val="20"/>
                <w:szCs w:val="20"/>
              </w:rPr>
              <w:t xml:space="preserve"> with that </w:t>
            </w:r>
            <w:r w:rsidRPr="000F314A">
              <w:rPr>
                <w:bCs/>
                <w:sz w:val="20"/>
                <w:szCs w:val="20"/>
              </w:rPr>
              <w:t>GTB</w:t>
            </w:r>
            <w:r w:rsidRPr="000F314A">
              <w:rPr>
                <w:sz w:val="20"/>
                <w:szCs w:val="20"/>
              </w:rPr>
              <w:t xml:space="preserve"> for the provision of gas pipeline services</w:t>
            </w:r>
          </w:p>
        </w:tc>
      </w:tr>
      <w:tr w:rsidR="00213934" w:rsidRPr="000F314A" w:rsidTr="00EA01E1">
        <w:trPr>
          <w:cantSplit/>
          <w:trHeight w:val="20"/>
        </w:trPr>
        <w:tc>
          <w:tcPr>
            <w:tcW w:w="0" w:type="auto"/>
          </w:tcPr>
          <w:p w:rsidR="00213934" w:rsidRPr="000F314A" w:rsidRDefault="00213934" w:rsidP="004C02C0">
            <w:pPr>
              <w:pStyle w:val="BodyText"/>
              <w:rPr>
                <w:sz w:val="20"/>
                <w:szCs w:val="20"/>
              </w:rPr>
            </w:pPr>
            <w:r w:rsidRPr="000F314A">
              <w:rPr>
                <w:color w:val="000000"/>
                <w:sz w:val="20"/>
                <w:szCs w:val="20"/>
                <w:lang w:val="en-AU"/>
              </w:rPr>
              <w:t>System length (km) (at year end)</w:t>
            </w:r>
          </w:p>
        </w:tc>
        <w:tc>
          <w:tcPr>
            <w:tcW w:w="0" w:type="auto"/>
          </w:tcPr>
          <w:p w:rsidR="00213934" w:rsidRPr="000F314A" w:rsidRDefault="00213934" w:rsidP="005A23C3">
            <w:pPr>
              <w:pStyle w:val="Tablebodytext"/>
              <w:rPr>
                <w:sz w:val="20"/>
                <w:szCs w:val="20"/>
              </w:rPr>
            </w:pPr>
            <w:r w:rsidRPr="000F314A">
              <w:rPr>
                <w:sz w:val="20"/>
                <w:szCs w:val="20"/>
                <w:lang w:val="en-AU"/>
              </w:rPr>
              <w:t>The total length of pipeline (in kilometres) that form the transmission system as at the end of the current disclosure year</w:t>
            </w:r>
          </w:p>
        </w:tc>
      </w:tr>
      <w:tr w:rsidR="000A1CAB" w:rsidRPr="000F314A" w:rsidTr="00EA01E1">
        <w:trPr>
          <w:cantSplit/>
          <w:trHeight w:val="20"/>
        </w:trPr>
        <w:tc>
          <w:tcPr>
            <w:tcW w:w="0" w:type="auto"/>
          </w:tcPr>
          <w:p w:rsidR="000A1CAB" w:rsidRPr="000F314A" w:rsidRDefault="000A1CAB" w:rsidP="00470BCF">
            <w:pPr>
              <w:pStyle w:val="BodyText"/>
              <w:spacing w:line="264" w:lineRule="auto"/>
              <w:rPr>
                <w:sz w:val="20"/>
                <w:szCs w:val="20"/>
              </w:rPr>
            </w:pPr>
            <w:r w:rsidRPr="000F314A">
              <w:rPr>
                <w:sz w:val="20"/>
                <w:szCs w:val="20"/>
              </w:rPr>
              <w:t xml:space="preserve">Network support </w:t>
            </w:r>
          </w:p>
        </w:tc>
        <w:tc>
          <w:tcPr>
            <w:tcW w:w="0" w:type="auto"/>
          </w:tcPr>
          <w:p w:rsidR="000A1CAB" w:rsidRPr="000F314A" w:rsidRDefault="000A1CAB" w:rsidP="004D1973">
            <w:pPr>
              <w:spacing w:line="264" w:lineRule="auto"/>
              <w:rPr>
                <w:sz w:val="20"/>
                <w:szCs w:val="20"/>
              </w:rPr>
            </w:pPr>
            <w:r w:rsidRPr="000F314A">
              <w:rPr>
                <w:sz w:val="20"/>
                <w:szCs w:val="20"/>
              </w:rPr>
              <w:t>In respect of operational expenditure means costs where the primary driver is the management of the network including:</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asset management planning including preparation of the AMP, load forecasting, network modelling</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network and engineering design (excluding design costs capitalised for capital projects)</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 xml:space="preserve">network policy development (including the development of environmental, technical and engineering policies) </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standards and manuals for network management</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network record keeping and asset management databases including GIS</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outage recording</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connection and customer records/customer management databases</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customer queries and call centres (not associated with direct billing)</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operational training for network management and field staff</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operational vehicles and transport</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IT &amp; telecoms for network management (including IT support for asset management systems)</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day to day customer management including responding to queries on new connections, disconnections and reconnections</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engineering and technical consulting</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network planning and system studies</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logistics (procurement) and stores</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network asset site expenses and leases</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route/easement management (including locating pipelines for third parties, mark cuts, stand-</w:t>
            </w:r>
            <w:proofErr w:type="spellStart"/>
            <w:r w:rsidRPr="000F314A">
              <w:rPr>
                <w:sz w:val="20"/>
                <w:szCs w:val="20"/>
              </w:rPr>
              <w:t>overs</w:t>
            </w:r>
            <w:proofErr w:type="spellEnd"/>
            <w:r w:rsidRPr="000F314A">
              <w:rPr>
                <w:sz w:val="20"/>
                <w:szCs w:val="20"/>
              </w:rPr>
              <w:t xml:space="preserve">, obstructions, plans and permits) </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surveying of new sites to identify work requirements</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engineering/technical consulting services (excluding costs capitalised for capital projects)</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contractor/contracts management (excluding costs capitalised for capital projects)</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transmission operator liaison and management</w:t>
            </w:r>
          </w:p>
          <w:p w:rsidR="000A1CAB" w:rsidRPr="000F314A" w:rsidRDefault="000A1CAB" w:rsidP="000A1CAB">
            <w:pPr>
              <w:pStyle w:val="Bullet"/>
              <w:numPr>
                <w:ilvl w:val="0"/>
                <w:numId w:val="17"/>
              </w:numPr>
              <w:tabs>
                <w:tab w:val="num" w:pos="317"/>
              </w:tabs>
              <w:spacing w:before="60" w:after="60" w:line="264" w:lineRule="auto"/>
              <w:ind w:left="318" w:hanging="318"/>
              <w:rPr>
                <w:sz w:val="20"/>
                <w:szCs w:val="20"/>
              </w:rPr>
            </w:pPr>
            <w:r w:rsidRPr="000F314A">
              <w:rPr>
                <w:sz w:val="20"/>
                <w:szCs w:val="20"/>
              </w:rPr>
              <w:t>network related research and development</w:t>
            </w:r>
          </w:p>
        </w:tc>
      </w:tr>
      <w:tr w:rsidR="00470BCF" w:rsidRPr="000F314A" w:rsidTr="00EA01E1">
        <w:trPr>
          <w:cantSplit/>
          <w:trHeight w:val="20"/>
        </w:trPr>
        <w:tc>
          <w:tcPr>
            <w:tcW w:w="0" w:type="auto"/>
          </w:tcPr>
          <w:p w:rsidR="00470BCF" w:rsidRPr="000F314A" w:rsidRDefault="00470BCF" w:rsidP="004D1973">
            <w:pPr>
              <w:pStyle w:val="BodyText"/>
              <w:spacing w:line="264" w:lineRule="auto"/>
              <w:rPr>
                <w:sz w:val="20"/>
                <w:szCs w:val="20"/>
              </w:rPr>
            </w:pPr>
            <w:r w:rsidRPr="000F314A">
              <w:rPr>
                <w:sz w:val="20"/>
                <w:szCs w:val="20"/>
              </w:rPr>
              <w:t xml:space="preserve">System operations </w:t>
            </w:r>
          </w:p>
        </w:tc>
        <w:tc>
          <w:tcPr>
            <w:tcW w:w="0" w:type="auto"/>
          </w:tcPr>
          <w:p w:rsidR="00470BCF" w:rsidRPr="000F314A" w:rsidRDefault="00470BCF" w:rsidP="004D1973">
            <w:pPr>
              <w:rPr>
                <w:sz w:val="20"/>
                <w:szCs w:val="20"/>
              </w:rPr>
            </w:pPr>
            <w:r w:rsidRPr="000F314A">
              <w:rPr>
                <w:sz w:val="20"/>
                <w:szCs w:val="20"/>
              </w:rPr>
              <w:t xml:space="preserve">in relation to expenditure, means operational expenditure relating to office based system operations, including </w:t>
            </w:r>
          </w:p>
          <w:p w:rsidR="00470BCF" w:rsidRPr="000F314A" w:rsidRDefault="00470BCF" w:rsidP="00470BCF">
            <w:pPr>
              <w:pStyle w:val="Bullet"/>
              <w:numPr>
                <w:ilvl w:val="0"/>
                <w:numId w:val="17"/>
              </w:numPr>
              <w:tabs>
                <w:tab w:val="num" w:pos="709"/>
              </w:tabs>
              <w:spacing w:before="60" w:after="60" w:line="264" w:lineRule="auto"/>
              <w:ind w:left="709" w:hanging="709"/>
              <w:rPr>
                <w:sz w:val="20"/>
                <w:szCs w:val="20"/>
              </w:rPr>
            </w:pPr>
            <w:r w:rsidRPr="000F314A">
              <w:rPr>
                <w:sz w:val="20"/>
                <w:szCs w:val="20"/>
              </w:rPr>
              <w:t xml:space="preserve">control centre costs </w:t>
            </w:r>
          </w:p>
          <w:p w:rsidR="00470BCF" w:rsidRPr="000F314A" w:rsidRDefault="00470BCF" w:rsidP="00470BCF">
            <w:pPr>
              <w:pStyle w:val="Bullet"/>
              <w:numPr>
                <w:ilvl w:val="0"/>
                <w:numId w:val="17"/>
              </w:numPr>
              <w:tabs>
                <w:tab w:val="num" w:pos="709"/>
              </w:tabs>
              <w:spacing w:before="60" w:after="60" w:line="264" w:lineRule="auto"/>
              <w:ind w:left="709" w:hanging="709"/>
              <w:rPr>
                <w:sz w:val="20"/>
                <w:szCs w:val="20"/>
              </w:rPr>
            </w:pPr>
            <w:r w:rsidRPr="000F314A">
              <w:rPr>
                <w:sz w:val="20"/>
                <w:szCs w:val="20"/>
              </w:rPr>
              <w:t>for gas transmission, critical system operator activities (including OATIS)</w:t>
            </w:r>
          </w:p>
          <w:p w:rsidR="00470BCF" w:rsidRPr="000F314A" w:rsidRDefault="00470BCF" w:rsidP="00470BCF">
            <w:pPr>
              <w:pStyle w:val="Bullet"/>
              <w:numPr>
                <w:ilvl w:val="0"/>
                <w:numId w:val="17"/>
              </w:numPr>
              <w:tabs>
                <w:tab w:val="num" w:pos="709"/>
              </w:tabs>
              <w:spacing w:before="60" w:after="60" w:line="264" w:lineRule="auto"/>
              <w:ind w:left="709" w:hanging="709"/>
              <w:rPr>
                <w:sz w:val="20"/>
                <w:szCs w:val="20"/>
              </w:rPr>
            </w:pPr>
            <w:r w:rsidRPr="000F314A">
              <w:rPr>
                <w:sz w:val="20"/>
                <w:szCs w:val="20"/>
              </w:rPr>
              <w:t>outage planning and notification</w:t>
            </w:r>
          </w:p>
          <w:p w:rsidR="00470BCF" w:rsidRPr="000F314A" w:rsidRDefault="00470BCF" w:rsidP="00470BCF">
            <w:pPr>
              <w:pStyle w:val="Bullet"/>
              <w:numPr>
                <w:ilvl w:val="0"/>
                <w:numId w:val="17"/>
              </w:numPr>
              <w:tabs>
                <w:tab w:val="num" w:pos="709"/>
              </w:tabs>
              <w:spacing w:before="60" w:after="60" w:line="264" w:lineRule="auto"/>
              <w:ind w:left="709" w:hanging="709"/>
              <w:rPr>
                <w:sz w:val="20"/>
                <w:szCs w:val="20"/>
              </w:rPr>
            </w:pPr>
            <w:r w:rsidRPr="000F314A">
              <w:rPr>
                <w:sz w:val="20"/>
                <w:szCs w:val="20"/>
              </w:rPr>
              <w:t xml:space="preserve">planning and co-ordinating network switching including fault switching </w:t>
            </w:r>
          </w:p>
          <w:p w:rsidR="00470BCF" w:rsidRPr="000F314A" w:rsidRDefault="00470BCF" w:rsidP="00470BCF">
            <w:pPr>
              <w:pStyle w:val="Bullet"/>
              <w:numPr>
                <w:ilvl w:val="0"/>
                <w:numId w:val="17"/>
              </w:numPr>
              <w:tabs>
                <w:tab w:val="num" w:pos="709"/>
              </w:tabs>
              <w:spacing w:before="60" w:after="60" w:line="264" w:lineRule="auto"/>
              <w:ind w:left="709" w:hanging="709"/>
              <w:rPr>
                <w:sz w:val="20"/>
                <w:szCs w:val="20"/>
              </w:rPr>
            </w:pPr>
            <w:r w:rsidRPr="000F314A">
              <w:rPr>
                <w:sz w:val="20"/>
                <w:szCs w:val="20"/>
              </w:rPr>
              <w:t xml:space="preserve">production facility liaison </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Tax depreciation</w:t>
            </w:r>
          </w:p>
        </w:tc>
        <w:tc>
          <w:tcPr>
            <w:tcW w:w="0" w:type="auto"/>
          </w:tcPr>
          <w:p w:rsidR="00470BCF" w:rsidRPr="000F314A" w:rsidRDefault="00470BCF" w:rsidP="005A23C3">
            <w:pPr>
              <w:tabs>
                <w:tab w:val="left" w:pos="4045"/>
              </w:tabs>
              <w:spacing w:line="264" w:lineRule="auto"/>
              <w:rPr>
                <w:sz w:val="20"/>
                <w:szCs w:val="20"/>
              </w:rPr>
            </w:pPr>
            <w:r w:rsidRPr="000F314A">
              <w:rPr>
                <w:rFonts w:cs="Arial"/>
                <w:sz w:val="20"/>
                <w:szCs w:val="20"/>
                <w:lang w:eastAsia="en-NZ"/>
              </w:rPr>
              <w:t>has the meaning set out in clause 2.3.5(3) of the</w:t>
            </w:r>
            <w:r w:rsidRPr="000F314A">
              <w:rPr>
                <w:rFonts w:cs="Arial"/>
                <w:bCs/>
                <w:sz w:val="20"/>
                <w:szCs w:val="20"/>
                <w:lang w:eastAsia="en-NZ"/>
              </w:rPr>
              <w:t xml:space="preserve"> 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 xml:space="preserve">Tax effect  </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has the meaning set out in the</w:t>
            </w:r>
            <w:r w:rsidRPr="000F314A">
              <w:rPr>
                <w:rFonts w:cs="Arial"/>
                <w:bCs/>
                <w:sz w:val="20"/>
                <w:szCs w:val="20"/>
                <w:lang w:eastAsia="en-NZ"/>
              </w:rPr>
              <w:t xml:space="preserve"> 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Tax effect of adjusted depreciation</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 xml:space="preserve">means the </w:t>
            </w:r>
            <w:r w:rsidRPr="000F314A">
              <w:rPr>
                <w:rFonts w:cs="Arial"/>
                <w:bCs/>
                <w:sz w:val="20"/>
                <w:szCs w:val="20"/>
                <w:lang w:eastAsia="en-NZ"/>
              </w:rPr>
              <w:t>tax effect</w:t>
            </w:r>
            <w:r w:rsidRPr="000F314A">
              <w:rPr>
                <w:rFonts w:cs="Arial"/>
                <w:sz w:val="20"/>
                <w:szCs w:val="20"/>
                <w:lang w:eastAsia="en-NZ"/>
              </w:rPr>
              <w:t xml:space="preserve"> of </w:t>
            </w:r>
            <w:r w:rsidRPr="000F314A">
              <w:rPr>
                <w:rFonts w:cs="Arial"/>
                <w:bCs/>
                <w:sz w:val="20"/>
                <w:szCs w:val="20"/>
                <w:lang w:eastAsia="en-NZ"/>
              </w:rPr>
              <w:t>adjusted depreciation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Tax effect of other temporary differences</w:t>
            </w:r>
          </w:p>
        </w:tc>
        <w:tc>
          <w:tcPr>
            <w:tcW w:w="0" w:type="auto"/>
          </w:tcPr>
          <w:p w:rsidR="00470BCF" w:rsidRPr="000F314A" w:rsidRDefault="00470BCF" w:rsidP="005A23C3">
            <w:pPr>
              <w:tabs>
                <w:tab w:val="left" w:pos="4045"/>
              </w:tabs>
              <w:spacing w:line="264" w:lineRule="auto"/>
              <w:rPr>
                <w:rFonts w:cs="Arial"/>
                <w:sz w:val="20"/>
                <w:szCs w:val="20"/>
                <w:lang w:eastAsia="en-NZ"/>
              </w:rPr>
            </w:pPr>
            <w:proofErr w:type="gramStart"/>
            <w:r w:rsidRPr="000F314A">
              <w:rPr>
                <w:rFonts w:cs="Arial"/>
                <w:sz w:val="20"/>
                <w:szCs w:val="20"/>
                <w:lang w:eastAsia="en-NZ"/>
              </w:rPr>
              <w:t>means</w:t>
            </w:r>
            <w:proofErr w:type="gramEnd"/>
            <w:r w:rsidRPr="000F314A">
              <w:rPr>
                <w:rFonts w:cs="Arial"/>
                <w:sz w:val="20"/>
                <w:szCs w:val="20"/>
                <w:lang w:eastAsia="en-NZ"/>
              </w:rPr>
              <w:t xml:space="preserve"> the</w:t>
            </w:r>
            <w:r w:rsidRPr="000F314A">
              <w:rPr>
                <w:rFonts w:cs="Arial"/>
                <w:bCs/>
                <w:sz w:val="20"/>
                <w:szCs w:val="20"/>
                <w:lang w:eastAsia="en-NZ"/>
              </w:rPr>
              <w:t xml:space="preserve"> tax effect</w:t>
            </w:r>
            <w:r w:rsidRPr="000F314A">
              <w:rPr>
                <w:rFonts w:cs="Arial"/>
                <w:sz w:val="20"/>
                <w:szCs w:val="20"/>
                <w:lang w:eastAsia="en-NZ"/>
              </w:rPr>
              <w:t xml:space="preserve"> of positive temporary differences less negative temporary differences. Positive temporary differences and negative temporary differences have the meanings set out in clause 2.3.5 of the 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Tax effect of total tax depreciation</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means the</w:t>
            </w:r>
            <w:r w:rsidRPr="000F314A">
              <w:rPr>
                <w:rFonts w:cs="Arial"/>
                <w:bCs/>
                <w:sz w:val="20"/>
                <w:szCs w:val="20"/>
                <w:lang w:eastAsia="en-NZ"/>
              </w:rPr>
              <w:t xml:space="preserve"> tax effect </w:t>
            </w:r>
            <w:r w:rsidRPr="000F314A">
              <w:rPr>
                <w:rFonts w:cs="Arial"/>
                <w:sz w:val="20"/>
                <w:szCs w:val="20"/>
                <w:lang w:eastAsia="en-NZ"/>
              </w:rPr>
              <w:t xml:space="preserve">of </w:t>
            </w:r>
            <w:r w:rsidRPr="000F314A">
              <w:rPr>
                <w:rFonts w:cs="Arial"/>
                <w:bCs/>
                <w:sz w:val="20"/>
                <w:szCs w:val="20"/>
                <w:lang w:eastAsia="en-NZ"/>
              </w:rPr>
              <w:t>tax depreciation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Tax payments</w:t>
            </w:r>
          </w:p>
        </w:tc>
        <w:tc>
          <w:tcPr>
            <w:tcW w:w="0" w:type="auto"/>
          </w:tcPr>
          <w:p w:rsidR="00470BCF" w:rsidRPr="000F314A" w:rsidRDefault="00470BCF" w:rsidP="005A23C3">
            <w:pPr>
              <w:rPr>
                <w:sz w:val="20"/>
                <w:szCs w:val="20"/>
              </w:rPr>
            </w:pPr>
            <w:r w:rsidRPr="000F314A">
              <w:rPr>
                <w:sz w:val="20"/>
                <w:szCs w:val="20"/>
              </w:rPr>
              <w:t>means regulatory tax allowance recognised proportionally to how the GTB has paid (or would have paid tax) over the tax year preceding the end of the disclosure year</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Term credit spread difference</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has the meaning set out in the</w:t>
            </w:r>
            <w:r w:rsidRPr="000F314A">
              <w:rPr>
                <w:rFonts w:cs="Arial"/>
                <w:bCs/>
                <w:sz w:val="20"/>
                <w:szCs w:val="20"/>
                <w:lang w:eastAsia="en-NZ"/>
              </w:rPr>
              <w:t xml:space="preserve"> 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Term credit spread differential allowance</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 xml:space="preserve">has the same meaning as the 'term credit spread differential' as set out in clause 2.4.11(3) of the </w:t>
            </w:r>
            <w:r w:rsidRPr="000F314A">
              <w:rPr>
                <w:rFonts w:cs="Arial"/>
                <w:bCs/>
                <w:sz w:val="20"/>
                <w:szCs w:val="20"/>
                <w:lang w:eastAsia="en-NZ"/>
              </w:rPr>
              <w:t>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Total attributable to regulated service</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means the sum of directly attributable and not directly attributable that is attributable to gas transmission services</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Total book value of interest bearing debt</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 xml:space="preserve">means the sum of </w:t>
            </w:r>
            <w:r w:rsidRPr="000F314A">
              <w:rPr>
                <w:rFonts w:cs="Arial"/>
                <w:bCs/>
                <w:sz w:val="20"/>
                <w:szCs w:val="20"/>
                <w:lang w:eastAsia="en-NZ"/>
              </w:rPr>
              <w:t>book value</w:t>
            </w:r>
            <w:r w:rsidRPr="000F314A">
              <w:rPr>
                <w:rFonts w:cs="Arial"/>
                <w:sz w:val="20"/>
                <w:szCs w:val="20"/>
                <w:lang w:eastAsia="en-NZ"/>
              </w:rPr>
              <w:t xml:space="preserve"> of </w:t>
            </w:r>
            <w:r w:rsidRPr="000F314A">
              <w:rPr>
                <w:rFonts w:cs="Arial"/>
                <w:bCs/>
                <w:sz w:val="20"/>
                <w:szCs w:val="20"/>
                <w:lang w:eastAsia="en-NZ"/>
              </w:rPr>
              <w:t>qualifying debt</w:t>
            </w:r>
            <w:r w:rsidRPr="000F314A">
              <w:rPr>
                <w:rFonts w:cs="Arial"/>
                <w:sz w:val="20"/>
                <w:szCs w:val="20"/>
                <w:lang w:eastAsia="en-NZ"/>
              </w:rPr>
              <w:t xml:space="preserve"> and </w:t>
            </w:r>
            <w:r w:rsidRPr="000F314A">
              <w:rPr>
                <w:rFonts w:cs="Arial"/>
                <w:bCs/>
                <w:sz w:val="20"/>
                <w:szCs w:val="20"/>
                <w:lang w:eastAsia="en-NZ"/>
              </w:rPr>
              <w:t>non-qualifying debt</w:t>
            </w:r>
            <w:r w:rsidRPr="000F314A">
              <w:rPr>
                <w:rFonts w:cs="Arial"/>
                <w:sz w:val="20"/>
                <w:szCs w:val="20"/>
                <w:lang w:eastAsia="en-NZ"/>
              </w:rPr>
              <w:t xml:space="preserve"> at the date of the latest general purpose financial statements</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Total closing RAB values</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means:</w:t>
            </w:r>
          </w:p>
          <w:p w:rsidR="00470BCF" w:rsidRPr="000F314A" w:rsidRDefault="00470BCF" w:rsidP="005A23C3">
            <w:pPr>
              <w:tabs>
                <w:tab w:val="left" w:pos="4045"/>
              </w:tabs>
              <w:spacing w:line="264" w:lineRule="auto"/>
              <w:ind w:left="459" w:hanging="425"/>
              <w:rPr>
                <w:rFonts w:cs="Arial"/>
                <w:bCs/>
                <w:sz w:val="20"/>
                <w:szCs w:val="20"/>
                <w:lang w:eastAsia="en-NZ"/>
              </w:rPr>
            </w:pPr>
            <w:r w:rsidRPr="000F314A">
              <w:rPr>
                <w:rFonts w:cs="Arial"/>
                <w:sz w:val="20"/>
                <w:szCs w:val="20"/>
                <w:lang w:eastAsia="en-NZ"/>
              </w:rPr>
              <w:t>(a)</w:t>
            </w:r>
            <w:r w:rsidRPr="000F314A">
              <w:rPr>
                <w:rFonts w:cs="Arial"/>
                <w:sz w:val="20"/>
                <w:szCs w:val="20"/>
                <w:lang w:eastAsia="en-NZ"/>
              </w:rPr>
              <w:tab/>
              <w:t xml:space="preserve">in relation to the </w:t>
            </w:r>
            <w:r w:rsidRPr="000F314A">
              <w:rPr>
                <w:rFonts w:cs="Arial"/>
                <w:bCs/>
                <w:sz w:val="20"/>
                <w:szCs w:val="20"/>
                <w:lang w:eastAsia="en-NZ"/>
              </w:rPr>
              <w:t>unallocated RAB</w:t>
            </w:r>
            <w:r w:rsidRPr="000F314A">
              <w:rPr>
                <w:rFonts w:cs="Arial"/>
                <w:sz w:val="20"/>
                <w:szCs w:val="20"/>
                <w:lang w:eastAsia="en-NZ"/>
              </w:rPr>
              <w:t xml:space="preserve">, the sum of unallocated closing RAB values as determined in accordance with the </w:t>
            </w:r>
            <w:r w:rsidRPr="000F314A">
              <w:rPr>
                <w:rFonts w:cs="Arial"/>
                <w:bCs/>
                <w:sz w:val="20"/>
                <w:szCs w:val="20"/>
                <w:lang w:eastAsia="en-NZ"/>
              </w:rPr>
              <w:t>IM determination;</w:t>
            </w:r>
          </w:p>
          <w:p w:rsidR="00470BCF" w:rsidRPr="000F314A" w:rsidRDefault="00470BCF" w:rsidP="005A23C3">
            <w:pPr>
              <w:tabs>
                <w:tab w:val="left" w:pos="4045"/>
              </w:tabs>
              <w:spacing w:line="264" w:lineRule="auto"/>
              <w:ind w:left="459" w:hanging="425"/>
              <w:rPr>
                <w:rFonts w:cs="Arial"/>
                <w:sz w:val="20"/>
                <w:szCs w:val="20"/>
                <w:lang w:eastAsia="en-NZ"/>
              </w:rPr>
            </w:pPr>
            <w:r w:rsidRPr="000F314A">
              <w:rPr>
                <w:rFonts w:cs="Arial"/>
                <w:sz w:val="20"/>
                <w:szCs w:val="20"/>
                <w:lang w:eastAsia="en-NZ"/>
              </w:rPr>
              <w:t>(b)</w:t>
            </w:r>
            <w:r w:rsidRPr="000F314A">
              <w:rPr>
                <w:rFonts w:cs="Arial"/>
                <w:sz w:val="20"/>
                <w:szCs w:val="20"/>
                <w:lang w:eastAsia="en-NZ"/>
              </w:rPr>
              <w:tab/>
              <w:t xml:space="preserve">in relation to the </w:t>
            </w:r>
            <w:r w:rsidRPr="000F314A">
              <w:rPr>
                <w:rFonts w:cs="Arial"/>
                <w:bCs/>
                <w:sz w:val="20"/>
                <w:szCs w:val="20"/>
                <w:lang w:eastAsia="en-NZ"/>
              </w:rPr>
              <w:t>RAB</w:t>
            </w:r>
            <w:r w:rsidRPr="000F314A">
              <w:rPr>
                <w:rFonts w:cs="Arial"/>
                <w:sz w:val="20"/>
                <w:szCs w:val="20"/>
                <w:lang w:eastAsia="en-NZ"/>
              </w:rPr>
              <w:t xml:space="preserve">, the sum of closing RAB values as determined in accordance with the </w:t>
            </w:r>
            <w:r w:rsidRPr="000F314A">
              <w:rPr>
                <w:rFonts w:cs="Arial"/>
                <w:bCs/>
                <w:sz w:val="20"/>
                <w:szCs w:val="20"/>
                <w:lang w:eastAsia="en-NZ"/>
              </w:rPr>
              <w:t>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Total CPI revaluations</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means:</w:t>
            </w:r>
          </w:p>
          <w:p w:rsidR="00470BCF" w:rsidRPr="000F314A" w:rsidRDefault="00470BCF" w:rsidP="005A23C3">
            <w:pPr>
              <w:tabs>
                <w:tab w:val="left" w:pos="4045"/>
              </w:tabs>
              <w:spacing w:line="264" w:lineRule="auto"/>
              <w:ind w:left="459" w:hanging="459"/>
              <w:rPr>
                <w:rFonts w:cs="Arial"/>
                <w:sz w:val="20"/>
                <w:szCs w:val="20"/>
                <w:lang w:eastAsia="en-NZ"/>
              </w:rPr>
            </w:pPr>
            <w:r w:rsidRPr="000F314A">
              <w:rPr>
                <w:rFonts w:cs="Arial"/>
                <w:sz w:val="20"/>
                <w:szCs w:val="20"/>
                <w:lang w:eastAsia="en-NZ"/>
              </w:rPr>
              <w:t>(a)</w:t>
            </w:r>
            <w:r w:rsidRPr="000F314A">
              <w:rPr>
                <w:rFonts w:cs="Arial"/>
                <w:sz w:val="20"/>
                <w:szCs w:val="20"/>
                <w:lang w:eastAsia="en-NZ"/>
              </w:rPr>
              <w:tab/>
              <w:t xml:space="preserve">in relation to the </w:t>
            </w:r>
            <w:r w:rsidRPr="000F314A">
              <w:rPr>
                <w:rFonts w:cs="Arial"/>
                <w:bCs/>
                <w:sz w:val="20"/>
                <w:szCs w:val="20"/>
                <w:lang w:eastAsia="en-NZ"/>
              </w:rPr>
              <w:t>unallocated RAB</w:t>
            </w:r>
            <w:r w:rsidRPr="000F314A">
              <w:rPr>
                <w:rFonts w:cs="Arial"/>
                <w:sz w:val="20"/>
                <w:szCs w:val="20"/>
                <w:lang w:eastAsia="en-NZ"/>
              </w:rPr>
              <w:t xml:space="preserve">, the sum of unallocated revaluation as determined in accordance with the </w:t>
            </w:r>
            <w:r w:rsidRPr="000F314A">
              <w:rPr>
                <w:rFonts w:cs="Arial"/>
                <w:bCs/>
                <w:sz w:val="20"/>
                <w:szCs w:val="20"/>
                <w:lang w:eastAsia="en-NZ"/>
              </w:rPr>
              <w:t>IM determination</w:t>
            </w:r>
            <w:r w:rsidRPr="000F314A">
              <w:rPr>
                <w:rFonts w:cs="Arial"/>
                <w:sz w:val="20"/>
                <w:szCs w:val="20"/>
                <w:lang w:eastAsia="en-NZ"/>
              </w:rPr>
              <w:t>;</w:t>
            </w:r>
          </w:p>
          <w:p w:rsidR="00470BCF" w:rsidRPr="000F314A" w:rsidRDefault="00470BCF" w:rsidP="005A23C3">
            <w:pPr>
              <w:tabs>
                <w:tab w:val="left" w:pos="4045"/>
              </w:tabs>
              <w:spacing w:line="264" w:lineRule="auto"/>
              <w:ind w:left="459" w:hanging="459"/>
              <w:rPr>
                <w:rFonts w:cs="Arial"/>
                <w:sz w:val="20"/>
                <w:szCs w:val="20"/>
                <w:lang w:eastAsia="en-NZ"/>
              </w:rPr>
            </w:pPr>
            <w:r w:rsidRPr="000F314A">
              <w:rPr>
                <w:rFonts w:cs="Arial"/>
                <w:sz w:val="20"/>
                <w:szCs w:val="20"/>
                <w:lang w:eastAsia="en-NZ"/>
              </w:rPr>
              <w:t>(b)</w:t>
            </w:r>
            <w:r w:rsidRPr="000F314A">
              <w:rPr>
                <w:rFonts w:cs="Arial"/>
                <w:sz w:val="20"/>
                <w:szCs w:val="20"/>
                <w:lang w:eastAsia="en-NZ"/>
              </w:rPr>
              <w:tab/>
              <w:t xml:space="preserve">in relation to the </w:t>
            </w:r>
            <w:r w:rsidRPr="000F314A">
              <w:rPr>
                <w:rFonts w:cs="Arial"/>
                <w:bCs/>
                <w:sz w:val="20"/>
                <w:szCs w:val="20"/>
                <w:lang w:eastAsia="en-NZ"/>
              </w:rPr>
              <w:t>RAB or regulatory profit,</w:t>
            </w:r>
            <w:r w:rsidRPr="000F314A">
              <w:rPr>
                <w:rFonts w:cs="Arial"/>
                <w:sz w:val="20"/>
                <w:szCs w:val="20"/>
                <w:lang w:eastAsia="en-NZ"/>
              </w:rPr>
              <w:t xml:space="preserve"> the sum of revaluations as determined in accordance with the </w:t>
            </w:r>
            <w:r w:rsidRPr="000F314A">
              <w:rPr>
                <w:rFonts w:cs="Arial"/>
                <w:bCs/>
                <w:sz w:val="20"/>
                <w:szCs w:val="20"/>
                <w:lang w:eastAsia="en-NZ"/>
              </w:rPr>
              <w:t>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Total depreciation</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means:</w:t>
            </w:r>
          </w:p>
          <w:p w:rsidR="00470BCF" w:rsidRPr="000F314A" w:rsidRDefault="00470BCF" w:rsidP="005A23C3">
            <w:pPr>
              <w:tabs>
                <w:tab w:val="left" w:pos="4045"/>
              </w:tabs>
              <w:spacing w:line="264" w:lineRule="auto"/>
              <w:ind w:left="459" w:hanging="459"/>
              <w:rPr>
                <w:rFonts w:cs="Arial"/>
                <w:sz w:val="20"/>
                <w:szCs w:val="20"/>
                <w:lang w:eastAsia="en-NZ"/>
              </w:rPr>
            </w:pPr>
            <w:r w:rsidRPr="000F314A">
              <w:rPr>
                <w:rFonts w:cs="Arial"/>
                <w:sz w:val="20"/>
                <w:szCs w:val="20"/>
                <w:lang w:eastAsia="en-NZ"/>
              </w:rPr>
              <w:t>(a)</w:t>
            </w:r>
            <w:r w:rsidRPr="000F314A">
              <w:rPr>
                <w:rFonts w:cs="Arial"/>
                <w:sz w:val="20"/>
                <w:szCs w:val="20"/>
                <w:lang w:eastAsia="en-NZ"/>
              </w:rPr>
              <w:tab/>
              <w:t>in relation to the unallocated RAB, the sum of unallocated depreciation as determined in accordance with the IM determination;</w:t>
            </w:r>
          </w:p>
          <w:p w:rsidR="00470BCF" w:rsidRPr="000F314A" w:rsidRDefault="00470BCF" w:rsidP="005A23C3">
            <w:pPr>
              <w:tabs>
                <w:tab w:val="left" w:pos="4045"/>
              </w:tabs>
              <w:spacing w:line="264" w:lineRule="auto"/>
              <w:ind w:left="459" w:hanging="459"/>
              <w:rPr>
                <w:rFonts w:cs="Arial"/>
                <w:sz w:val="20"/>
                <w:szCs w:val="20"/>
                <w:lang w:eastAsia="en-NZ"/>
              </w:rPr>
            </w:pPr>
            <w:r w:rsidRPr="000F314A">
              <w:rPr>
                <w:rFonts w:cs="Arial"/>
                <w:sz w:val="20"/>
                <w:szCs w:val="20"/>
                <w:lang w:eastAsia="en-NZ"/>
              </w:rPr>
              <w:t>(b)</w:t>
            </w:r>
            <w:r w:rsidRPr="000F314A">
              <w:rPr>
                <w:rFonts w:cs="Arial"/>
                <w:sz w:val="20"/>
                <w:szCs w:val="20"/>
                <w:lang w:eastAsia="en-NZ"/>
              </w:rPr>
              <w:tab/>
              <w:t>in relation to the RAB or regulatory profit, the sum of depreciation as determined in accordance with the 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Total expenditure on transmission network</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 xml:space="preserve">means the sum of gross </w:t>
            </w:r>
            <w:r w:rsidRPr="000F314A">
              <w:rPr>
                <w:rFonts w:cs="Arial"/>
                <w:bCs/>
                <w:sz w:val="20"/>
                <w:szCs w:val="20"/>
                <w:lang w:eastAsia="en-NZ"/>
              </w:rPr>
              <w:t>capital expenditure on transmission network</w:t>
            </w:r>
            <w:r w:rsidRPr="000F314A">
              <w:rPr>
                <w:rFonts w:cs="Arial"/>
                <w:sz w:val="20"/>
                <w:szCs w:val="20"/>
                <w:lang w:eastAsia="en-NZ"/>
              </w:rPr>
              <w:t xml:space="preserve"> and o</w:t>
            </w:r>
            <w:r w:rsidRPr="000F314A">
              <w:rPr>
                <w:rFonts w:cs="Arial"/>
                <w:bCs/>
                <w:sz w:val="20"/>
                <w:szCs w:val="20"/>
                <w:lang w:eastAsia="en-NZ"/>
              </w:rPr>
              <w:t>perational expenditure on transmission network</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Total expenditure on transmission network business</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 xml:space="preserve">means the sum of </w:t>
            </w:r>
            <w:r w:rsidRPr="000F314A">
              <w:rPr>
                <w:rFonts w:cs="Arial"/>
                <w:bCs/>
                <w:sz w:val="20"/>
                <w:szCs w:val="20"/>
                <w:lang w:eastAsia="en-NZ"/>
              </w:rPr>
              <w:t>non-system fixed assets plus business support plus direct billing</w:t>
            </w:r>
          </w:p>
        </w:tc>
      </w:tr>
      <w:tr w:rsidR="00470BCF" w:rsidRPr="000F314A" w:rsidTr="00EA01E1">
        <w:trPr>
          <w:cantSplit/>
          <w:trHeight w:val="20"/>
        </w:trPr>
        <w:tc>
          <w:tcPr>
            <w:tcW w:w="0" w:type="auto"/>
          </w:tcPr>
          <w:p w:rsidR="00470BCF" w:rsidRPr="000F314A" w:rsidRDefault="00470BCF" w:rsidP="005A23C3">
            <w:pPr>
              <w:pStyle w:val="Tablebodytext"/>
              <w:rPr>
                <w:sz w:val="20"/>
                <w:szCs w:val="20"/>
              </w:rPr>
            </w:pPr>
            <w:r w:rsidRPr="000F314A">
              <w:rPr>
                <w:sz w:val="20"/>
                <w:szCs w:val="20"/>
              </w:rPr>
              <w:t>Total gas delivered to customers</w:t>
            </w:r>
          </w:p>
        </w:tc>
        <w:tc>
          <w:tcPr>
            <w:tcW w:w="0" w:type="auto"/>
          </w:tcPr>
          <w:p w:rsidR="00470BCF" w:rsidRPr="000F314A" w:rsidRDefault="00470BCF" w:rsidP="005A23C3">
            <w:pPr>
              <w:pStyle w:val="Tablebodytext"/>
              <w:rPr>
                <w:sz w:val="20"/>
                <w:szCs w:val="20"/>
              </w:rPr>
            </w:pPr>
            <w:r w:rsidRPr="000F314A">
              <w:rPr>
                <w:sz w:val="20"/>
                <w:szCs w:val="20"/>
                <w:lang w:val="en-AU"/>
              </w:rPr>
              <w:t xml:space="preserve">Total </w:t>
            </w:r>
            <w:proofErr w:type="spellStart"/>
            <w:r w:rsidRPr="000F314A">
              <w:rPr>
                <w:sz w:val="20"/>
                <w:szCs w:val="20"/>
                <w:lang w:val="en-AU"/>
              </w:rPr>
              <w:t>offtake</w:t>
            </w:r>
            <w:proofErr w:type="spellEnd"/>
            <w:r w:rsidRPr="000F314A">
              <w:rPr>
                <w:sz w:val="20"/>
                <w:szCs w:val="20"/>
                <w:lang w:val="en-AU"/>
              </w:rPr>
              <w:t xml:space="preserve"> volume</w:t>
            </w:r>
          </w:p>
        </w:tc>
      </w:tr>
      <w:tr w:rsidR="00470BCF" w:rsidRPr="000F314A" w:rsidTr="00EA01E1">
        <w:trPr>
          <w:cantSplit/>
          <w:trHeight w:val="20"/>
        </w:trPr>
        <w:tc>
          <w:tcPr>
            <w:tcW w:w="0" w:type="auto"/>
          </w:tcPr>
          <w:p w:rsidR="00470BCF" w:rsidRPr="000F314A" w:rsidRDefault="00470BCF" w:rsidP="005A23C3">
            <w:pPr>
              <w:pStyle w:val="Tablebodytext"/>
              <w:rPr>
                <w:sz w:val="20"/>
                <w:szCs w:val="20"/>
              </w:rPr>
            </w:pPr>
            <w:r w:rsidRPr="000F314A">
              <w:rPr>
                <w:sz w:val="20"/>
                <w:szCs w:val="20"/>
              </w:rPr>
              <w:t xml:space="preserve">Total gas entering the system at injection points </w:t>
            </w:r>
          </w:p>
        </w:tc>
        <w:tc>
          <w:tcPr>
            <w:tcW w:w="0" w:type="auto"/>
          </w:tcPr>
          <w:p w:rsidR="00470BCF" w:rsidRPr="000F314A" w:rsidRDefault="00470BCF" w:rsidP="005A23C3">
            <w:pPr>
              <w:pStyle w:val="Tablebodytext"/>
              <w:rPr>
                <w:sz w:val="20"/>
                <w:szCs w:val="20"/>
              </w:rPr>
            </w:pPr>
            <w:r w:rsidRPr="000F314A">
              <w:rPr>
                <w:sz w:val="20"/>
                <w:szCs w:val="20"/>
                <w:lang w:val="en-AU"/>
              </w:rPr>
              <w:t>Total intake volume</w:t>
            </w:r>
          </w:p>
        </w:tc>
      </w:tr>
      <w:tr w:rsidR="00470BCF" w:rsidRPr="000F314A" w:rsidTr="00EA01E1">
        <w:trPr>
          <w:cantSplit/>
          <w:trHeight w:val="20"/>
        </w:trPr>
        <w:tc>
          <w:tcPr>
            <w:tcW w:w="0" w:type="auto"/>
          </w:tcPr>
          <w:p w:rsidR="00470BCF" w:rsidRPr="000F314A" w:rsidRDefault="00470BCF" w:rsidP="005A23C3">
            <w:pPr>
              <w:pStyle w:val="Tablebodytext"/>
              <w:rPr>
                <w:sz w:val="20"/>
                <w:szCs w:val="20"/>
              </w:rPr>
            </w:pPr>
            <w:r w:rsidRPr="000F314A">
              <w:rPr>
                <w:sz w:val="20"/>
                <w:szCs w:val="20"/>
              </w:rPr>
              <w:t>Total gas used in compressor stations</w:t>
            </w:r>
          </w:p>
        </w:tc>
        <w:tc>
          <w:tcPr>
            <w:tcW w:w="0" w:type="auto"/>
          </w:tcPr>
          <w:p w:rsidR="00470BCF" w:rsidRPr="000F314A" w:rsidRDefault="00470BCF" w:rsidP="005A23C3">
            <w:pPr>
              <w:pStyle w:val="Tablebodytext"/>
              <w:rPr>
                <w:sz w:val="20"/>
                <w:szCs w:val="20"/>
              </w:rPr>
            </w:pPr>
            <w:r w:rsidRPr="000F314A">
              <w:rPr>
                <w:sz w:val="20"/>
                <w:szCs w:val="20"/>
                <w:lang w:val="en-AU"/>
              </w:rPr>
              <w:t>Compressor and heater gas usage</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Total opening RAB values subject to revaluations</w:t>
            </w:r>
          </w:p>
        </w:tc>
        <w:tc>
          <w:tcPr>
            <w:tcW w:w="0" w:type="auto"/>
          </w:tcPr>
          <w:p w:rsidR="00470BCF" w:rsidRPr="000F314A" w:rsidRDefault="00470BCF" w:rsidP="005A23C3">
            <w:pPr>
              <w:spacing w:line="264" w:lineRule="auto"/>
              <w:rPr>
                <w:rFonts w:cs="Arial"/>
                <w:sz w:val="20"/>
                <w:szCs w:val="20"/>
                <w:lang w:eastAsia="en-NZ"/>
              </w:rPr>
            </w:pPr>
            <w:r w:rsidRPr="000F314A">
              <w:rPr>
                <w:rFonts w:cs="Arial"/>
                <w:sz w:val="20"/>
                <w:szCs w:val="20"/>
                <w:lang w:eastAsia="en-NZ"/>
              </w:rPr>
              <w:t>means:</w:t>
            </w:r>
          </w:p>
          <w:p w:rsidR="00470BCF" w:rsidRPr="000F314A" w:rsidRDefault="00470BCF" w:rsidP="00213934">
            <w:pPr>
              <w:pStyle w:val="ListParagraph"/>
              <w:numPr>
                <w:ilvl w:val="4"/>
                <w:numId w:val="83"/>
              </w:numPr>
              <w:spacing w:line="264" w:lineRule="auto"/>
              <w:ind w:left="426" w:hanging="426"/>
              <w:rPr>
                <w:rFonts w:cs="Arial"/>
                <w:sz w:val="20"/>
                <w:szCs w:val="20"/>
                <w:lang w:eastAsia="en-NZ"/>
              </w:rPr>
            </w:pPr>
            <w:r w:rsidRPr="000F314A">
              <w:rPr>
                <w:rFonts w:cs="Arial"/>
                <w:sz w:val="20"/>
                <w:szCs w:val="20"/>
                <w:lang w:eastAsia="en-NZ"/>
              </w:rPr>
              <w:t xml:space="preserve">in relation to the </w:t>
            </w:r>
            <w:r w:rsidRPr="000F314A">
              <w:rPr>
                <w:rFonts w:cs="Arial"/>
                <w:bCs/>
                <w:sz w:val="20"/>
                <w:szCs w:val="20"/>
                <w:lang w:eastAsia="en-NZ"/>
              </w:rPr>
              <w:t>unallocated RAB</w:t>
            </w:r>
            <w:r w:rsidRPr="000F314A">
              <w:rPr>
                <w:rFonts w:cs="Arial"/>
                <w:sz w:val="20"/>
                <w:szCs w:val="20"/>
                <w:lang w:eastAsia="en-NZ"/>
              </w:rPr>
              <w:t>,</w:t>
            </w:r>
            <w:r w:rsidRPr="000F314A">
              <w:rPr>
                <w:rFonts w:cs="Arial"/>
                <w:bCs/>
                <w:sz w:val="20"/>
                <w:szCs w:val="20"/>
                <w:lang w:eastAsia="en-NZ"/>
              </w:rPr>
              <w:t xml:space="preserve"> total opening RAB values</w:t>
            </w:r>
            <w:r w:rsidRPr="000F314A">
              <w:rPr>
                <w:rFonts w:cs="Arial"/>
                <w:sz w:val="20"/>
                <w:szCs w:val="20"/>
                <w:lang w:eastAsia="en-NZ"/>
              </w:rPr>
              <w:t xml:space="preserve"> - </w:t>
            </w:r>
            <w:r w:rsidRPr="000F314A">
              <w:rPr>
                <w:rFonts w:cs="Arial"/>
                <w:bCs/>
                <w:sz w:val="20"/>
                <w:szCs w:val="20"/>
                <w:lang w:eastAsia="en-NZ"/>
              </w:rPr>
              <w:t>unallocated RAB</w:t>
            </w:r>
            <w:r w:rsidRPr="000F314A">
              <w:rPr>
                <w:rFonts w:cs="Arial"/>
                <w:sz w:val="20"/>
                <w:szCs w:val="20"/>
                <w:lang w:eastAsia="en-NZ"/>
              </w:rPr>
              <w:t xml:space="preserve"> less </w:t>
            </w:r>
            <w:r w:rsidRPr="000F314A">
              <w:rPr>
                <w:rFonts w:cs="Arial"/>
                <w:bCs/>
                <w:sz w:val="20"/>
                <w:szCs w:val="20"/>
                <w:lang w:eastAsia="en-NZ"/>
              </w:rPr>
              <w:t>opening RAB value of fully depreciated, disposed and lost assets</w:t>
            </w:r>
            <w:r w:rsidRPr="000F314A">
              <w:rPr>
                <w:rFonts w:cs="Arial"/>
                <w:sz w:val="20"/>
                <w:szCs w:val="20"/>
                <w:lang w:eastAsia="en-NZ"/>
              </w:rPr>
              <w:t xml:space="preserve"> - </w:t>
            </w:r>
            <w:r w:rsidRPr="000F314A">
              <w:rPr>
                <w:rFonts w:cs="Arial"/>
                <w:bCs/>
                <w:sz w:val="20"/>
                <w:szCs w:val="20"/>
                <w:lang w:eastAsia="en-NZ"/>
              </w:rPr>
              <w:t>unallocated RAB</w:t>
            </w:r>
            <w:r w:rsidRPr="000F314A">
              <w:rPr>
                <w:rFonts w:cs="Arial"/>
                <w:sz w:val="20"/>
                <w:szCs w:val="20"/>
                <w:lang w:eastAsia="en-NZ"/>
              </w:rPr>
              <w:t>;</w:t>
            </w:r>
          </w:p>
          <w:p w:rsidR="00470BCF" w:rsidRPr="000F314A" w:rsidRDefault="00470BCF" w:rsidP="00213934">
            <w:pPr>
              <w:pStyle w:val="ListParagraph"/>
              <w:numPr>
                <w:ilvl w:val="4"/>
                <w:numId w:val="83"/>
              </w:numPr>
              <w:spacing w:line="264" w:lineRule="auto"/>
              <w:ind w:left="426" w:hanging="426"/>
              <w:rPr>
                <w:rFonts w:cs="Arial"/>
                <w:sz w:val="20"/>
                <w:szCs w:val="20"/>
                <w:lang w:eastAsia="en-NZ"/>
              </w:rPr>
            </w:pPr>
            <w:r w:rsidRPr="000F314A">
              <w:rPr>
                <w:rFonts w:cs="Arial"/>
                <w:sz w:val="20"/>
                <w:szCs w:val="20"/>
                <w:lang w:eastAsia="en-NZ"/>
              </w:rPr>
              <w:t xml:space="preserve">in relation to the </w:t>
            </w:r>
            <w:r w:rsidRPr="000F314A">
              <w:rPr>
                <w:rFonts w:cs="Arial"/>
                <w:bCs/>
                <w:sz w:val="20"/>
                <w:szCs w:val="20"/>
                <w:lang w:eastAsia="en-NZ"/>
              </w:rPr>
              <w:t>RAB</w:t>
            </w:r>
            <w:r w:rsidRPr="000F314A">
              <w:rPr>
                <w:rFonts w:cs="Arial"/>
                <w:sz w:val="20"/>
                <w:szCs w:val="20"/>
                <w:lang w:eastAsia="en-NZ"/>
              </w:rPr>
              <w:t xml:space="preserve">, </w:t>
            </w:r>
            <w:r w:rsidRPr="000F314A">
              <w:rPr>
                <w:rFonts w:cs="Arial"/>
                <w:bCs/>
                <w:sz w:val="20"/>
                <w:szCs w:val="20"/>
                <w:lang w:eastAsia="en-NZ"/>
              </w:rPr>
              <w:t>total opening RAB values</w:t>
            </w:r>
            <w:r w:rsidRPr="000F314A">
              <w:rPr>
                <w:rFonts w:cs="Arial"/>
                <w:sz w:val="20"/>
                <w:szCs w:val="20"/>
                <w:lang w:eastAsia="en-NZ"/>
              </w:rPr>
              <w:t xml:space="preserve"> - </w:t>
            </w:r>
            <w:r w:rsidRPr="000F314A">
              <w:rPr>
                <w:rFonts w:cs="Arial"/>
                <w:bCs/>
                <w:sz w:val="20"/>
                <w:szCs w:val="20"/>
                <w:lang w:eastAsia="en-NZ"/>
              </w:rPr>
              <w:t>RAB</w:t>
            </w:r>
            <w:r w:rsidRPr="000F314A">
              <w:rPr>
                <w:rFonts w:cs="Arial"/>
                <w:sz w:val="20"/>
                <w:szCs w:val="20"/>
                <w:lang w:eastAsia="en-NZ"/>
              </w:rPr>
              <w:t xml:space="preserve"> less </w:t>
            </w:r>
            <w:r w:rsidRPr="000F314A">
              <w:rPr>
                <w:rFonts w:cs="Arial"/>
                <w:bCs/>
                <w:sz w:val="20"/>
                <w:szCs w:val="20"/>
                <w:lang w:eastAsia="en-NZ"/>
              </w:rPr>
              <w:t>opening RAB value of fully depreciated, disposed and lost assets</w:t>
            </w:r>
            <w:r w:rsidRPr="000F314A">
              <w:rPr>
                <w:rFonts w:cs="Arial"/>
                <w:sz w:val="20"/>
                <w:szCs w:val="20"/>
                <w:lang w:eastAsia="en-NZ"/>
              </w:rPr>
              <w:t xml:space="preserve"> – </w:t>
            </w:r>
            <w:r w:rsidRPr="000F314A">
              <w:rPr>
                <w:rFonts w:cs="Arial"/>
                <w:bCs/>
                <w:sz w:val="20"/>
                <w:szCs w:val="20"/>
                <w:lang w:eastAsia="en-NZ"/>
              </w:rPr>
              <w:t>RAB</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bCs/>
                <w:sz w:val="20"/>
                <w:szCs w:val="20"/>
              </w:rPr>
            </w:pPr>
            <w:r w:rsidRPr="000F314A">
              <w:rPr>
                <w:bCs/>
                <w:sz w:val="20"/>
                <w:szCs w:val="20"/>
              </w:rPr>
              <w:t>Total unadjusted asset values</w:t>
            </w:r>
          </w:p>
        </w:tc>
        <w:tc>
          <w:tcPr>
            <w:tcW w:w="0" w:type="auto"/>
          </w:tcPr>
          <w:p w:rsidR="00470BCF" w:rsidRPr="000F314A" w:rsidRDefault="00470BCF" w:rsidP="005A23C3">
            <w:pPr>
              <w:tabs>
                <w:tab w:val="left" w:pos="4045"/>
              </w:tabs>
              <w:spacing w:line="264" w:lineRule="auto"/>
              <w:rPr>
                <w:sz w:val="20"/>
                <w:szCs w:val="20"/>
              </w:rPr>
            </w:pPr>
            <w:r w:rsidRPr="000F314A">
              <w:rPr>
                <w:sz w:val="20"/>
                <w:szCs w:val="20"/>
              </w:rPr>
              <w:t>means the sum of 2009 authorisation assets and 2009 disclosed assets</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bCs/>
                <w:sz w:val="20"/>
                <w:szCs w:val="20"/>
              </w:rPr>
              <w:t>Transmission charge</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sz w:val="20"/>
                <w:szCs w:val="20"/>
              </w:rPr>
              <w:t xml:space="preserve">means any payment made in respect of the use of the </w:t>
            </w:r>
            <w:r w:rsidRPr="000F314A">
              <w:rPr>
                <w:bCs/>
                <w:sz w:val="20"/>
                <w:szCs w:val="20"/>
              </w:rPr>
              <w:t>transmission system</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Unallocated initial RAB value</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means the values of assets as determined in accordance with clause 2.2.3(1) of the</w:t>
            </w:r>
            <w:r w:rsidRPr="000F314A">
              <w:rPr>
                <w:rFonts w:cs="Arial"/>
                <w:bCs/>
                <w:sz w:val="20"/>
                <w:szCs w:val="20"/>
                <w:lang w:eastAsia="en-NZ"/>
              </w:rPr>
              <w:t xml:space="preserve"> 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Unregulated services</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 xml:space="preserve">has the meaning set out in the </w:t>
            </w:r>
            <w:r w:rsidRPr="000F314A">
              <w:rPr>
                <w:rFonts w:cs="Arial"/>
                <w:bCs/>
                <w:sz w:val="20"/>
                <w:szCs w:val="20"/>
                <w:lang w:eastAsia="en-NZ"/>
              </w:rPr>
              <w:t>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Utilised tax losses</w:t>
            </w:r>
          </w:p>
        </w:tc>
        <w:tc>
          <w:tcPr>
            <w:tcW w:w="0" w:type="auto"/>
          </w:tcPr>
          <w:p w:rsidR="00470BCF" w:rsidRPr="000F314A" w:rsidRDefault="00470BCF" w:rsidP="005A23C3">
            <w:pPr>
              <w:tabs>
                <w:tab w:val="left" w:pos="4045"/>
              </w:tabs>
              <w:spacing w:line="264" w:lineRule="auto"/>
              <w:rPr>
                <w:rFonts w:cs="Arial"/>
                <w:sz w:val="20"/>
                <w:szCs w:val="20"/>
                <w:lang w:eastAsia="en-NZ"/>
              </w:rPr>
            </w:pPr>
            <w:r w:rsidRPr="000F314A">
              <w:rPr>
                <w:rFonts w:cs="Arial"/>
                <w:sz w:val="20"/>
                <w:szCs w:val="20"/>
                <w:lang w:eastAsia="en-NZ"/>
              </w:rPr>
              <w:t xml:space="preserve">has the meaning set out in paragraph (a) of the defined term in the </w:t>
            </w:r>
            <w:r w:rsidRPr="000F314A">
              <w:rPr>
                <w:rFonts w:cs="Arial"/>
                <w:bCs/>
                <w:sz w:val="20"/>
                <w:szCs w:val="20"/>
                <w:lang w:eastAsia="en-NZ"/>
              </w:rPr>
              <w:t>IM determination</w:t>
            </w:r>
          </w:p>
        </w:tc>
      </w:tr>
      <w:tr w:rsidR="00470BCF" w:rsidRPr="000F314A" w:rsidTr="00EA01E1">
        <w:trPr>
          <w:cantSplit/>
          <w:trHeight w:val="20"/>
        </w:trPr>
        <w:tc>
          <w:tcPr>
            <w:tcW w:w="0" w:type="auto"/>
          </w:tcPr>
          <w:p w:rsidR="00470BCF" w:rsidRPr="000F314A" w:rsidRDefault="00470BCF" w:rsidP="005A23C3">
            <w:pPr>
              <w:rPr>
                <w:color w:val="000000"/>
                <w:sz w:val="20"/>
                <w:szCs w:val="20"/>
                <w:lang w:val="en-AU"/>
              </w:rPr>
            </w:pPr>
            <w:r w:rsidRPr="000F314A">
              <w:rPr>
                <w:color w:val="000000"/>
                <w:sz w:val="20"/>
                <w:szCs w:val="20"/>
                <w:lang w:val="en-AU"/>
              </w:rPr>
              <w:t>Value of Commissioned assets</w:t>
            </w:r>
          </w:p>
        </w:tc>
        <w:tc>
          <w:tcPr>
            <w:tcW w:w="0" w:type="auto"/>
          </w:tcPr>
          <w:p w:rsidR="00470BCF" w:rsidRPr="000F314A" w:rsidRDefault="00470BCF" w:rsidP="005A23C3">
            <w:pPr>
              <w:pStyle w:val="BodyText"/>
              <w:rPr>
                <w:sz w:val="20"/>
                <w:szCs w:val="20"/>
                <w:lang w:val="en-AU"/>
              </w:rPr>
            </w:pPr>
            <w:proofErr w:type="gramStart"/>
            <w:r w:rsidRPr="000F314A">
              <w:rPr>
                <w:rFonts w:cs="Arial"/>
                <w:sz w:val="20"/>
                <w:szCs w:val="20"/>
                <w:lang w:eastAsia="en-NZ"/>
              </w:rPr>
              <w:t>has</w:t>
            </w:r>
            <w:proofErr w:type="gramEnd"/>
            <w:r w:rsidRPr="000F314A">
              <w:rPr>
                <w:rFonts w:cs="Arial"/>
                <w:sz w:val="20"/>
                <w:szCs w:val="20"/>
                <w:lang w:eastAsia="en-NZ"/>
              </w:rPr>
              <w:t xml:space="preserve"> the meaning set out in the</w:t>
            </w:r>
            <w:r w:rsidRPr="000F314A">
              <w:rPr>
                <w:rFonts w:cs="Arial"/>
                <w:bCs/>
                <w:sz w:val="20"/>
                <w:szCs w:val="20"/>
                <w:lang w:eastAsia="en-NZ"/>
              </w:rPr>
              <w:t xml:space="preserve"> 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Value of Transaction</w:t>
            </w:r>
          </w:p>
        </w:tc>
        <w:tc>
          <w:tcPr>
            <w:tcW w:w="0" w:type="auto"/>
          </w:tcPr>
          <w:p w:rsidR="00470BCF" w:rsidRPr="000F314A" w:rsidRDefault="00470BCF" w:rsidP="005A23C3">
            <w:pPr>
              <w:tabs>
                <w:tab w:val="left" w:pos="4045"/>
              </w:tabs>
              <w:spacing w:line="264" w:lineRule="auto"/>
              <w:rPr>
                <w:sz w:val="20"/>
                <w:szCs w:val="20"/>
              </w:rPr>
            </w:pPr>
            <w:r w:rsidRPr="000F314A">
              <w:rPr>
                <w:rFonts w:cs="Arial"/>
                <w:sz w:val="20"/>
                <w:szCs w:val="20"/>
                <w:lang w:eastAsia="en-NZ"/>
              </w:rPr>
              <w:t>means the value of the related party transaction as determined in accordance with clause 5 of section 2.3 of this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Weighted average expected total asset life</w:t>
            </w:r>
          </w:p>
        </w:tc>
        <w:tc>
          <w:tcPr>
            <w:tcW w:w="0" w:type="auto"/>
          </w:tcPr>
          <w:p w:rsidR="00470BCF" w:rsidRPr="000F314A" w:rsidRDefault="00470BCF" w:rsidP="005A23C3">
            <w:pPr>
              <w:pStyle w:val="UnnumberedL3"/>
              <w:spacing w:line="264" w:lineRule="auto"/>
              <w:ind w:left="0"/>
              <w:rPr>
                <w:rFonts w:cs="Arial"/>
                <w:sz w:val="20"/>
                <w:szCs w:val="20"/>
                <w:lang w:eastAsia="en-NZ"/>
              </w:rPr>
            </w:pPr>
            <w:r w:rsidRPr="000F314A">
              <w:rPr>
                <w:sz w:val="20"/>
                <w:szCs w:val="20"/>
              </w:rPr>
              <w:t>means the weighted average expected total asset life of assets calculated by using the opening RAB values as weights where opening RAB value has the meaning set out in the IM Determination</w:t>
            </w:r>
          </w:p>
        </w:tc>
      </w:tr>
      <w:tr w:rsidR="00470BCF" w:rsidRPr="000F314A" w:rsidTr="00EA01E1">
        <w:trPr>
          <w:cantSplit/>
          <w:trHeight w:val="20"/>
        </w:trPr>
        <w:tc>
          <w:tcPr>
            <w:tcW w:w="0" w:type="auto"/>
          </w:tcPr>
          <w:p w:rsidR="00470BCF" w:rsidRPr="000F314A" w:rsidRDefault="00470BCF" w:rsidP="005A23C3">
            <w:pPr>
              <w:pStyle w:val="Tablebodytext"/>
              <w:rPr>
                <w:sz w:val="20"/>
                <w:szCs w:val="20"/>
              </w:rPr>
            </w:pPr>
            <w:r w:rsidRPr="000F314A">
              <w:rPr>
                <w:color w:val="000000"/>
                <w:sz w:val="20"/>
                <w:szCs w:val="20"/>
                <w:lang w:val="en-AU"/>
              </w:rPr>
              <w:t>Weighted average pipe diameter (mm)</w:t>
            </w:r>
          </w:p>
        </w:tc>
        <w:tc>
          <w:tcPr>
            <w:tcW w:w="0" w:type="auto"/>
          </w:tcPr>
          <w:p w:rsidR="00470BCF" w:rsidRPr="000F314A" w:rsidRDefault="00470BCF" w:rsidP="005A23C3">
            <w:pPr>
              <w:pStyle w:val="Tablebodytext"/>
              <w:rPr>
                <w:sz w:val="20"/>
                <w:szCs w:val="20"/>
              </w:rPr>
            </w:pPr>
            <w:r w:rsidRPr="000F314A">
              <w:rPr>
                <w:sz w:val="20"/>
                <w:szCs w:val="20"/>
                <w:lang w:val="en-AU"/>
              </w:rPr>
              <w:t>The weighted average pipe diameter, expressed in millimetres, based on the length of pipeline that form the network</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 xml:space="preserve">Weighted average remaining asset life </w:t>
            </w:r>
          </w:p>
        </w:tc>
        <w:tc>
          <w:tcPr>
            <w:tcW w:w="0" w:type="auto"/>
          </w:tcPr>
          <w:p w:rsidR="00470BCF" w:rsidRPr="000F314A" w:rsidRDefault="00470BCF" w:rsidP="005A23C3">
            <w:pPr>
              <w:pStyle w:val="UnnumberedL3"/>
              <w:spacing w:line="264" w:lineRule="auto"/>
              <w:ind w:left="0"/>
              <w:rPr>
                <w:rFonts w:cs="Arial"/>
                <w:sz w:val="20"/>
                <w:szCs w:val="20"/>
                <w:lang w:eastAsia="en-NZ"/>
              </w:rPr>
            </w:pPr>
            <w:r w:rsidRPr="000F314A">
              <w:rPr>
                <w:sz w:val="20"/>
                <w:szCs w:val="20"/>
              </w:rPr>
              <w:t xml:space="preserve">means the weighted average </w:t>
            </w:r>
            <w:r w:rsidRPr="000F314A">
              <w:rPr>
                <w:bCs/>
                <w:sz w:val="20"/>
                <w:szCs w:val="20"/>
              </w:rPr>
              <w:t>remaining asset life</w:t>
            </w:r>
            <w:r w:rsidRPr="000F314A">
              <w:rPr>
                <w:sz w:val="20"/>
                <w:szCs w:val="20"/>
              </w:rPr>
              <w:t xml:space="preserve"> of assets calculated by using the </w:t>
            </w:r>
            <w:r w:rsidRPr="000F314A">
              <w:rPr>
                <w:bCs/>
                <w:sz w:val="20"/>
                <w:szCs w:val="20"/>
              </w:rPr>
              <w:t xml:space="preserve">opening RAB values </w:t>
            </w:r>
            <w:r w:rsidRPr="000F314A">
              <w:rPr>
                <w:sz w:val="20"/>
                <w:szCs w:val="20"/>
              </w:rPr>
              <w:t>as weights where remaining asset life and opening RAB values has the meaning set out in the IM Determination</w:t>
            </w:r>
          </w:p>
        </w:tc>
      </w:tr>
      <w:tr w:rsidR="00470BCF" w:rsidRPr="000F314A" w:rsidTr="00EA01E1">
        <w:trPr>
          <w:cantSplit/>
          <w:trHeight w:val="20"/>
        </w:trPr>
        <w:tc>
          <w:tcPr>
            <w:tcW w:w="0" w:type="auto"/>
          </w:tcPr>
          <w:p w:rsidR="00470BCF" w:rsidRPr="000F314A" w:rsidRDefault="00470BCF" w:rsidP="005A23C3">
            <w:pPr>
              <w:pStyle w:val="BodyText"/>
              <w:spacing w:line="264" w:lineRule="auto"/>
              <w:rPr>
                <w:rFonts w:cs="Arial"/>
                <w:bCs/>
                <w:sz w:val="20"/>
                <w:szCs w:val="20"/>
                <w:lang w:eastAsia="en-NZ"/>
              </w:rPr>
            </w:pPr>
            <w:r w:rsidRPr="000F314A">
              <w:rPr>
                <w:rFonts w:cs="Arial"/>
                <w:bCs/>
                <w:sz w:val="20"/>
                <w:szCs w:val="20"/>
                <w:lang w:eastAsia="en-NZ"/>
              </w:rPr>
              <w:t>Year change made</w:t>
            </w:r>
          </w:p>
        </w:tc>
        <w:tc>
          <w:tcPr>
            <w:tcW w:w="0" w:type="auto"/>
          </w:tcPr>
          <w:p w:rsidR="00470BCF" w:rsidRPr="000F314A" w:rsidRDefault="00470BCF" w:rsidP="005A23C3">
            <w:pPr>
              <w:spacing w:line="264" w:lineRule="auto"/>
              <w:rPr>
                <w:rFonts w:cs="Arial"/>
                <w:sz w:val="20"/>
                <w:szCs w:val="20"/>
                <w:lang w:eastAsia="en-NZ"/>
              </w:rPr>
            </w:pPr>
            <w:r w:rsidRPr="000F314A">
              <w:rPr>
                <w:rFonts w:cs="Arial"/>
                <w:sz w:val="20"/>
                <w:szCs w:val="20"/>
                <w:lang w:eastAsia="en-NZ"/>
              </w:rPr>
              <w:t>means:</w:t>
            </w:r>
          </w:p>
          <w:p w:rsidR="00470BCF" w:rsidRPr="000F314A" w:rsidRDefault="00470BCF" w:rsidP="005A23C3">
            <w:pPr>
              <w:spacing w:line="264" w:lineRule="auto"/>
              <w:ind w:left="459" w:hanging="425"/>
              <w:rPr>
                <w:rFonts w:cs="Arial"/>
                <w:sz w:val="20"/>
                <w:szCs w:val="20"/>
                <w:lang w:eastAsia="en-NZ"/>
              </w:rPr>
            </w:pPr>
            <w:r w:rsidRPr="000F314A">
              <w:rPr>
                <w:rFonts w:cs="Arial"/>
                <w:sz w:val="20"/>
                <w:szCs w:val="20"/>
                <w:lang w:eastAsia="en-NZ"/>
              </w:rPr>
              <w:t>(a)</w:t>
            </w:r>
            <w:r w:rsidRPr="000F314A">
              <w:rPr>
                <w:rFonts w:cs="Arial"/>
                <w:sz w:val="20"/>
                <w:szCs w:val="20"/>
                <w:lang w:eastAsia="en-NZ"/>
              </w:rPr>
              <w:tab/>
              <w:t xml:space="preserve">in relation to assets or groups of assets where depreciation is included in </w:t>
            </w:r>
            <w:r w:rsidRPr="000F314A">
              <w:rPr>
                <w:rFonts w:cs="Arial"/>
                <w:bCs/>
                <w:sz w:val="20"/>
                <w:szCs w:val="20"/>
                <w:lang w:eastAsia="en-NZ"/>
              </w:rPr>
              <w:t>depreciation - no standard life asset</w:t>
            </w:r>
            <w:r w:rsidRPr="000F314A">
              <w:rPr>
                <w:rFonts w:cs="Arial"/>
                <w:sz w:val="20"/>
                <w:szCs w:val="20"/>
                <w:lang w:eastAsia="en-NZ"/>
              </w:rPr>
              <w:t>, the year the asset was acquired;</w:t>
            </w:r>
          </w:p>
          <w:p w:rsidR="00470BCF" w:rsidRPr="000F314A" w:rsidRDefault="00470BCF" w:rsidP="005A23C3">
            <w:pPr>
              <w:spacing w:line="264" w:lineRule="auto"/>
              <w:ind w:left="459" w:hanging="425"/>
              <w:rPr>
                <w:rFonts w:cs="Arial"/>
                <w:sz w:val="20"/>
                <w:szCs w:val="20"/>
                <w:lang w:eastAsia="en-NZ"/>
              </w:rPr>
            </w:pPr>
            <w:r w:rsidRPr="000F314A">
              <w:rPr>
                <w:rFonts w:cs="Arial"/>
                <w:sz w:val="20"/>
                <w:szCs w:val="20"/>
                <w:lang w:eastAsia="en-NZ"/>
              </w:rPr>
              <w:t>(b)</w:t>
            </w:r>
            <w:r w:rsidRPr="000F314A">
              <w:rPr>
                <w:rFonts w:cs="Arial"/>
                <w:sz w:val="20"/>
                <w:szCs w:val="20"/>
                <w:lang w:eastAsia="en-NZ"/>
              </w:rPr>
              <w:tab/>
              <w:t xml:space="preserve">in relation to assets or groups of assets where depreciation is included in </w:t>
            </w:r>
            <w:r w:rsidRPr="000F314A">
              <w:rPr>
                <w:rFonts w:cs="Arial"/>
                <w:bCs/>
                <w:sz w:val="20"/>
                <w:szCs w:val="20"/>
                <w:lang w:eastAsia="en-NZ"/>
              </w:rPr>
              <w:t>depreciation - modified life assets</w:t>
            </w:r>
            <w:r w:rsidRPr="000F314A">
              <w:rPr>
                <w:rFonts w:cs="Arial"/>
                <w:sz w:val="20"/>
                <w:szCs w:val="20"/>
                <w:lang w:eastAsia="en-NZ"/>
              </w:rPr>
              <w:t>, the year the asset life was modified;</w:t>
            </w:r>
          </w:p>
          <w:p w:rsidR="00470BCF" w:rsidRPr="000F314A" w:rsidRDefault="00470BCF" w:rsidP="005A23C3">
            <w:pPr>
              <w:spacing w:line="264" w:lineRule="auto"/>
              <w:ind w:left="459" w:hanging="425"/>
              <w:rPr>
                <w:sz w:val="20"/>
                <w:szCs w:val="20"/>
              </w:rPr>
            </w:pPr>
            <w:r w:rsidRPr="000F314A">
              <w:rPr>
                <w:rFonts w:cs="Arial"/>
                <w:sz w:val="20"/>
                <w:szCs w:val="20"/>
                <w:lang w:eastAsia="en-NZ"/>
              </w:rPr>
              <w:t>(c)</w:t>
            </w:r>
            <w:r w:rsidRPr="000F314A">
              <w:rPr>
                <w:rFonts w:cs="Arial"/>
                <w:sz w:val="20"/>
                <w:szCs w:val="20"/>
                <w:lang w:eastAsia="en-NZ"/>
              </w:rPr>
              <w:tab/>
              <w:t>in relation to assets or groups of assets where depreciation is included in depreciation - alternative depreciation determined in accordance with CPP, the start of the CPP period</w:t>
            </w:r>
          </w:p>
        </w:tc>
      </w:tr>
    </w:tbl>
    <w:p w:rsidR="00213934" w:rsidRDefault="00213934" w:rsidP="00AB2FA8">
      <w:pPr>
        <w:pStyle w:val="Singlespacedparagraph"/>
      </w:pPr>
    </w:p>
    <w:p w:rsidR="00AB2FA8" w:rsidRDefault="00AB2FA8" w:rsidP="00AB2FA8">
      <w:pPr>
        <w:sectPr w:rsidR="00AB2FA8">
          <w:pgSz w:w="11907" w:h="16840"/>
          <w:pgMar w:top="1440" w:right="1440" w:bottom="1440" w:left="1440" w:header="1134" w:footer="431" w:gutter="0"/>
          <w:cols w:space="720"/>
        </w:sectPr>
      </w:pPr>
    </w:p>
    <w:p w:rsidR="00227B61" w:rsidRPr="006441E4" w:rsidRDefault="00696258" w:rsidP="00227B61">
      <w:pPr>
        <w:pStyle w:val="Heading1"/>
        <w:spacing w:line="264" w:lineRule="auto"/>
        <w:jc w:val="center"/>
      </w:pPr>
      <w:bookmarkStart w:id="793" w:name="_Toc329296403"/>
      <w:r w:rsidRPr="006441E4">
        <w:t xml:space="preserve">Schedule </w:t>
      </w:r>
      <w:r w:rsidR="007F168E">
        <w:t>17</w:t>
      </w:r>
      <w:r w:rsidR="00227B61" w:rsidRPr="006441E4">
        <w:tab/>
      </w:r>
      <w:r w:rsidR="00227B61" w:rsidRPr="006441E4">
        <w:tab/>
        <w:t>Certification for Year-beginning Disclosures</w:t>
      </w:r>
      <w:bookmarkEnd w:id="793"/>
    </w:p>
    <w:p w:rsidR="00227B61" w:rsidRPr="006441E4" w:rsidRDefault="007C2636" w:rsidP="00227B61">
      <w:r>
        <w:t>C</w:t>
      </w:r>
      <w:r w:rsidR="00227B61" w:rsidRPr="006441E4">
        <w:t>lause</w:t>
      </w:r>
      <w:r w:rsidR="008F3AE5">
        <w:t xml:space="preserve"> </w:t>
      </w:r>
      <w:r w:rsidR="0033518E">
        <w:fldChar w:fldCharType="begin"/>
      </w:r>
      <w:r w:rsidR="008F3AE5">
        <w:instrText xml:space="preserve"> REF _Ref329184679 \r \h </w:instrText>
      </w:r>
      <w:r w:rsidR="0033518E">
        <w:fldChar w:fldCharType="separate"/>
      </w:r>
      <w:r w:rsidR="00B06C04">
        <w:t>2.9.1</w:t>
      </w:r>
      <w:r w:rsidR="0033518E">
        <w:fldChar w:fldCharType="end"/>
      </w:r>
    </w:p>
    <w:p w:rsidR="00227B61" w:rsidRPr="006441E4" w:rsidRDefault="00227B61" w:rsidP="00227B61"/>
    <w:p w:rsidR="0072051D" w:rsidRDefault="00227B61" w:rsidP="00227B61">
      <w:r w:rsidRPr="006441E4">
        <w:t>We, [insert full names], being directors of [name of GTB certify that, having made all reasonable enquiry, to the best of our knowledge</w:t>
      </w:r>
      <w:r w:rsidR="0072051D">
        <w:t>:</w:t>
      </w:r>
      <w:r w:rsidRPr="006441E4">
        <w:t xml:space="preserve"> </w:t>
      </w:r>
    </w:p>
    <w:p w:rsidR="0072051D" w:rsidRDefault="0072051D" w:rsidP="00227B61"/>
    <w:p w:rsidR="00F40DAE" w:rsidRDefault="00227B61" w:rsidP="00440341">
      <w:pPr>
        <w:pStyle w:val="ListParagraph"/>
        <w:numPr>
          <w:ilvl w:val="0"/>
          <w:numId w:val="62"/>
        </w:numPr>
      </w:pPr>
      <w:proofErr w:type="gramStart"/>
      <w:r w:rsidRPr="006441E4">
        <w:t>the</w:t>
      </w:r>
      <w:proofErr w:type="gramEnd"/>
      <w:r w:rsidRPr="006441E4">
        <w:t xml:space="preserve"> following attached information of [name of GTB] prepared for the purposes of </w:t>
      </w:r>
      <w:r w:rsidR="00D6573E">
        <w:t xml:space="preserve">clause </w:t>
      </w:r>
      <w:r w:rsidR="0033518E">
        <w:fldChar w:fldCharType="begin"/>
      </w:r>
      <w:r w:rsidR="00D6573E">
        <w:instrText xml:space="preserve"> REF _Ref329179134 \r \h </w:instrText>
      </w:r>
      <w:r w:rsidR="0033518E">
        <w:fldChar w:fldCharType="separate"/>
      </w:r>
      <w:r w:rsidR="00B06C04">
        <w:t>2.4.1</w:t>
      </w:r>
      <w:r w:rsidR="0033518E">
        <w:fldChar w:fldCharType="end"/>
      </w:r>
      <w:r w:rsidR="00D6573E" w:rsidRPr="006441E4">
        <w:t xml:space="preserve">, clause </w:t>
      </w:r>
      <w:r w:rsidR="0033518E">
        <w:fldChar w:fldCharType="begin"/>
      </w:r>
      <w:r w:rsidR="00D6573E">
        <w:instrText xml:space="preserve"> REF _Ref311133930 \r \h </w:instrText>
      </w:r>
      <w:r w:rsidR="0033518E">
        <w:fldChar w:fldCharType="separate"/>
      </w:r>
      <w:r w:rsidR="00B06C04">
        <w:t>2.6.1</w:t>
      </w:r>
      <w:r w:rsidR="0033518E">
        <w:fldChar w:fldCharType="end"/>
      </w:r>
      <w:r w:rsidR="00D6573E">
        <w:t xml:space="preserve">, and </w:t>
      </w:r>
      <w:proofErr w:type="spellStart"/>
      <w:r w:rsidR="00D6573E">
        <w:t>subclauses</w:t>
      </w:r>
      <w:proofErr w:type="spellEnd"/>
      <w:r w:rsidR="00D6573E">
        <w:t xml:space="preserve"> </w:t>
      </w:r>
      <w:r w:rsidR="0033518E">
        <w:fldChar w:fldCharType="begin"/>
      </w:r>
      <w:r w:rsidR="00D6573E">
        <w:instrText xml:space="preserve"> REF _Ref327190157 \w \h </w:instrText>
      </w:r>
      <w:r w:rsidR="0033518E">
        <w:fldChar w:fldCharType="separate"/>
      </w:r>
      <w:r w:rsidR="00B06C04">
        <w:t>2.6.3(2)</w:t>
      </w:r>
      <w:r w:rsidR="0033518E">
        <w:fldChar w:fldCharType="end"/>
      </w:r>
      <w:r w:rsidR="00D6573E">
        <w:t xml:space="preserve">, </w:t>
      </w:r>
      <w:r w:rsidR="0033518E">
        <w:fldChar w:fldCharType="begin"/>
      </w:r>
      <w:r w:rsidR="00D6573E">
        <w:instrText xml:space="preserve"> REF _Ref329275192 \w \h </w:instrText>
      </w:r>
      <w:r w:rsidR="0033518E">
        <w:fldChar w:fldCharType="separate"/>
      </w:r>
      <w:r w:rsidR="00B06C04">
        <w:t>2.6.5(2)</w:t>
      </w:r>
      <w:r w:rsidR="0033518E">
        <w:fldChar w:fldCharType="end"/>
      </w:r>
      <w:r w:rsidR="00D6573E">
        <w:t xml:space="preserve">, and </w:t>
      </w:r>
      <w:r w:rsidR="0033518E">
        <w:fldChar w:fldCharType="begin"/>
      </w:r>
      <w:r w:rsidR="00D6573E">
        <w:instrText xml:space="preserve"> REF _Ref329274201 \w \h </w:instrText>
      </w:r>
      <w:r w:rsidR="0033518E">
        <w:fldChar w:fldCharType="separate"/>
      </w:r>
      <w:r w:rsidR="00B06C04">
        <w:t>2.12.6(1)(b)</w:t>
      </w:r>
      <w:r w:rsidR="0033518E">
        <w:fldChar w:fldCharType="end"/>
      </w:r>
      <w:r w:rsidR="00D6573E">
        <w:t xml:space="preserve"> </w:t>
      </w:r>
      <w:r w:rsidRPr="006441E4">
        <w:t>of the Commerce Act (Gas</w:t>
      </w:r>
      <w:r w:rsidRPr="0072051D">
        <w:rPr>
          <w:sz w:val="20"/>
          <w:szCs w:val="20"/>
          <w:lang w:eastAsia="en-GB"/>
        </w:rPr>
        <w:t xml:space="preserve"> </w:t>
      </w:r>
      <w:r w:rsidRPr="006441E4">
        <w:t>Transmission Services Information Disclosure) Determination 2012 in all material respects complies with that determination.</w:t>
      </w:r>
    </w:p>
    <w:p w:rsidR="00F40DAE" w:rsidRDefault="00F40DAE">
      <w:pPr>
        <w:pStyle w:val="ListParagraph"/>
      </w:pPr>
    </w:p>
    <w:p w:rsidR="0072051D" w:rsidRDefault="0072051D" w:rsidP="00440341">
      <w:pPr>
        <w:pStyle w:val="ListParagraph"/>
        <w:numPr>
          <w:ilvl w:val="0"/>
          <w:numId w:val="62"/>
        </w:numPr>
      </w:pPr>
      <w:r>
        <w:t>The prospective financial or non-financial information included the attached information has been measured on a basis consistent with regulatory requirements or recognised industry standards.</w:t>
      </w:r>
    </w:p>
    <w:p w:rsidR="00110F6A" w:rsidRPr="00110F6A" w:rsidRDefault="00110F6A" w:rsidP="00227B61"/>
    <w:p w:rsidR="00110F6A" w:rsidRPr="00110F6A" w:rsidRDefault="00227B61" w:rsidP="00227B61">
      <w:r w:rsidRPr="006441E4">
        <w:t>[Signature of 2 directors]</w:t>
      </w:r>
    </w:p>
    <w:p w:rsidR="00110F6A" w:rsidRPr="00110F6A" w:rsidRDefault="00227B61" w:rsidP="00227B61">
      <w:r w:rsidRPr="006441E4">
        <w:t>[Date]</w:t>
      </w:r>
    </w:p>
    <w:p w:rsidR="00F47B6A" w:rsidRPr="006441E4" w:rsidRDefault="00F47B6A" w:rsidP="00F47B6A">
      <w:pPr>
        <w:rPr>
          <w:b/>
        </w:rPr>
        <w:sectPr w:rsidR="00F47B6A" w:rsidRPr="006441E4" w:rsidSect="000A7887">
          <w:headerReference w:type="first" r:id="rId143"/>
          <w:pgSz w:w="11907" w:h="16840" w:code="9"/>
          <w:pgMar w:top="1440" w:right="1440" w:bottom="1440" w:left="1440" w:header="1134" w:footer="431" w:gutter="0"/>
          <w:cols w:space="720"/>
          <w:titlePg/>
        </w:sectPr>
      </w:pPr>
    </w:p>
    <w:p w:rsidR="00227B61" w:rsidRPr="006441E4" w:rsidRDefault="00227B61" w:rsidP="00227B61">
      <w:pPr>
        <w:pStyle w:val="Heading1"/>
        <w:spacing w:line="264" w:lineRule="auto"/>
        <w:jc w:val="center"/>
      </w:pPr>
      <w:bookmarkStart w:id="794" w:name="_Toc329296404"/>
      <w:bookmarkStart w:id="795" w:name="_Toc279530914"/>
      <w:bookmarkStart w:id="796" w:name="_Toc280783028"/>
      <w:r w:rsidRPr="006441E4">
        <w:t xml:space="preserve">Schedule </w:t>
      </w:r>
      <w:r w:rsidR="007F168E">
        <w:t>18</w:t>
      </w:r>
      <w:r w:rsidRPr="006441E4">
        <w:tab/>
      </w:r>
      <w:r w:rsidRPr="006441E4">
        <w:tab/>
        <w:t>Certification for Year-end Disclosures</w:t>
      </w:r>
      <w:bookmarkEnd w:id="794"/>
    </w:p>
    <w:p w:rsidR="00227B61" w:rsidRPr="006441E4" w:rsidRDefault="00227B61" w:rsidP="00227B61">
      <w:r w:rsidRPr="006441E4">
        <w:t xml:space="preserve">Clause </w:t>
      </w:r>
      <w:r w:rsidR="0033518E">
        <w:fldChar w:fldCharType="begin"/>
      </w:r>
      <w:r w:rsidR="008F3AE5">
        <w:instrText xml:space="preserve"> REF _Ref329184336 \r \h </w:instrText>
      </w:r>
      <w:r w:rsidR="0033518E">
        <w:fldChar w:fldCharType="separate"/>
      </w:r>
      <w:r w:rsidR="00B06C04">
        <w:t>2.9.2</w:t>
      </w:r>
      <w:r w:rsidR="0033518E">
        <w:fldChar w:fldCharType="end"/>
      </w:r>
    </w:p>
    <w:p w:rsidR="00227B61" w:rsidRPr="006441E4" w:rsidRDefault="00227B61" w:rsidP="00227B61"/>
    <w:p w:rsidR="00227B61" w:rsidRPr="006441E4" w:rsidRDefault="00227B61" w:rsidP="00227B61">
      <w:r w:rsidRPr="006441E4">
        <w:t xml:space="preserve">We, [insert names], being directors of [name of GTB] certify that, having made all reasonable enquiry, to the best of our knowledge the information, prepared for the purposes of </w:t>
      </w:r>
      <w:r w:rsidR="00D6573E">
        <w:t xml:space="preserve">clauses </w:t>
      </w:r>
      <w:r w:rsidR="0033518E">
        <w:fldChar w:fldCharType="begin"/>
      </w:r>
      <w:r w:rsidR="00D6573E">
        <w:instrText xml:space="preserve"> REF _Ref279613342 \w \h </w:instrText>
      </w:r>
      <w:r w:rsidR="0033518E">
        <w:fldChar w:fldCharType="separate"/>
      </w:r>
      <w:r w:rsidR="00B06C04">
        <w:t>2.3.1</w:t>
      </w:r>
      <w:r w:rsidR="0033518E">
        <w:fldChar w:fldCharType="end"/>
      </w:r>
      <w:r w:rsidR="00D6573E">
        <w:t xml:space="preserve">, </w:t>
      </w:r>
      <w:r w:rsidR="0033518E">
        <w:fldChar w:fldCharType="begin"/>
      </w:r>
      <w:r w:rsidR="00D6573E">
        <w:instrText xml:space="preserve"> REF _Ref328953470 \w \h </w:instrText>
      </w:r>
      <w:r w:rsidR="0033518E">
        <w:fldChar w:fldCharType="separate"/>
      </w:r>
      <w:r w:rsidR="00B06C04">
        <w:t>2.3.2</w:t>
      </w:r>
      <w:r w:rsidR="0033518E">
        <w:fldChar w:fldCharType="end"/>
      </w:r>
      <w:r w:rsidR="00D6573E">
        <w:t xml:space="preserve">, </w:t>
      </w:r>
      <w:r w:rsidR="0033518E">
        <w:fldChar w:fldCharType="begin"/>
      </w:r>
      <w:r w:rsidR="00D6573E">
        <w:instrText xml:space="preserve"> REF _Ref329173172 \w \h </w:instrText>
      </w:r>
      <w:r w:rsidR="0033518E">
        <w:fldChar w:fldCharType="separate"/>
      </w:r>
      <w:r w:rsidR="00B06C04">
        <w:t>2.4.18</w:t>
      </w:r>
      <w:r w:rsidR="0033518E">
        <w:fldChar w:fldCharType="end"/>
      </w:r>
      <w:r w:rsidR="00D6573E">
        <w:t xml:space="preserve">, </w:t>
      </w:r>
      <w:r w:rsidR="0033518E">
        <w:fldChar w:fldCharType="begin"/>
      </w:r>
      <w:r w:rsidR="00D6573E">
        <w:instrText xml:space="preserve"> REF _Ref329178711 \w \h </w:instrText>
      </w:r>
      <w:r w:rsidR="0033518E">
        <w:fldChar w:fldCharType="separate"/>
      </w:r>
      <w:r w:rsidR="00B06C04">
        <w:t>2.5.1</w:t>
      </w:r>
      <w:r w:rsidR="0033518E">
        <w:fldChar w:fldCharType="end"/>
      </w:r>
      <w:r w:rsidR="00D6573E">
        <w:t xml:space="preserve">, </w:t>
      </w:r>
      <w:r w:rsidR="0033518E">
        <w:fldChar w:fldCharType="begin"/>
      </w:r>
      <w:r w:rsidR="00D6573E">
        <w:instrText xml:space="preserve"> REF _Ref328811155 \w \h </w:instrText>
      </w:r>
      <w:r w:rsidR="0033518E">
        <w:fldChar w:fldCharType="separate"/>
      </w:r>
      <w:r w:rsidR="00B06C04">
        <w:t>2.7.1</w:t>
      </w:r>
      <w:r w:rsidR="0033518E">
        <w:fldChar w:fldCharType="end"/>
      </w:r>
      <w:r w:rsidR="00D6573E">
        <w:t xml:space="preserve">, and </w:t>
      </w:r>
      <w:r w:rsidR="0033518E">
        <w:fldChar w:fldCharType="begin"/>
      </w:r>
      <w:r w:rsidR="00D6573E">
        <w:instrText xml:space="preserve"> REF _Ref329181671 \w \h </w:instrText>
      </w:r>
      <w:r w:rsidR="0033518E">
        <w:fldChar w:fldCharType="separate"/>
      </w:r>
      <w:r w:rsidR="00B06C04">
        <w:t>2.7.2</w:t>
      </w:r>
      <w:r w:rsidR="0033518E">
        <w:fldChar w:fldCharType="end"/>
      </w:r>
      <w:r w:rsidR="00D6573E">
        <w:t xml:space="preserve"> </w:t>
      </w:r>
      <w:r w:rsidRPr="006441E4">
        <w:t>of the Commerce Act (Gas</w:t>
      </w:r>
      <w:r w:rsidRPr="006441E4">
        <w:rPr>
          <w:sz w:val="20"/>
          <w:szCs w:val="20"/>
          <w:lang w:eastAsia="en-GB"/>
        </w:rPr>
        <w:t xml:space="preserve"> </w:t>
      </w:r>
      <w:r w:rsidRPr="006441E4">
        <w:t>Transmission Services Information Disclosure) Determination 2012 in all material respects complies with that determination.</w:t>
      </w:r>
    </w:p>
    <w:p w:rsidR="00227B61" w:rsidRPr="006441E4" w:rsidRDefault="00227B61" w:rsidP="00227B61"/>
    <w:p w:rsidR="00377253" w:rsidRPr="00AE15A9" w:rsidRDefault="00377253" w:rsidP="00377253">
      <w:r w:rsidRPr="00AE15A9">
        <w:t>*[In respect of related party costs and revenues recorded in accordance with clauses 2.3.6(1), 2.3.6(2</w:t>
      </w:r>
      <w:proofErr w:type="gramStart"/>
      <w:r w:rsidRPr="00AE15A9">
        <w:t>)(</w:t>
      </w:r>
      <w:proofErr w:type="gramEnd"/>
      <w:r w:rsidRPr="00AE15A9">
        <w:t>f) and 2.3.7(2)(b), we certify that, having made all reasonable enquiry, including enquiries of our related parties, we are satisfied that to the best of our knowledge and belief the costs and revenues recorded for related party transactions reasonably reflect the price or prices that would have been paid or received had these transactions been at arm’s-length.]</w:t>
      </w:r>
    </w:p>
    <w:p w:rsidR="00227B61" w:rsidRPr="006441E4" w:rsidRDefault="00227B61" w:rsidP="00227B61"/>
    <w:p w:rsidR="00227B61" w:rsidRPr="006441E4" w:rsidRDefault="00227B61" w:rsidP="00227B61">
      <w:r w:rsidRPr="006441E4">
        <w:t>* Delete if inapplicable</w:t>
      </w:r>
    </w:p>
    <w:p w:rsidR="00227B61" w:rsidRPr="006441E4" w:rsidRDefault="00227B61" w:rsidP="00227B61"/>
    <w:p w:rsidR="00227B61" w:rsidRPr="006441E4" w:rsidRDefault="00227B61" w:rsidP="00227B61">
      <w:r w:rsidRPr="006441E4">
        <w:t>[Signatures of 2 directors]</w:t>
      </w:r>
    </w:p>
    <w:p w:rsidR="00227B61" w:rsidRPr="006441E4" w:rsidRDefault="00227B61" w:rsidP="00227B61">
      <w:r w:rsidRPr="006441E4">
        <w:t>[Date]</w:t>
      </w:r>
    </w:p>
    <w:p w:rsidR="00817B2E" w:rsidRDefault="00817B2E">
      <w:r>
        <w:br w:type="page"/>
      </w:r>
    </w:p>
    <w:p w:rsidR="00227B61" w:rsidRPr="006441E4" w:rsidRDefault="00227B61" w:rsidP="00227B61">
      <w:pPr>
        <w:pStyle w:val="BodyText"/>
      </w:pPr>
    </w:p>
    <w:p w:rsidR="00F47B6A" w:rsidRPr="00817B2E" w:rsidRDefault="00FE0571" w:rsidP="00817B2E">
      <w:pPr>
        <w:pStyle w:val="Heading1"/>
        <w:spacing w:line="264" w:lineRule="auto"/>
        <w:jc w:val="center"/>
      </w:pPr>
      <w:bookmarkStart w:id="797" w:name="_Toc329296405"/>
      <w:bookmarkEnd w:id="795"/>
      <w:bookmarkEnd w:id="796"/>
      <w:r w:rsidRPr="00817B2E">
        <w:t xml:space="preserve">Schedule </w:t>
      </w:r>
      <w:r w:rsidR="007F168E" w:rsidRPr="00817B2E">
        <w:t>19</w:t>
      </w:r>
      <w:r w:rsidRPr="00817B2E">
        <w:tab/>
      </w:r>
      <w:r w:rsidRPr="00817B2E">
        <w:tab/>
        <w:t>Certification for Transitional Disclosures</w:t>
      </w:r>
      <w:bookmarkEnd w:id="797"/>
    </w:p>
    <w:p w:rsidR="00227B61" w:rsidRPr="006441E4" w:rsidRDefault="00227B61" w:rsidP="00227B61">
      <w:r w:rsidRPr="006441E4">
        <w:t xml:space="preserve">Clause </w:t>
      </w:r>
      <w:r w:rsidR="0033518E">
        <w:fldChar w:fldCharType="begin"/>
      </w:r>
      <w:r w:rsidR="008F3AE5">
        <w:instrText xml:space="preserve"> REF _Ref329184596 \r \h </w:instrText>
      </w:r>
      <w:r w:rsidR="0033518E">
        <w:fldChar w:fldCharType="separate"/>
      </w:r>
      <w:r w:rsidR="00B06C04">
        <w:t>2.9.3</w:t>
      </w:r>
      <w:r w:rsidR="0033518E">
        <w:fldChar w:fldCharType="end"/>
      </w:r>
    </w:p>
    <w:p w:rsidR="00227B61" w:rsidRPr="006441E4" w:rsidRDefault="00227B61" w:rsidP="00227B61"/>
    <w:p w:rsidR="00227B61" w:rsidRPr="006441E4" w:rsidRDefault="00227B61" w:rsidP="00227B61">
      <w:r w:rsidRPr="006441E4">
        <w:t>We, [insert names], being directors of [name of GTB] certify that, having made all reasonable enquiry, to the best of our knowledge the information, pre</w:t>
      </w:r>
      <w:r w:rsidR="00D6573E">
        <w:t xml:space="preserve">pared for the purposes of </w:t>
      </w:r>
      <w:r w:rsidR="0033518E">
        <w:fldChar w:fldCharType="begin"/>
      </w:r>
      <w:r w:rsidR="00D6573E">
        <w:instrText xml:space="preserve"> REF _Ref279613542 \r \h </w:instrText>
      </w:r>
      <w:r w:rsidR="0033518E">
        <w:fldChar w:fldCharType="separate"/>
      </w:r>
      <w:r w:rsidR="00B06C04">
        <w:t>2.12.1</w:t>
      </w:r>
      <w:r w:rsidR="0033518E">
        <w:fldChar w:fldCharType="end"/>
      </w:r>
      <w:r w:rsidR="00D6573E">
        <w:t xml:space="preserve"> and </w:t>
      </w:r>
      <w:r w:rsidR="0033518E">
        <w:fldChar w:fldCharType="begin"/>
      </w:r>
      <w:r w:rsidR="00D6573E">
        <w:instrText xml:space="preserve"> REF _Ref329179617 \r \h </w:instrText>
      </w:r>
      <w:r w:rsidR="0033518E">
        <w:fldChar w:fldCharType="separate"/>
      </w:r>
      <w:r w:rsidR="00B06C04">
        <w:t>2.12.2</w:t>
      </w:r>
      <w:r w:rsidR="0033518E">
        <w:fldChar w:fldCharType="end"/>
      </w:r>
      <w:r w:rsidR="007C2636">
        <w:t xml:space="preserve"> </w:t>
      </w:r>
      <w:r w:rsidRPr="006441E4">
        <w:t>of the Commerce Act (Gas</w:t>
      </w:r>
      <w:r w:rsidRPr="006441E4">
        <w:rPr>
          <w:sz w:val="20"/>
          <w:szCs w:val="20"/>
          <w:lang w:eastAsia="en-GB"/>
        </w:rPr>
        <w:t xml:space="preserve"> </w:t>
      </w:r>
      <w:r w:rsidRPr="006441E4">
        <w:t>Transmission Services Information Disclosure) Determination 2012 in all material respects complies with that determination.</w:t>
      </w:r>
    </w:p>
    <w:p w:rsidR="00227B61" w:rsidRPr="006441E4" w:rsidRDefault="00227B61" w:rsidP="00227B61"/>
    <w:p w:rsidR="00227B61" w:rsidRPr="006441E4" w:rsidRDefault="00227B61" w:rsidP="00227B61">
      <w:r w:rsidRPr="006441E4">
        <w:t>[Signatures of 2 directors]</w:t>
      </w:r>
    </w:p>
    <w:p w:rsidR="00227B61" w:rsidRPr="00301B40" w:rsidRDefault="00227B61" w:rsidP="00227B61">
      <w:r w:rsidRPr="006441E4">
        <w:t>[Date]</w:t>
      </w:r>
    </w:p>
    <w:p w:rsidR="00110F6A" w:rsidRPr="00110F6A" w:rsidRDefault="00110F6A" w:rsidP="00227B61"/>
    <w:p w:rsidR="00160316" w:rsidRDefault="00160316" w:rsidP="001C60EF"/>
    <w:sectPr w:rsidR="00160316" w:rsidSect="000A7887">
      <w:pgSz w:w="11907" w:h="16840" w:code="9"/>
      <w:pgMar w:top="1440" w:right="1440" w:bottom="1440" w:left="1440" w:header="1134" w:footer="43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104" w:rsidRDefault="00453104">
      <w:r>
        <w:separator/>
      </w:r>
    </w:p>
  </w:endnote>
  <w:endnote w:type="continuationSeparator" w:id="0">
    <w:p w:rsidR="00453104" w:rsidRDefault="00453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Bold">
    <w:panose1 w:val="020F07020304040302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4" w:rsidRDefault="00453104" w:rsidP="009844DA">
    <w:pPr>
      <w:pStyle w:val="Footer"/>
      <w:jc w:val="right"/>
      <w:rPr>
        <w:sz w:val="16"/>
      </w:rPr>
    </w:pPr>
  </w:p>
  <w:p w:rsidR="00453104" w:rsidRPr="00B06C04" w:rsidRDefault="00453104" w:rsidP="00B06C04">
    <w:pPr>
      <w:pStyle w:val="Footer"/>
      <w:jc w:val="right"/>
      <w:rPr>
        <w:sz w:val="16"/>
      </w:rPr>
    </w:pPr>
    <w:r>
      <w:rPr>
        <w:sz w:val="16"/>
      </w:rPr>
      <w:t>1397670_4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4" w:rsidRPr="00B06C04" w:rsidRDefault="00453104" w:rsidP="00B06C04">
    <w:pPr>
      <w:pStyle w:val="Footer"/>
      <w:jc w:val="left"/>
      <w:rPr>
        <w:sz w:val="16"/>
      </w:rPr>
    </w:pPr>
    <w:r>
      <w:rPr>
        <w:sz w:val="16"/>
      </w:rPr>
      <w:t>1397670_4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4" w:rsidRPr="00B06C04" w:rsidRDefault="00453104" w:rsidP="00B06C04">
    <w:pPr>
      <w:pStyle w:val="Footer"/>
      <w:jc w:val="left"/>
      <w:rPr>
        <w:sz w:val="16"/>
      </w:rPr>
    </w:pPr>
    <w:r>
      <w:rPr>
        <w:sz w:val="16"/>
      </w:rPr>
      <w:t>1397670_4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104" w:rsidRDefault="00453104">
      <w:r>
        <w:separator/>
      </w:r>
    </w:p>
  </w:footnote>
  <w:footnote w:type="continuationSeparator" w:id="0">
    <w:p w:rsidR="00453104" w:rsidRDefault="00453104">
      <w:r>
        <w:continuationSeparator/>
      </w:r>
    </w:p>
  </w:footnote>
  <w:footnote w:id="1">
    <w:p w:rsidR="00453104" w:rsidRDefault="00453104" w:rsidP="00213934">
      <w:pPr>
        <w:pStyle w:val="FootnoteText"/>
      </w:pPr>
      <w:r w:rsidRPr="000118ED">
        <w:rPr>
          <w:rStyle w:val="FootnoteReference"/>
        </w:rPr>
        <w:footnoteRef/>
      </w:r>
      <w:r w:rsidRPr="000118ED">
        <w:t xml:space="preserve"> </w:t>
      </w:r>
      <w:r>
        <w:tab/>
      </w:r>
      <w:r w:rsidRPr="000118ED">
        <w:t xml:space="preserve">A copy of the Commission’s Draft Initial Default Price-Quality Paths for Gas Pipelines Businesses Draft Reasons Paper and Draft Determinations can be found at: </w:t>
      </w:r>
      <w:hyperlink r:id="rId1" w:history="1">
        <w:r w:rsidRPr="00321CE5">
          <w:rPr>
            <w:rStyle w:val="Hyperlink"/>
          </w:rPr>
          <w:t>http://www.comcom.govt.nz/2012-default-price-quality-path/</w:t>
        </w:r>
      </w:hyperlink>
      <w:r w:rsidRPr="000118E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4" w:rsidRDefault="004531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4" w:rsidRPr="000B08C6" w:rsidRDefault="00453104" w:rsidP="00956615">
    <w:pPr>
      <w:pStyle w:val="ChapterHeading"/>
      <w:numPr>
        <w:ilvl w:val="0"/>
        <w:numId w:val="0"/>
      </w:numPr>
      <w:tabs>
        <w:tab w:val="left" w:pos="720"/>
      </w:tabs>
      <w:spacing w:before="0" w:after="0"/>
      <w:rPr>
        <w:b w:val="0"/>
        <w:sz w:val="20"/>
        <w:szCs w:val="20"/>
        <w:lang w:eastAsia="en-GB"/>
      </w:rPr>
    </w:pPr>
    <w:r>
      <w:rPr>
        <w:b w:val="0"/>
        <w:caps w:val="0"/>
        <w:sz w:val="20"/>
        <w:szCs w:val="20"/>
        <w:lang w:eastAsia="en-GB"/>
      </w:rPr>
      <w:t xml:space="preserve">Draft </w:t>
    </w:r>
    <w:r w:rsidRPr="000B08C6">
      <w:rPr>
        <w:b w:val="0"/>
        <w:caps w:val="0"/>
        <w:sz w:val="20"/>
        <w:szCs w:val="20"/>
        <w:lang w:eastAsia="en-GB"/>
      </w:rPr>
      <w:t xml:space="preserve">Commerce Act (Gas </w:t>
    </w:r>
    <w:r>
      <w:rPr>
        <w:b w:val="0"/>
        <w:caps w:val="0"/>
        <w:sz w:val="20"/>
        <w:szCs w:val="20"/>
        <w:lang w:eastAsia="en-GB"/>
      </w:rPr>
      <w:t xml:space="preserve">Transmission </w:t>
    </w:r>
    <w:r w:rsidRPr="000B08C6">
      <w:rPr>
        <w:b w:val="0"/>
        <w:caps w:val="0"/>
        <w:sz w:val="20"/>
        <w:szCs w:val="20"/>
        <w:lang w:eastAsia="en-GB"/>
      </w:rPr>
      <w:t>Services Information Disclosure) Determination 2012</w:t>
    </w:r>
  </w:p>
  <w:p w:rsidR="00453104" w:rsidRPr="007C5CAE" w:rsidRDefault="0033518E">
    <w:pPr>
      <w:pStyle w:val="Header"/>
      <w:rPr>
        <w:sz w:val="22"/>
        <w:szCs w:val="22"/>
      </w:rPr>
    </w:pPr>
    <w:sdt>
      <w:sdtPr>
        <w:rPr>
          <w:sz w:val="22"/>
          <w:szCs w:val="22"/>
        </w:rPr>
        <w:id w:val="429181998"/>
        <w:docPartObj>
          <w:docPartGallery w:val="Page Numbers (Top of Page)"/>
          <w:docPartUnique/>
        </w:docPartObj>
      </w:sdtPr>
      <w:sdtContent>
        <w:r w:rsidRPr="007C5CAE">
          <w:rPr>
            <w:rFonts w:ascii="Calibri" w:hAnsi="Calibri"/>
            <w:sz w:val="22"/>
            <w:szCs w:val="22"/>
          </w:rPr>
          <w:fldChar w:fldCharType="begin"/>
        </w:r>
        <w:r w:rsidR="00453104" w:rsidRPr="007C5CAE">
          <w:rPr>
            <w:rFonts w:ascii="Calibri" w:hAnsi="Calibri"/>
            <w:sz w:val="22"/>
            <w:szCs w:val="22"/>
          </w:rPr>
          <w:instrText xml:space="preserve"> PAGE   \* MERGEFORMAT </w:instrText>
        </w:r>
        <w:r w:rsidRPr="007C5CAE">
          <w:rPr>
            <w:rFonts w:ascii="Calibri" w:hAnsi="Calibri"/>
            <w:sz w:val="22"/>
            <w:szCs w:val="22"/>
          </w:rPr>
          <w:fldChar w:fldCharType="separate"/>
        </w:r>
        <w:r w:rsidR="00A96365">
          <w:rPr>
            <w:rFonts w:ascii="Calibri" w:hAnsi="Calibri"/>
            <w:noProof/>
            <w:sz w:val="22"/>
            <w:szCs w:val="22"/>
          </w:rPr>
          <w:t>122</w:t>
        </w:r>
        <w:r w:rsidRPr="007C5CAE">
          <w:rPr>
            <w:rFonts w:ascii="Calibri" w:hAnsi="Calibri"/>
            <w:sz w:val="22"/>
            <w:szCs w:val="22"/>
          </w:rPr>
          <w:fldChar w:fldCharType="end"/>
        </w:r>
      </w:sdtContent>
    </w:sdt>
  </w:p>
  <w:p w:rsidR="00453104" w:rsidRPr="001D7657" w:rsidRDefault="004531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4" w:rsidRDefault="00453104" w:rsidP="000B08C6">
    <w:pPr>
      <w:pStyle w:val="Header"/>
      <w:jc w:val="left"/>
      <w:rPr>
        <w:sz w:val="20"/>
        <w:szCs w:val="20"/>
        <w:lang w:eastAsia="en-GB"/>
      </w:rPr>
    </w:pPr>
    <w:r w:rsidRPr="000E0ED7">
      <w:rPr>
        <w:noProof/>
        <w:sz w:val="20"/>
        <w:szCs w:val="20"/>
        <w:lang w:eastAsia="en-NZ"/>
      </w:rPr>
      <w:drawing>
        <wp:inline distT="0" distB="0" distL="0" distR="0">
          <wp:extent cx="1982470" cy="604520"/>
          <wp:effectExtent l="19050" t="0" r="0" b="0"/>
          <wp:docPr id="4" name="Picture 1" descr="ComComNZ-Long-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ComNZ-Long-Colour.jpg"/>
                  <pic:cNvPicPr/>
                </pic:nvPicPr>
                <pic:blipFill>
                  <a:blip r:embed="rId1"/>
                  <a:stretch>
                    <a:fillRect/>
                  </a:stretch>
                </pic:blipFill>
                <pic:spPr>
                  <a:xfrm>
                    <a:off x="0" y="0"/>
                    <a:ext cx="1982470" cy="604520"/>
                  </a:xfrm>
                  <a:prstGeom prst="rect">
                    <a:avLst/>
                  </a:prstGeom>
                </pic:spPr>
              </pic:pic>
            </a:graphicData>
          </a:graphic>
        </wp:inline>
      </w:drawing>
    </w:r>
  </w:p>
  <w:p w:rsidR="00453104" w:rsidRPr="00594A3C" w:rsidRDefault="00453104" w:rsidP="000B08C6">
    <w:pPr>
      <w:pStyle w:val="Header"/>
      <w:jc w:val="left"/>
      <w:rPr>
        <w:sz w:val="20"/>
        <w:szCs w:val="20"/>
        <w:lang w:eastAsia="en-GB"/>
      </w:rPr>
    </w:pPr>
  </w:p>
  <w:p w:rsidR="00453104" w:rsidRDefault="004531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4" w:rsidRPr="000B08C6" w:rsidRDefault="00453104" w:rsidP="00956615">
    <w:pPr>
      <w:pStyle w:val="ChapterHeading"/>
      <w:numPr>
        <w:ilvl w:val="0"/>
        <w:numId w:val="0"/>
      </w:numPr>
      <w:tabs>
        <w:tab w:val="left" w:pos="720"/>
      </w:tabs>
      <w:spacing w:before="0" w:after="0"/>
      <w:rPr>
        <w:b w:val="0"/>
        <w:sz w:val="20"/>
        <w:szCs w:val="20"/>
        <w:lang w:eastAsia="en-GB"/>
      </w:rPr>
    </w:pPr>
    <w:r>
      <w:rPr>
        <w:b w:val="0"/>
        <w:caps w:val="0"/>
        <w:sz w:val="20"/>
        <w:szCs w:val="20"/>
        <w:lang w:eastAsia="en-GB"/>
      </w:rPr>
      <w:t xml:space="preserve">Draft </w:t>
    </w:r>
    <w:r w:rsidRPr="000B08C6">
      <w:rPr>
        <w:b w:val="0"/>
        <w:caps w:val="0"/>
        <w:sz w:val="20"/>
        <w:szCs w:val="20"/>
        <w:lang w:eastAsia="en-GB"/>
      </w:rPr>
      <w:t xml:space="preserve">Commerce Act (Gas </w:t>
    </w:r>
    <w:r>
      <w:rPr>
        <w:b w:val="0"/>
        <w:caps w:val="0"/>
        <w:sz w:val="20"/>
        <w:szCs w:val="20"/>
        <w:lang w:eastAsia="en-GB"/>
      </w:rPr>
      <w:t xml:space="preserve">Transmission </w:t>
    </w:r>
    <w:r w:rsidRPr="000B08C6">
      <w:rPr>
        <w:b w:val="0"/>
        <w:caps w:val="0"/>
        <w:sz w:val="20"/>
        <w:szCs w:val="20"/>
        <w:lang w:eastAsia="en-GB"/>
      </w:rPr>
      <w:t>Services Information Disclosure) Determination 2012</w:t>
    </w:r>
  </w:p>
  <w:p w:rsidR="00453104" w:rsidRPr="007C5CAE" w:rsidRDefault="0033518E">
    <w:pPr>
      <w:pStyle w:val="Header"/>
      <w:rPr>
        <w:sz w:val="22"/>
        <w:szCs w:val="22"/>
      </w:rPr>
    </w:pPr>
    <w:sdt>
      <w:sdtPr>
        <w:rPr>
          <w:sz w:val="20"/>
          <w:szCs w:val="20"/>
        </w:rPr>
        <w:id w:val="429181999"/>
        <w:docPartObj>
          <w:docPartGallery w:val="Page Numbers (Top of Page)"/>
          <w:docPartUnique/>
        </w:docPartObj>
      </w:sdtPr>
      <w:sdtEndPr>
        <w:rPr>
          <w:sz w:val="22"/>
          <w:szCs w:val="22"/>
        </w:rPr>
      </w:sdtEndPr>
      <w:sdtContent>
        <w:r w:rsidRPr="007C5CAE">
          <w:rPr>
            <w:sz w:val="22"/>
            <w:szCs w:val="22"/>
          </w:rPr>
          <w:fldChar w:fldCharType="begin"/>
        </w:r>
        <w:r w:rsidR="00453104" w:rsidRPr="007C5CAE">
          <w:rPr>
            <w:sz w:val="22"/>
            <w:szCs w:val="22"/>
          </w:rPr>
          <w:instrText xml:space="preserve"> PAGE   \* MERGEFORMAT </w:instrText>
        </w:r>
        <w:r w:rsidRPr="007C5CAE">
          <w:rPr>
            <w:sz w:val="22"/>
            <w:szCs w:val="22"/>
          </w:rPr>
          <w:fldChar w:fldCharType="separate"/>
        </w:r>
        <w:r w:rsidR="00A96365">
          <w:rPr>
            <w:noProof/>
            <w:sz w:val="22"/>
            <w:szCs w:val="22"/>
          </w:rPr>
          <w:t>44</w:t>
        </w:r>
        <w:r w:rsidRPr="007C5CAE">
          <w:rPr>
            <w:sz w:val="22"/>
            <w:szCs w:val="22"/>
          </w:rPr>
          <w:fldChar w:fldCharType="end"/>
        </w:r>
      </w:sdtContent>
    </w:sdt>
  </w:p>
  <w:p w:rsidR="00453104" w:rsidRDefault="0045310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caps w:val="0"/>
        <w:sz w:val="20"/>
        <w:szCs w:val="20"/>
      </w:rPr>
      <w:id w:val="429182000"/>
      <w:docPartObj>
        <w:docPartGallery w:val="Page Numbers (Top of Page)"/>
        <w:docPartUnique/>
      </w:docPartObj>
    </w:sdtPr>
    <w:sdtEndPr>
      <w:rPr>
        <w:sz w:val="24"/>
        <w:szCs w:val="24"/>
      </w:rPr>
    </w:sdtEndPr>
    <w:sdtContent>
      <w:p w:rsidR="00453104" w:rsidRPr="000B08C6" w:rsidRDefault="00453104" w:rsidP="00956615">
        <w:pPr>
          <w:pStyle w:val="ChapterHeading"/>
          <w:numPr>
            <w:ilvl w:val="0"/>
            <w:numId w:val="0"/>
          </w:numPr>
          <w:tabs>
            <w:tab w:val="left" w:pos="720"/>
          </w:tabs>
          <w:spacing w:before="0" w:after="0"/>
          <w:rPr>
            <w:b w:val="0"/>
            <w:sz w:val="20"/>
            <w:szCs w:val="20"/>
            <w:lang w:eastAsia="en-GB"/>
          </w:rPr>
        </w:pPr>
        <w:r>
          <w:rPr>
            <w:b w:val="0"/>
            <w:caps w:val="0"/>
            <w:sz w:val="20"/>
            <w:szCs w:val="20"/>
            <w:lang w:eastAsia="en-GB"/>
          </w:rPr>
          <w:t xml:space="preserve">Draft </w:t>
        </w:r>
        <w:r w:rsidRPr="000B08C6">
          <w:rPr>
            <w:b w:val="0"/>
            <w:caps w:val="0"/>
            <w:sz w:val="20"/>
            <w:szCs w:val="20"/>
            <w:lang w:eastAsia="en-GB"/>
          </w:rPr>
          <w:t xml:space="preserve">Commerce Act (Gas </w:t>
        </w:r>
        <w:r>
          <w:rPr>
            <w:b w:val="0"/>
            <w:caps w:val="0"/>
            <w:sz w:val="20"/>
            <w:szCs w:val="20"/>
            <w:lang w:eastAsia="en-GB"/>
          </w:rPr>
          <w:t xml:space="preserve">Transmission </w:t>
        </w:r>
        <w:r w:rsidRPr="000B08C6">
          <w:rPr>
            <w:b w:val="0"/>
            <w:caps w:val="0"/>
            <w:sz w:val="20"/>
            <w:szCs w:val="20"/>
            <w:lang w:eastAsia="en-GB"/>
          </w:rPr>
          <w:t>Services Information Disclosure) Determination 2012</w:t>
        </w:r>
      </w:p>
      <w:p w:rsidR="00453104" w:rsidRDefault="00453104">
        <w:pPr>
          <w:pStyle w:val="Header"/>
          <w:rPr>
            <w:sz w:val="20"/>
            <w:szCs w:val="20"/>
          </w:rPr>
        </w:pPr>
      </w:p>
      <w:p w:rsidR="00453104" w:rsidRPr="003C2ACB" w:rsidRDefault="0033518E">
        <w:pPr>
          <w:pStyle w:val="Header"/>
        </w:pPr>
        <w:fldSimple w:instr=" PAGE   \* MERGEFORMAT ">
          <w:r w:rsidR="00A96365">
            <w:rPr>
              <w:noProof/>
            </w:rPr>
            <w:t>149</w:t>
          </w:r>
        </w:fldSimple>
      </w:p>
    </w:sdtContent>
  </w:sdt>
  <w:p w:rsidR="00453104" w:rsidRDefault="004531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B6F"/>
    <w:multiLevelType w:val="multilevel"/>
    <w:tmpl w:val="B92C4932"/>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16.%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nsid w:val="08F254F4"/>
    <w:multiLevelType w:val="multilevel"/>
    <w:tmpl w:val="6114CAFE"/>
    <w:lvl w:ilvl="0">
      <w:start w:val="1"/>
      <w:numFmt w:val="decimal"/>
      <w:pStyle w:val="HeadingH2"/>
      <w:lvlText w:val="PART %1"/>
      <w:lvlJc w:val="left"/>
      <w:pPr>
        <w:tabs>
          <w:tab w:val="num" w:pos="0"/>
        </w:tabs>
        <w:ind w:left="0" w:firstLine="0"/>
      </w:pPr>
      <w:rPr>
        <w:rFonts w:ascii="Calibri Bold" w:hAnsi="Calibri Bold" w:hint="default"/>
        <w:b/>
        <w:i w:val="0"/>
        <w:caps/>
        <w:sz w:val="28"/>
      </w:rPr>
    </w:lvl>
    <w:lvl w:ilvl="1">
      <w:start w:val="1"/>
      <w:numFmt w:val="decimal"/>
      <w:pStyle w:val="HeadingH3SectionHeading"/>
      <w:lvlText w:val="%1.%2"/>
      <w:lvlJc w:val="left"/>
      <w:pPr>
        <w:tabs>
          <w:tab w:val="num" w:pos="0"/>
        </w:tabs>
        <w:ind w:left="0" w:firstLine="0"/>
      </w:pPr>
      <w:rPr>
        <w:rFonts w:ascii="Calibri Bold" w:hAnsi="Calibri Bold" w:hint="default"/>
        <w:b/>
        <w:i w:val="0"/>
        <w:caps/>
        <w:sz w:val="24"/>
      </w:rPr>
    </w:lvl>
    <w:lvl w:ilvl="2">
      <w:start w:val="1"/>
      <w:numFmt w:val="decimal"/>
      <w:pStyle w:val="HeadingH4Clausetext"/>
      <w:lvlText w:val="%1.%2.%3"/>
      <w:lvlJc w:val="left"/>
      <w:pPr>
        <w:tabs>
          <w:tab w:val="num" w:pos="4679"/>
        </w:tabs>
        <w:ind w:left="5388" w:hanging="709"/>
      </w:pPr>
      <w:rPr>
        <w:rFonts w:hint="default"/>
        <w:b w:val="0"/>
      </w:rPr>
    </w:lvl>
    <w:lvl w:ilvl="3">
      <w:start w:val="1"/>
      <w:numFmt w:val="decimal"/>
      <w:pStyle w:val="HeadingH5ClausesubtextL1"/>
      <w:lvlText w:val="(%4)"/>
      <w:lvlJc w:val="left"/>
      <w:pPr>
        <w:ind w:left="1418" w:hanging="709"/>
      </w:pPr>
      <w:rPr>
        <w:rFonts w:hint="default"/>
        <w:b w:val="0"/>
      </w:rPr>
    </w:lvl>
    <w:lvl w:ilvl="4">
      <w:start w:val="1"/>
      <w:numFmt w:val="lowerLetter"/>
      <w:pStyle w:val="HeadingH6ClausesubtextL2"/>
      <w:lvlText w:val="(%5)"/>
      <w:lvlJc w:val="left"/>
      <w:pPr>
        <w:tabs>
          <w:tab w:val="num" w:pos="1418"/>
        </w:tabs>
        <w:ind w:left="2126" w:hanging="708"/>
      </w:pPr>
      <w:rPr>
        <w:rFonts w:hint="default"/>
      </w:rPr>
    </w:lvl>
    <w:lvl w:ilvl="5">
      <w:start w:val="1"/>
      <w:numFmt w:val="lowerRoman"/>
      <w:pStyle w:val="HeadingH7ClausesubtextL3"/>
      <w:lvlText w:val="(%6)"/>
      <w:lvlJc w:val="left"/>
      <w:pPr>
        <w:tabs>
          <w:tab w:val="num" w:pos="2126"/>
        </w:tabs>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D0E0E28"/>
    <w:multiLevelType w:val="hybridMultilevel"/>
    <w:tmpl w:val="AE966550"/>
    <w:lvl w:ilvl="0" w:tplc="EA3ED2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F0D2060"/>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B80D2E"/>
    <w:multiLevelType w:val="multilevel"/>
    <w:tmpl w:val="17A6C344"/>
    <w:lvl w:ilvl="0">
      <w:start w:val="1"/>
      <w:numFmt w:val="decimal"/>
      <w:lvlText w:val="%1."/>
      <w:lvlJc w:val="left"/>
      <w:pPr>
        <w:tabs>
          <w:tab w:val="num" w:pos="709"/>
        </w:tabs>
        <w:ind w:left="709" w:hanging="709"/>
      </w:pPr>
      <w:rPr>
        <w:rFonts w:hint="default"/>
      </w:rPr>
    </w:lvl>
    <w:lvl w:ilvl="1">
      <w:start w:val="1"/>
      <w:numFmt w:val="decimal"/>
      <w:lvlText w:val="7.%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11867D3E"/>
    <w:multiLevelType w:val="hybridMultilevel"/>
    <w:tmpl w:val="226ABDFE"/>
    <w:lvl w:ilvl="0" w:tplc="217CD6CE">
      <w:start w:val="1"/>
      <w:numFmt w:val="lowerLetter"/>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8">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4966A00"/>
    <w:multiLevelType w:val="multilevel"/>
    <w:tmpl w:val="E904044A"/>
    <w:lvl w:ilvl="0">
      <w:start w:val="1"/>
      <w:numFmt w:val="decimal"/>
      <w:lvlText w:val="%1."/>
      <w:lvlJc w:val="left"/>
      <w:pPr>
        <w:tabs>
          <w:tab w:val="num" w:pos="709"/>
        </w:tabs>
        <w:ind w:left="709" w:hanging="709"/>
      </w:pPr>
      <w:rPr>
        <w:rFonts w:hint="default"/>
      </w:rPr>
    </w:lvl>
    <w:lvl w:ilvl="1">
      <w:start w:val="1"/>
      <w:numFmt w:val="decimal"/>
      <w:lvlText w:val="6.%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6.3.%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14D1485A"/>
    <w:multiLevelType w:val="hybridMultilevel"/>
    <w:tmpl w:val="3244EB1C"/>
    <w:lvl w:ilvl="0" w:tplc="06E4B2DC">
      <w:start w:val="1"/>
      <w:numFmt w:val="lowerLetter"/>
      <w:lvlText w:val="(%1)"/>
      <w:lvlJc w:val="left"/>
      <w:pPr>
        <w:ind w:left="468" w:hanging="360"/>
      </w:pPr>
      <w:rPr>
        <w:rFonts w:hint="default"/>
      </w:rPr>
    </w:lvl>
    <w:lvl w:ilvl="1" w:tplc="14090019" w:tentative="1">
      <w:start w:val="1"/>
      <w:numFmt w:val="lowerLetter"/>
      <w:lvlText w:val="%2."/>
      <w:lvlJc w:val="left"/>
      <w:pPr>
        <w:ind w:left="1188" w:hanging="360"/>
      </w:pPr>
    </w:lvl>
    <w:lvl w:ilvl="2" w:tplc="1409001B" w:tentative="1">
      <w:start w:val="1"/>
      <w:numFmt w:val="lowerRoman"/>
      <w:lvlText w:val="%3."/>
      <w:lvlJc w:val="right"/>
      <w:pPr>
        <w:ind w:left="1908" w:hanging="180"/>
      </w:pPr>
    </w:lvl>
    <w:lvl w:ilvl="3" w:tplc="1409000F" w:tentative="1">
      <w:start w:val="1"/>
      <w:numFmt w:val="decimal"/>
      <w:lvlText w:val="%4."/>
      <w:lvlJc w:val="left"/>
      <w:pPr>
        <w:ind w:left="2628" w:hanging="360"/>
      </w:pPr>
    </w:lvl>
    <w:lvl w:ilvl="4" w:tplc="14090019" w:tentative="1">
      <w:start w:val="1"/>
      <w:numFmt w:val="lowerLetter"/>
      <w:lvlText w:val="%5."/>
      <w:lvlJc w:val="left"/>
      <w:pPr>
        <w:ind w:left="3348" w:hanging="360"/>
      </w:pPr>
    </w:lvl>
    <w:lvl w:ilvl="5" w:tplc="1409001B" w:tentative="1">
      <w:start w:val="1"/>
      <w:numFmt w:val="lowerRoman"/>
      <w:lvlText w:val="%6."/>
      <w:lvlJc w:val="right"/>
      <w:pPr>
        <w:ind w:left="4068" w:hanging="180"/>
      </w:pPr>
    </w:lvl>
    <w:lvl w:ilvl="6" w:tplc="1409000F" w:tentative="1">
      <w:start w:val="1"/>
      <w:numFmt w:val="decimal"/>
      <w:lvlText w:val="%7."/>
      <w:lvlJc w:val="left"/>
      <w:pPr>
        <w:ind w:left="4788" w:hanging="360"/>
      </w:pPr>
    </w:lvl>
    <w:lvl w:ilvl="7" w:tplc="14090019" w:tentative="1">
      <w:start w:val="1"/>
      <w:numFmt w:val="lowerLetter"/>
      <w:lvlText w:val="%8."/>
      <w:lvlJc w:val="left"/>
      <w:pPr>
        <w:ind w:left="5508" w:hanging="360"/>
      </w:pPr>
    </w:lvl>
    <w:lvl w:ilvl="8" w:tplc="1409001B" w:tentative="1">
      <w:start w:val="1"/>
      <w:numFmt w:val="lowerRoman"/>
      <w:lvlText w:val="%9."/>
      <w:lvlJc w:val="right"/>
      <w:pPr>
        <w:ind w:left="6228" w:hanging="180"/>
      </w:pPr>
    </w:lvl>
  </w:abstractNum>
  <w:abstractNum w:abstractNumId="11">
    <w:nsid w:val="166606FE"/>
    <w:multiLevelType w:val="multilevel"/>
    <w:tmpl w:val="1A4C49E4"/>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3.%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1A3F19B4"/>
    <w:multiLevelType w:val="multilevel"/>
    <w:tmpl w:val="A142EB76"/>
    <w:lvl w:ilvl="0">
      <w:start w:val="1"/>
      <w:numFmt w:val="decimal"/>
      <w:lvlText w:val="%1."/>
      <w:lvlJc w:val="left"/>
      <w:pPr>
        <w:tabs>
          <w:tab w:val="num" w:pos="709"/>
        </w:tabs>
        <w:ind w:left="709" w:hanging="709"/>
      </w:pPr>
      <w:rPr>
        <w:rFonts w:hint="default"/>
      </w:rPr>
    </w:lvl>
    <w:lvl w:ilvl="1">
      <w:start w:val="1"/>
      <w:numFmt w:val="decimal"/>
      <w:lvlText w:val="8.%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1E031234"/>
    <w:multiLevelType w:val="hybridMultilevel"/>
    <w:tmpl w:val="1D1AEF64"/>
    <w:lvl w:ilvl="0" w:tplc="57FCD4AA">
      <w:start w:val="1"/>
      <w:numFmt w:val="bullet"/>
      <w:lvlText w:val=""/>
      <w:lvlJc w:val="left"/>
      <w:pPr>
        <w:ind w:left="2138" w:hanging="360"/>
      </w:pPr>
      <w:rPr>
        <w:rFonts w:ascii="Symbol" w:hAnsi="Symbol" w:hint="default"/>
      </w:rPr>
    </w:lvl>
    <w:lvl w:ilvl="1" w:tplc="315AC1B4" w:tentative="1">
      <w:start w:val="1"/>
      <w:numFmt w:val="bullet"/>
      <w:lvlText w:val="o"/>
      <w:lvlJc w:val="left"/>
      <w:pPr>
        <w:ind w:left="2858" w:hanging="360"/>
      </w:pPr>
      <w:rPr>
        <w:rFonts w:ascii="Courier New" w:hAnsi="Courier New" w:cs="Courier New" w:hint="default"/>
      </w:rPr>
    </w:lvl>
    <w:lvl w:ilvl="2" w:tplc="BD10A1A8" w:tentative="1">
      <w:start w:val="1"/>
      <w:numFmt w:val="bullet"/>
      <w:lvlText w:val=""/>
      <w:lvlJc w:val="left"/>
      <w:pPr>
        <w:ind w:left="3578" w:hanging="360"/>
      </w:pPr>
      <w:rPr>
        <w:rFonts w:ascii="Wingdings" w:hAnsi="Wingdings" w:hint="default"/>
      </w:rPr>
    </w:lvl>
    <w:lvl w:ilvl="3" w:tplc="4C4C96B0" w:tentative="1">
      <w:start w:val="1"/>
      <w:numFmt w:val="bullet"/>
      <w:lvlText w:val=""/>
      <w:lvlJc w:val="left"/>
      <w:pPr>
        <w:ind w:left="4298" w:hanging="360"/>
      </w:pPr>
      <w:rPr>
        <w:rFonts w:ascii="Symbol" w:hAnsi="Symbol" w:hint="default"/>
      </w:rPr>
    </w:lvl>
    <w:lvl w:ilvl="4" w:tplc="891C92DE" w:tentative="1">
      <w:start w:val="1"/>
      <w:numFmt w:val="bullet"/>
      <w:lvlText w:val="o"/>
      <w:lvlJc w:val="left"/>
      <w:pPr>
        <w:ind w:left="5018" w:hanging="360"/>
      </w:pPr>
      <w:rPr>
        <w:rFonts w:ascii="Courier New" w:hAnsi="Courier New" w:cs="Courier New" w:hint="default"/>
      </w:rPr>
    </w:lvl>
    <w:lvl w:ilvl="5" w:tplc="FAB44D8A" w:tentative="1">
      <w:start w:val="1"/>
      <w:numFmt w:val="bullet"/>
      <w:lvlText w:val=""/>
      <w:lvlJc w:val="left"/>
      <w:pPr>
        <w:ind w:left="5738" w:hanging="360"/>
      </w:pPr>
      <w:rPr>
        <w:rFonts w:ascii="Wingdings" w:hAnsi="Wingdings" w:hint="default"/>
      </w:rPr>
    </w:lvl>
    <w:lvl w:ilvl="6" w:tplc="1C822840" w:tentative="1">
      <w:start w:val="1"/>
      <w:numFmt w:val="bullet"/>
      <w:lvlText w:val=""/>
      <w:lvlJc w:val="left"/>
      <w:pPr>
        <w:ind w:left="6458" w:hanging="360"/>
      </w:pPr>
      <w:rPr>
        <w:rFonts w:ascii="Symbol" w:hAnsi="Symbol" w:hint="default"/>
      </w:rPr>
    </w:lvl>
    <w:lvl w:ilvl="7" w:tplc="82B62356" w:tentative="1">
      <w:start w:val="1"/>
      <w:numFmt w:val="bullet"/>
      <w:lvlText w:val="o"/>
      <w:lvlJc w:val="left"/>
      <w:pPr>
        <w:ind w:left="7178" w:hanging="360"/>
      </w:pPr>
      <w:rPr>
        <w:rFonts w:ascii="Courier New" w:hAnsi="Courier New" w:cs="Courier New" w:hint="default"/>
      </w:rPr>
    </w:lvl>
    <w:lvl w:ilvl="8" w:tplc="E5C661FC" w:tentative="1">
      <w:start w:val="1"/>
      <w:numFmt w:val="bullet"/>
      <w:lvlText w:val=""/>
      <w:lvlJc w:val="left"/>
      <w:pPr>
        <w:ind w:left="7898" w:hanging="360"/>
      </w:pPr>
      <w:rPr>
        <w:rFonts w:ascii="Wingdings" w:hAnsi="Wingdings" w:hint="default"/>
      </w:rPr>
    </w:lvl>
  </w:abstractNum>
  <w:abstractNum w:abstractNumId="15">
    <w:nsid w:val="212B331B"/>
    <w:multiLevelType w:val="hybridMultilevel"/>
    <w:tmpl w:val="86B09B68"/>
    <w:lvl w:ilvl="0" w:tplc="EA3ED2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8865214"/>
    <w:multiLevelType w:val="hybridMultilevel"/>
    <w:tmpl w:val="11869BEC"/>
    <w:lvl w:ilvl="0" w:tplc="EA3ED2D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2D170E40"/>
    <w:multiLevelType w:val="multilevel"/>
    <w:tmpl w:val="A6CEBFD8"/>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19">
    <w:nsid w:val="2DA30E83"/>
    <w:multiLevelType w:val="hybridMultilevel"/>
    <w:tmpl w:val="B9707382"/>
    <w:lvl w:ilvl="0" w:tplc="219494FE">
      <w:start w:val="1"/>
      <w:numFmt w:val="lowerLetter"/>
      <w:lvlText w:val="(%1)"/>
      <w:lvlJc w:val="left"/>
      <w:pPr>
        <w:ind w:left="720" w:hanging="360"/>
      </w:pPr>
      <w:rPr>
        <w:rFonts w:hint="default"/>
      </w:rPr>
    </w:lvl>
    <w:lvl w:ilvl="1" w:tplc="81DE848E" w:tentative="1">
      <w:start w:val="1"/>
      <w:numFmt w:val="lowerLetter"/>
      <w:lvlText w:val="%2."/>
      <w:lvlJc w:val="left"/>
      <w:pPr>
        <w:ind w:left="1440" w:hanging="360"/>
      </w:pPr>
    </w:lvl>
    <w:lvl w:ilvl="2" w:tplc="A22283BC" w:tentative="1">
      <w:start w:val="1"/>
      <w:numFmt w:val="lowerRoman"/>
      <w:lvlText w:val="%3."/>
      <w:lvlJc w:val="right"/>
      <w:pPr>
        <w:ind w:left="2160" w:hanging="180"/>
      </w:pPr>
    </w:lvl>
    <w:lvl w:ilvl="3" w:tplc="22A2E2EA" w:tentative="1">
      <w:start w:val="1"/>
      <w:numFmt w:val="decimal"/>
      <w:lvlText w:val="%4."/>
      <w:lvlJc w:val="left"/>
      <w:pPr>
        <w:ind w:left="2880" w:hanging="360"/>
      </w:pPr>
    </w:lvl>
    <w:lvl w:ilvl="4" w:tplc="BA84D178" w:tentative="1">
      <w:start w:val="1"/>
      <w:numFmt w:val="lowerLetter"/>
      <w:lvlText w:val="%5."/>
      <w:lvlJc w:val="left"/>
      <w:pPr>
        <w:ind w:left="3600" w:hanging="360"/>
      </w:pPr>
    </w:lvl>
    <w:lvl w:ilvl="5" w:tplc="7CBCCD68" w:tentative="1">
      <w:start w:val="1"/>
      <w:numFmt w:val="lowerRoman"/>
      <w:lvlText w:val="%6."/>
      <w:lvlJc w:val="right"/>
      <w:pPr>
        <w:ind w:left="4320" w:hanging="180"/>
      </w:pPr>
    </w:lvl>
    <w:lvl w:ilvl="6" w:tplc="CE9481B0" w:tentative="1">
      <w:start w:val="1"/>
      <w:numFmt w:val="decimal"/>
      <w:lvlText w:val="%7."/>
      <w:lvlJc w:val="left"/>
      <w:pPr>
        <w:ind w:left="5040" w:hanging="360"/>
      </w:pPr>
    </w:lvl>
    <w:lvl w:ilvl="7" w:tplc="CF743B2A" w:tentative="1">
      <w:start w:val="1"/>
      <w:numFmt w:val="lowerLetter"/>
      <w:lvlText w:val="%8."/>
      <w:lvlJc w:val="left"/>
      <w:pPr>
        <w:ind w:left="5760" w:hanging="360"/>
      </w:pPr>
    </w:lvl>
    <w:lvl w:ilvl="8" w:tplc="370C56BC" w:tentative="1">
      <w:start w:val="1"/>
      <w:numFmt w:val="lowerRoman"/>
      <w:lvlText w:val="%9."/>
      <w:lvlJc w:val="right"/>
      <w:pPr>
        <w:ind w:left="6480" w:hanging="180"/>
      </w:pPr>
    </w:lvl>
  </w:abstractNum>
  <w:abstractNum w:abstractNumId="20">
    <w:nsid w:val="2E605C8B"/>
    <w:multiLevelType w:val="multilevel"/>
    <w:tmpl w:val="21F40642"/>
    <w:lvl w:ilvl="0">
      <w:start w:val="1"/>
      <w:numFmt w:val="decimal"/>
      <w:pStyle w:val="HeadingH1"/>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21">
    <w:nsid w:val="2F8F3C76"/>
    <w:multiLevelType w:val="multilevel"/>
    <w:tmpl w:val="771E4A9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nsid w:val="32E66F1B"/>
    <w:multiLevelType w:val="multilevel"/>
    <w:tmpl w:val="6A7EF15A"/>
    <w:lvl w:ilvl="0">
      <w:start w:val="1"/>
      <w:numFmt w:val="decimal"/>
      <w:lvlText w:val="%1."/>
      <w:lvlJc w:val="left"/>
      <w:pPr>
        <w:tabs>
          <w:tab w:val="num" w:pos="720"/>
        </w:tabs>
        <w:ind w:left="720" w:hanging="360"/>
      </w:pPr>
    </w:lvl>
    <w:lvl w:ilvl="1">
      <w:start w:val="1"/>
      <w:numFmt w:val="lowerLetter"/>
      <w:lvlText w:val="(%2)"/>
      <w:lvlJc w:val="left"/>
      <w:pPr>
        <w:tabs>
          <w:tab w:val="num" w:pos="1920"/>
        </w:tabs>
        <w:ind w:left="1920" w:hanging="84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1353"/>
        </w:tabs>
        <w:ind w:left="1353"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3A62BAE"/>
    <w:multiLevelType w:val="multilevel"/>
    <w:tmpl w:val="026A0154"/>
    <w:styleLink w:val="Outlinestyl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33E75B19"/>
    <w:multiLevelType w:val="hybridMultilevel"/>
    <w:tmpl w:val="1DCA348A"/>
    <w:lvl w:ilvl="0" w:tplc="9E300B0A">
      <w:start w:val="1"/>
      <w:numFmt w:val="bullet"/>
      <w:lvlText w:val=""/>
      <w:lvlJc w:val="left"/>
      <w:pPr>
        <w:ind w:left="360" w:hanging="360"/>
      </w:pPr>
      <w:rPr>
        <w:rFonts w:ascii="Symbol" w:hAnsi="Symbol" w:hint="default"/>
      </w:rPr>
    </w:lvl>
    <w:lvl w:ilvl="1" w:tplc="BD2609CA">
      <w:start w:val="1"/>
      <w:numFmt w:val="bullet"/>
      <w:lvlText w:val="o"/>
      <w:lvlJc w:val="left"/>
      <w:pPr>
        <w:ind w:left="1080" w:hanging="360"/>
      </w:pPr>
      <w:rPr>
        <w:rFonts w:ascii="Courier New" w:hAnsi="Courier New" w:cs="Courier New" w:hint="default"/>
      </w:rPr>
    </w:lvl>
    <w:lvl w:ilvl="2" w:tplc="F02AFB5C" w:tentative="1">
      <w:start w:val="1"/>
      <w:numFmt w:val="bullet"/>
      <w:lvlText w:val=""/>
      <w:lvlJc w:val="left"/>
      <w:pPr>
        <w:ind w:left="1800" w:hanging="360"/>
      </w:pPr>
      <w:rPr>
        <w:rFonts w:ascii="Wingdings" w:hAnsi="Wingdings" w:hint="default"/>
      </w:rPr>
    </w:lvl>
    <w:lvl w:ilvl="3" w:tplc="A740B364">
      <w:start w:val="1"/>
      <w:numFmt w:val="bullet"/>
      <w:lvlText w:val=""/>
      <w:lvlJc w:val="left"/>
      <w:pPr>
        <w:ind w:left="2520" w:hanging="360"/>
      </w:pPr>
      <w:rPr>
        <w:rFonts w:ascii="Symbol" w:hAnsi="Symbol" w:hint="default"/>
      </w:rPr>
    </w:lvl>
    <w:lvl w:ilvl="4" w:tplc="AAEA6630">
      <w:start w:val="1"/>
      <w:numFmt w:val="bullet"/>
      <w:lvlText w:val="o"/>
      <w:lvlJc w:val="left"/>
      <w:pPr>
        <w:ind w:left="3240" w:hanging="360"/>
      </w:pPr>
      <w:rPr>
        <w:rFonts w:ascii="Courier New" w:hAnsi="Courier New" w:cs="Courier New" w:hint="default"/>
      </w:rPr>
    </w:lvl>
    <w:lvl w:ilvl="5" w:tplc="B5AC038C" w:tentative="1">
      <w:start w:val="1"/>
      <w:numFmt w:val="bullet"/>
      <w:lvlText w:val=""/>
      <w:lvlJc w:val="left"/>
      <w:pPr>
        <w:ind w:left="3960" w:hanging="360"/>
      </w:pPr>
      <w:rPr>
        <w:rFonts w:ascii="Wingdings" w:hAnsi="Wingdings" w:hint="default"/>
      </w:rPr>
    </w:lvl>
    <w:lvl w:ilvl="6" w:tplc="58B809A8" w:tentative="1">
      <w:start w:val="1"/>
      <w:numFmt w:val="bullet"/>
      <w:lvlText w:val=""/>
      <w:lvlJc w:val="left"/>
      <w:pPr>
        <w:ind w:left="4680" w:hanging="360"/>
      </w:pPr>
      <w:rPr>
        <w:rFonts w:ascii="Symbol" w:hAnsi="Symbol" w:hint="default"/>
      </w:rPr>
    </w:lvl>
    <w:lvl w:ilvl="7" w:tplc="C262AE3C" w:tentative="1">
      <w:start w:val="1"/>
      <w:numFmt w:val="bullet"/>
      <w:lvlText w:val="o"/>
      <w:lvlJc w:val="left"/>
      <w:pPr>
        <w:ind w:left="5400" w:hanging="360"/>
      </w:pPr>
      <w:rPr>
        <w:rFonts w:ascii="Courier New" w:hAnsi="Courier New" w:cs="Courier New" w:hint="default"/>
      </w:rPr>
    </w:lvl>
    <w:lvl w:ilvl="8" w:tplc="DD1E4630" w:tentative="1">
      <w:start w:val="1"/>
      <w:numFmt w:val="bullet"/>
      <w:lvlText w:val=""/>
      <w:lvlJc w:val="left"/>
      <w:pPr>
        <w:ind w:left="6120" w:hanging="360"/>
      </w:pPr>
      <w:rPr>
        <w:rFonts w:ascii="Wingdings" w:hAnsi="Wingdings" w:hint="default"/>
      </w:rPr>
    </w:lvl>
  </w:abstractNum>
  <w:abstractNum w:abstractNumId="25">
    <w:nsid w:val="33EA5562"/>
    <w:multiLevelType w:val="hybridMultilevel"/>
    <w:tmpl w:val="2DF68AF4"/>
    <w:lvl w:ilvl="0" w:tplc="6BAABA16">
      <w:start w:val="1"/>
      <w:numFmt w:val="lowerLetter"/>
      <w:lvlText w:val="(%1)"/>
      <w:lvlJc w:val="left"/>
      <w:pPr>
        <w:ind w:left="394" w:hanging="360"/>
      </w:pPr>
      <w:rPr>
        <w:rFonts w:cs="Arial" w:hint="default"/>
      </w:rPr>
    </w:lvl>
    <w:lvl w:ilvl="1" w:tplc="8C90173E" w:tentative="1">
      <w:start w:val="1"/>
      <w:numFmt w:val="lowerLetter"/>
      <w:lvlText w:val="%2."/>
      <w:lvlJc w:val="left"/>
      <w:pPr>
        <w:ind w:left="1114" w:hanging="360"/>
      </w:pPr>
    </w:lvl>
    <w:lvl w:ilvl="2" w:tplc="F69EAF4C" w:tentative="1">
      <w:start w:val="1"/>
      <w:numFmt w:val="lowerRoman"/>
      <w:lvlText w:val="%3."/>
      <w:lvlJc w:val="right"/>
      <w:pPr>
        <w:ind w:left="1834" w:hanging="180"/>
      </w:pPr>
    </w:lvl>
    <w:lvl w:ilvl="3" w:tplc="62B8C39A" w:tentative="1">
      <w:start w:val="1"/>
      <w:numFmt w:val="decimal"/>
      <w:lvlText w:val="%4."/>
      <w:lvlJc w:val="left"/>
      <w:pPr>
        <w:ind w:left="2554" w:hanging="360"/>
      </w:pPr>
    </w:lvl>
    <w:lvl w:ilvl="4" w:tplc="77F43CB8" w:tentative="1">
      <w:start w:val="1"/>
      <w:numFmt w:val="lowerLetter"/>
      <w:lvlText w:val="%5."/>
      <w:lvlJc w:val="left"/>
      <w:pPr>
        <w:ind w:left="3274" w:hanging="360"/>
      </w:pPr>
    </w:lvl>
    <w:lvl w:ilvl="5" w:tplc="C03AF200" w:tentative="1">
      <w:start w:val="1"/>
      <w:numFmt w:val="lowerRoman"/>
      <w:lvlText w:val="%6."/>
      <w:lvlJc w:val="right"/>
      <w:pPr>
        <w:ind w:left="3994" w:hanging="180"/>
      </w:pPr>
    </w:lvl>
    <w:lvl w:ilvl="6" w:tplc="B30A243E" w:tentative="1">
      <w:start w:val="1"/>
      <w:numFmt w:val="decimal"/>
      <w:lvlText w:val="%7."/>
      <w:lvlJc w:val="left"/>
      <w:pPr>
        <w:ind w:left="4714" w:hanging="360"/>
      </w:pPr>
    </w:lvl>
    <w:lvl w:ilvl="7" w:tplc="BC1C1524" w:tentative="1">
      <w:start w:val="1"/>
      <w:numFmt w:val="lowerLetter"/>
      <w:lvlText w:val="%8."/>
      <w:lvlJc w:val="left"/>
      <w:pPr>
        <w:ind w:left="5434" w:hanging="360"/>
      </w:pPr>
    </w:lvl>
    <w:lvl w:ilvl="8" w:tplc="4608127C" w:tentative="1">
      <w:start w:val="1"/>
      <w:numFmt w:val="lowerRoman"/>
      <w:lvlText w:val="%9."/>
      <w:lvlJc w:val="right"/>
      <w:pPr>
        <w:ind w:left="6154" w:hanging="180"/>
      </w:pPr>
    </w:lvl>
  </w:abstractNum>
  <w:abstractNum w:abstractNumId="26">
    <w:nsid w:val="36E40D61"/>
    <w:multiLevelType w:val="multilevel"/>
    <w:tmpl w:val="DE782AA4"/>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6.%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nsid w:val="374B6E1E"/>
    <w:multiLevelType w:val="multilevel"/>
    <w:tmpl w:val="298AD6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nsid w:val="38FC6B32"/>
    <w:multiLevelType w:val="multilevel"/>
    <w:tmpl w:val="771E4A9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nsid w:val="3A5472C0"/>
    <w:multiLevelType w:val="multilevel"/>
    <w:tmpl w:val="6BFE47AE"/>
    <w:lvl w:ilvl="0">
      <w:start w:val="1"/>
      <w:numFmt w:val="decimal"/>
      <w:pStyle w:val="SchHead1SCHEDULE"/>
      <w:lvlText w:val="SCHEDULE %1"/>
      <w:lvlJc w:val="left"/>
      <w:pPr>
        <w:tabs>
          <w:tab w:val="num" w:pos="1985"/>
        </w:tabs>
        <w:ind w:left="1985" w:firstLine="0"/>
      </w:pPr>
      <w:rPr>
        <w:rFonts w:hint="default"/>
        <w:caps/>
        <w:sz w:val="32"/>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3.%5"/>
      <w:lvlJc w:val="left"/>
      <w:pPr>
        <w:tabs>
          <w:tab w:val="num" w:pos="851"/>
        </w:tabs>
        <w:ind w:left="851" w:hanging="567"/>
      </w:pPr>
      <w:rPr>
        <w:rFonts w:ascii="Calibri" w:hAnsi="Calibri"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pStyle w:val="SchHead7ClausesubttextL3"/>
      <w:lvlText w:val="(%7)"/>
      <w:lvlJc w:val="left"/>
      <w:pPr>
        <w:tabs>
          <w:tab w:val="num" w:pos="2268"/>
        </w:tabs>
        <w:ind w:left="2268" w:hanging="567"/>
      </w:pPr>
      <w:rPr>
        <w:rFonts w:hint="default"/>
      </w:r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30">
    <w:nsid w:val="3E5D34BD"/>
    <w:multiLevelType w:val="multilevel"/>
    <w:tmpl w:val="79203202"/>
    <w:lvl w:ilvl="0">
      <w:start w:val="1"/>
      <w:numFmt w:val="lowerLetter"/>
      <w:lvlText w:val="(%1)"/>
      <w:lvlJc w:val="left"/>
      <w:pPr>
        <w:ind w:left="394" w:hanging="360"/>
      </w:pPr>
      <w:rPr>
        <w:rFonts w:hint="default"/>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31">
    <w:nsid w:val="3E836084"/>
    <w:multiLevelType w:val="hybridMultilevel"/>
    <w:tmpl w:val="B5CCE91C"/>
    <w:lvl w:ilvl="0" w:tplc="DC427D78">
      <w:start w:val="1"/>
      <w:numFmt w:val="lowerLetter"/>
      <w:lvlText w:val="(%1)"/>
      <w:lvlJc w:val="left"/>
      <w:pPr>
        <w:ind w:left="468" w:hanging="360"/>
      </w:pPr>
      <w:rPr>
        <w:rFonts w:hint="default"/>
      </w:rPr>
    </w:lvl>
    <w:lvl w:ilvl="1" w:tplc="FB6E695A" w:tentative="1">
      <w:start w:val="1"/>
      <w:numFmt w:val="lowerLetter"/>
      <w:lvlText w:val="%2."/>
      <w:lvlJc w:val="left"/>
      <w:pPr>
        <w:ind w:left="1188" w:hanging="360"/>
      </w:pPr>
    </w:lvl>
    <w:lvl w:ilvl="2" w:tplc="1318D5BE" w:tentative="1">
      <w:start w:val="1"/>
      <w:numFmt w:val="lowerRoman"/>
      <w:lvlText w:val="%3."/>
      <w:lvlJc w:val="right"/>
      <w:pPr>
        <w:ind w:left="1908" w:hanging="180"/>
      </w:pPr>
    </w:lvl>
    <w:lvl w:ilvl="3" w:tplc="8A1E2998" w:tentative="1">
      <w:start w:val="1"/>
      <w:numFmt w:val="decimal"/>
      <w:lvlText w:val="%4."/>
      <w:lvlJc w:val="left"/>
      <w:pPr>
        <w:ind w:left="2628" w:hanging="360"/>
      </w:pPr>
    </w:lvl>
    <w:lvl w:ilvl="4" w:tplc="35CE906A" w:tentative="1">
      <w:start w:val="1"/>
      <w:numFmt w:val="lowerLetter"/>
      <w:lvlText w:val="%5."/>
      <w:lvlJc w:val="left"/>
      <w:pPr>
        <w:ind w:left="3348" w:hanging="360"/>
      </w:pPr>
    </w:lvl>
    <w:lvl w:ilvl="5" w:tplc="C39E2CDA" w:tentative="1">
      <w:start w:val="1"/>
      <w:numFmt w:val="lowerRoman"/>
      <w:lvlText w:val="%6."/>
      <w:lvlJc w:val="right"/>
      <w:pPr>
        <w:ind w:left="4068" w:hanging="180"/>
      </w:pPr>
    </w:lvl>
    <w:lvl w:ilvl="6" w:tplc="072EF49C" w:tentative="1">
      <w:start w:val="1"/>
      <w:numFmt w:val="decimal"/>
      <w:lvlText w:val="%7."/>
      <w:lvlJc w:val="left"/>
      <w:pPr>
        <w:ind w:left="4788" w:hanging="360"/>
      </w:pPr>
    </w:lvl>
    <w:lvl w:ilvl="7" w:tplc="93546BC4" w:tentative="1">
      <w:start w:val="1"/>
      <w:numFmt w:val="lowerLetter"/>
      <w:lvlText w:val="%8."/>
      <w:lvlJc w:val="left"/>
      <w:pPr>
        <w:ind w:left="5508" w:hanging="360"/>
      </w:pPr>
    </w:lvl>
    <w:lvl w:ilvl="8" w:tplc="D9704F42" w:tentative="1">
      <w:start w:val="1"/>
      <w:numFmt w:val="lowerRoman"/>
      <w:lvlText w:val="%9."/>
      <w:lvlJc w:val="right"/>
      <w:pPr>
        <w:ind w:left="6228" w:hanging="180"/>
      </w:pPr>
    </w:lvl>
  </w:abstractNum>
  <w:abstractNum w:abstractNumId="32">
    <w:nsid w:val="407B6043"/>
    <w:multiLevelType w:val="multilevel"/>
    <w:tmpl w:val="47DE8C9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nsid w:val="41E77AC7"/>
    <w:multiLevelType w:val="multilevel"/>
    <w:tmpl w:val="1034F14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nsid w:val="435314D2"/>
    <w:multiLevelType w:val="hybridMultilevel"/>
    <w:tmpl w:val="FEC20E48"/>
    <w:lvl w:ilvl="0" w:tplc="4990942E">
      <w:start w:val="1"/>
      <w:numFmt w:val="decimal"/>
      <w:pStyle w:val="Tablenumberedlist"/>
      <w:lvlText w:val="%1"/>
      <w:lvlJc w:val="left"/>
      <w:pPr>
        <w:tabs>
          <w:tab w:val="num" w:pos="284"/>
        </w:tabs>
        <w:ind w:left="284" w:hanging="284"/>
      </w:pPr>
      <w:rPr>
        <w:rFonts w:hint="default"/>
      </w:rPr>
    </w:lvl>
    <w:lvl w:ilvl="1" w:tplc="2A3A5F4C" w:tentative="1">
      <w:start w:val="1"/>
      <w:numFmt w:val="lowerLetter"/>
      <w:lvlText w:val="%2."/>
      <w:lvlJc w:val="left"/>
      <w:pPr>
        <w:tabs>
          <w:tab w:val="num" w:pos="1440"/>
        </w:tabs>
        <w:ind w:left="1440" w:hanging="360"/>
      </w:pPr>
    </w:lvl>
    <w:lvl w:ilvl="2" w:tplc="6876F6DC" w:tentative="1">
      <w:start w:val="1"/>
      <w:numFmt w:val="lowerRoman"/>
      <w:lvlText w:val="%3."/>
      <w:lvlJc w:val="right"/>
      <w:pPr>
        <w:tabs>
          <w:tab w:val="num" w:pos="2160"/>
        </w:tabs>
        <w:ind w:left="2160" w:hanging="180"/>
      </w:pPr>
    </w:lvl>
    <w:lvl w:ilvl="3" w:tplc="DE7CFAC6" w:tentative="1">
      <w:start w:val="1"/>
      <w:numFmt w:val="decimal"/>
      <w:lvlText w:val="%4."/>
      <w:lvlJc w:val="left"/>
      <w:pPr>
        <w:tabs>
          <w:tab w:val="num" w:pos="2880"/>
        </w:tabs>
        <w:ind w:left="2880" w:hanging="360"/>
      </w:pPr>
    </w:lvl>
    <w:lvl w:ilvl="4" w:tplc="3B3244F2" w:tentative="1">
      <w:start w:val="1"/>
      <w:numFmt w:val="lowerLetter"/>
      <w:lvlText w:val="%5."/>
      <w:lvlJc w:val="left"/>
      <w:pPr>
        <w:tabs>
          <w:tab w:val="num" w:pos="3600"/>
        </w:tabs>
        <w:ind w:left="3600" w:hanging="360"/>
      </w:pPr>
    </w:lvl>
    <w:lvl w:ilvl="5" w:tplc="73DC56E6" w:tentative="1">
      <w:start w:val="1"/>
      <w:numFmt w:val="lowerRoman"/>
      <w:lvlText w:val="%6."/>
      <w:lvlJc w:val="right"/>
      <w:pPr>
        <w:tabs>
          <w:tab w:val="num" w:pos="4320"/>
        </w:tabs>
        <w:ind w:left="4320" w:hanging="180"/>
      </w:pPr>
    </w:lvl>
    <w:lvl w:ilvl="6" w:tplc="1C987578" w:tentative="1">
      <w:start w:val="1"/>
      <w:numFmt w:val="decimal"/>
      <w:lvlText w:val="%7."/>
      <w:lvlJc w:val="left"/>
      <w:pPr>
        <w:tabs>
          <w:tab w:val="num" w:pos="5040"/>
        </w:tabs>
        <w:ind w:left="5040" w:hanging="360"/>
      </w:pPr>
    </w:lvl>
    <w:lvl w:ilvl="7" w:tplc="E3CCC412" w:tentative="1">
      <w:start w:val="1"/>
      <w:numFmt w:val="lowerLetter"/>
      <w:lvlText w:val="%8."/>
      <w:lvlJc w:val="left"/>
      <w:pPr>
        <w:tabs>
          <w:tab w:val="num" w:pos="5760"/>
        </w:tabs>
        <w:ind w:left="5760" w:hanging="360"/>
      </w:pPr>
    </w:lvl>
    <w:lvl w:ilvl="8" w:tplc="5F443D44" w:tentative="1">
      <w:start w:val="1"/>
      <w:numFmt w:val="lowerRoman"/>
      <w:lvlText w:val="%9."/>
      <w:lvlJc w:val="right"/>
      <w:pPr>
        <w:tabs>
          <w:tab w:val="num" w:pos="6480"/>
        </w:tabs>
        <w:ind w:left="6480" w:hanging="180"/>
      </w:pPr>
    </w:lvl>
  </w:abstractNum>
  <w:abstractNum w:abstractNumId="35">
    <w:nsid w:val="45627FE7"/>
    <w:multiLevelType w:val="multilevel"/>
    <w:tmpl w:val="4DB488F0"/>
    <w:lvl w:ilvl="0">
      <w:start w:val="1"/>
      <w:numFmt w:val="bullet"/>
      <w:lvlText w:val="o"/>
      <w:lvlJc w:val="left"/>
      <w:pPr>
        <w:tabs>
          <w:tab w:val="num" w:pos="284"/>
        </w:tabs>
        <w:ind w:left="284" w:hanging="284"/>
      </w:pPr>
      <w:rPr>
        <w:rFonts w:ascii="Courier New" w:hAnsi="Courier New" w:cs="Courier New"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nsid w:val="46E03DEC"/>
    <w:multiLevelType w:val="multilevel"/>
    <w:tmpl w:val="5CFEF0AA"/>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8.%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nsid w:val="4BA41F0E"/>
    <w:multiLevelType w:val="multilevel"/>
    <w:tmpl w:val="0958EEF2"/>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38">
    <w:nsid w:val="4C435C4B"/>
    <w:multiLevelType w:val="hybridMultilevel"/>
    <w:tmpl w:val="B5E80AE4"/>
    <w:lvl w:ilvl="0" w:tplc="B20CEFF8">
      <w:start w:val="1"/>
      <w:numFmt w:val="lowerLetter"/>
      <w:lvlText w:val="(%1)"/>
      <w:lvlJc w:val="left"/>
      <w:pPr>
        <w:ind w:left="468" w:hanging="360"/>
      </w:pPr>
      <w:rPr>
        <w:rFonts w:hint="default"/>
      </w:rPr>
    </w:lvl>
    <w:lvl w:ilvl="1" w:tplc="96B2B13C">
      <w:start w:val="1"/>
      <w:numFmt w:val="lowerLetter"/>
      <w:lvlText w:val="%2."/>
      <w:lvlJc w:val="left"/>
      <w:pPr>
        <w:ind w:left="1188" w:hanging="360"/>
      </w:pPr>
    </w:lvl>
    <w:lvl w:ilvl="2" w:tplc="D9425870" w:tentative="1">
      <w:start w:val="1"/>
      <w:numFmt w:val="lowerRoman"/>
      <w:lvlText w:val="%3."/>
      <w:lvlJc w:val="right"/>
      <w:pPr>
        <w:ind w:left="1908" w:hanging="180"/>
      </w:pPr>
    </w:lvl>
    <w:lvl w:ilvl="3" w:tplc="127692DA" w:tentative="1">
      <w:start w:val="1"/>
      <w:numFmt w:val="decimal"/>
      <w:lvlText w:val="%4."/>
      <w:lvlJc w:val="left"/>
      <w:pPr>
        <w:ind w:left="2628" w:hanging="360"/>
      </w:pPr>
    </w:lvl>
    <w:lvl w:ilvl="4" w:tplc="3E2A377A" w:tentative="1">
      <w:start w:val="1"/>
      <w:numFmt w:val="lowerLetter"/>
      <w:lvlText w:val="%5."/>
      <w:lvlJc w:val="left"/>
      <w:pPr>
        <w:ind w:left="3348" w:hanging="360"/>
      </w:pPr>
    </w:lvl>
    <w:lvl w:ilvl="5" w:tplc="97F62000" w:tentative="1">
      <w:start w:val="1"/>
      <w:numFmt w:val="lowerRoman"/>
      <w:lvlText w:val="%6."/>
      <w:lvlJc w:val="right"/>
      <w:pPr>
        <w:ind w:left="4068" w:hanging="180"/>
      </w:pPr>
    </w:lvl>
    <w:lvl w:ilvl="6" w:tplc="16004686" w:tentative="1">
      <w:start w:val="1"/>
      <w:numFmt w:val="decimal"/>
      <w:lvlText w:val="%7."/>
      <w:lvlJc w:val="left"/>
      <w:pPr>
        <w:ind w:left="4788" w:hanging="360"/>
      </w:pPr>
    </w:lvl>
    <w:lvl w:ilvl="7" w:tplc="CE784922" w:tentative="1">
      <w:start w:val="1"/>
      <w:numFmt w:val="lowerLetter"/>
      <w:lvlText w:val="%8."/>
      <w:lvlJc w:val="left"/>
      <w:pPr>
        <w:ind w:left="5508" w:hanging="360"/>
      </w:pPr>
    </w:lvl>
    <w:lvl w:ilvl="8" w:tplc="FBF0B3C4" w:tentative="1">
      <w:start w:val="1"/>
      <w:numFmt w:val="lowerRoman"/>
      <w:lvlText w:val="%9."/>
      <w:lvlJc w:val="right"/>
      <w:pPr>
        <w:ind w:left="6228" w:hanging="180"/>
      </w:pPr>
    </w:lvl>
  </w:abstractNum>
  <w:abstractNum w:abstractNumId="39">
    <w:nsid w:val="4F954864"/>
    <w:multiLevelType w:val="hybridMultilevel"/>
    <w:tmpl w:val="F3A2576E"/>
    <w:lvl w:ilvl="0" w:tplc="0EC86112">
      <w:start w:val="1"/>
      <w:numFmt w:val="bullet"/>
      <w:lvlText w:val=""/>
      <w:lvlJc w:val="left"/>
      <w:pPr>
        <w:ind w:left="720" w:hanging="360"/>
      </w:pPr>
      <w:rPr>
        <w:rFonts w:ascii="Symbol" w:hAnsi="Symbol" w:hint="default"/>
      </w:rPr>
    </w:lvl>
    <w:lvl w:ilvl="1" w:tplc="499C627A">
      <w:start w:val="1"/>
      <w:numFmt w:val="bullet"/>
      <w:lvlText w:val="o"/>
      <w:lvlJc w:val="left"/>
      <w:pPr>
        <w:ind w:left="1440" w:hanging="360"/>
      </w:pPr>
      <w:rPr>
        <w:rFonts w:ascii="Courier New" w:hAnsi="Courier New" w:cs="Courier New" w:hint="default"/>
      </w:rPr>
    </w:lvl>
    <w:lvl w:ilvl="2" w:tplc="5504F312" w:tentative="1">
      <w:start w:val="1"/>
      <w:numFmt w:val="bullet"/>
      <w:lvlText w:val=""/>
      <w:lvlJc w:val="left"/>
      <w:pPr>
        <w:ind w:left="2160" w:hanging="360"/>
      </w:pPr>
      <w:rPr>
        <w:rFonts w:ascii="Wingdings" w:hAnsi="Wingdings" w:hint="default"/>
      </w:rPr>
    </w:lvl>
    <w:lvl w:ilvl="3" w:tplc="9320ABE8" w:tentative="1">
      <w:start w:val="1"/>
      <w:numFmt w:val="bullet"/>
      <w:lvlText w:val=""/>
      <w:lvlJc w:val="left"/>
      <w:pPr>
        <w:ind w:left="2880" w:hanging="360"/>
      </w:pPr>
      <w:rPr>
        <w:rFonts w:ascii="Symbol" w:hAnsi="Symbol" w:hint="default"/>
      </w:rPr>
    </w:lvl>
    <w:lvl w:ilvl="4" w:tplc="68342958" w:tentative="1">
      <w:start w:val="1"/>
      <w:numFmt w:val="bullet"/>
      <w:lvlText w:val="o"/>
      <w:lvlJc w:val="left"/>
      <w:pPr>
        <w:ind w:left="3600" w:hanging="360"/>
      </w:pPr>
      <w:rPr>
        <w:rFonts w:ascii="Courier New" w:hAnsi="Courier New" w:cs="Courier New" w:hint="default"/>
      </w:rPr>
    </w:lvl>
    <w:lvl w:ilvl="5" w:tplc="84E23728" w:tentative="1">
      <w:start w:val="1"/>
      <w:numFmt w:val="bullet"/>
      <w:lvlText w:val=""/>
      <w:lvlJc w:val="left"/>
      <w:pPr>
        <w:ind w:left="4320" w:hanging="360"/>
      </w:pPr>
      <w:rPr>
        <w:rFonts w:ascii="Wingdings" w:hAnsi="Wingdings" w:hint="default"/>
      </w:rPr>
    </w:lvl>
    <w:lvl w:ilvl="6" w:tplc="6E40FAC2" w:tentative="1">
      <w:start w:val="1"/>
      <w:numFmt w:val="bullet"/>
      <w:lvlText w:val=""/>
      <w:lvlJc w:val="left"/>
      <w:pPr>
        <w:ind w:left="5040" w:hanging="360"/>
      </w:pPr>
      <w:rPr>
        <w:rFonts w:ascii="Symbol" w:hAnsi="Symbol" w:hint="default"/>
      </w:rPr>
    </w:lvl>
    <w:lvl w:ilvl="7" w:tplc="AB7C3E18" w:tentative="1">
      <w:start w:val="1"/>
      <w:numFmt w:val="bullet"/>
      <w:lvlText w:val="o"/>
      <w:lvlJc w:val="left"/>
      <w:pPr>
        <w:ind w:left="5760" w:hanging="360"/>
      </w:pPr>
      <w:rPr>
        <w:rFonts w:ascii="Courier New" w:hAnsi="Courier New" w:cs="Courier New" w:hint="default"/>
      </w:rPr>
    </w:lvl>
    <w:lvl w:ilvl="8" w:tplc="A85A00EC" w:tentative="1">
      <w:start w:val="1"/>
      <w:numFmt w:val="bullet"/>
      <w:lvlText w:val=""/>
      <w:lvlJc w:val="left"/>
      <w:pPr>
        <w:ind w:left="6480" w:hanging="360"/>
      </w:pPr>
      <w:rPr>
        <w:rFonts w:ascii="Wingdings" w:hAnsi="Wingdings" w:hint="default"/>
      </w:rPr>
    </w:lvl>
  </w:abstractNum>
  <w:abstractNum w:abstractNumId="40">
    <w:nsid w:val="50AC1E7B"/>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2DD2ACF"/>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5044503"/>
    <w:multiLevelType w:val="hybridMultilevel"/>
    <w:tmpl w:val="65AE2456"/>
    <w:lvl w:ilvl="0" w:tplc="6C72DC0E">
      <w:start w:val="1"/>
      <w:numFmt w:val="lowerLetter"/>
      <w:lvlText w:val="(%1)"/>
      <w:lvlJc w:val="left"/>
      <w:pPr>
        <w:ind w:left="720" w:hanging="360"/>
      </w:pPr>
      <w:rPr>
        <w:rFonts w:hint="default"/>
        <w:b w:val="0"/>
      </w:rPr>
    </w:lvl>
    <w:lvl w:ilvl="1" w:tplc="A7C490DA" w:tentative="1">
      <w:start w:val="1"/>
      <w:numFmt w:val="lowerLetter"/>
      <w:lvlText w:val="%2."/>
      <w:lvlJc w:val="left"/>
      <w:pPr>
        <w:ind w:left="1440" w:hanging="360"/>
      </w:pPr>
    </w:lvl>
    <w:lvl w:ilvl="2" w:tplc="77BE11BE" w:tentative="1">
      <w:start w:val="1"/>
      <w:numFmt w:val="lowerRoman"/>
      <w:lvlText w:val="%3."/>
      <w:lvlJc w:val="right"/>
      <w:pPr>
        <w:ind w:left="2160" w:hanging="180"/>
      </w:pPr>
    </w:lvl>
    <w:lvl w:ilvl="3" w:tplc="061481CE" w:tentative="1">
      <w:start w:val="1"/>
      <w:numFmt w:val="decimal"/>
      <w:lvlText w:val="%4."/>
      <w:lvlJc w:val="left"/>
      <w:pPr>
        <w:ind w:left="2880" w:hanging="360"/>
      </w:pPr>
    </w:lvl>
    <w:lvl w:ilvl="4" w:tplc="4EA0D6C6">
      <w:start w:val="1"/>
      <w:numFmt w:val="lowerLetter"/>
      <w:lvlText w:val="%5."/>
      <w:lvlJc w:val="left"/>
      <w:pPr>
        <w:ind w:left="3600" w:hanging="360"/>
      </w:pPr>
    </w:lvl>
    <w:lvl w:ilvl="5" w:tplc="04522B22" w:tentative="1">
      <w:start w:val="1"/>
      <w:numFmt w:val="lowerRoman"/>
      <w:lvlText w:val="%6."/>
      <w:lvlJc w:val="right"/>
      <w:pPr>
        <w:ind w:left="4320" w:hanging="180"/>
      </w:pPr>
    </w:lvl>
    <w:lvl w:ilvl="6" w:tplc="020E3A04" w:tentative="1">
      <w:start w:val="1"/>
      <w:numFmt w:val="decimal"/>
      <w:lvlText w:val="%7."/>
      <w:lvlJc w:val="left"/>
      <w:pPr>
        <w:ind w:left="5040" w:hanging="360"/>
      </w:pPr>
    </w:lvl>
    <w:lvl w:ilvl="7" w:tplc="1D5EE268" w:tentative="1">
      <w:start w:val="1"/>
      <w:numFmt w:val="lowerLetter"/>
      <w:lvlText w:val="%8."/>
      <w:lvlJc w:val="left"/>
      <w:pPr>
        <w:ind w:left="5760" w:hanging="360"/>
      </w:pPr>
    </w:lvl>
    <w:lvl w:ilvl="8" w:tplc="63D2D692" w:tentative="1">
      <w:start w:val="1"/>
      <w:numFmt w:val="lowerRoman"/>
      <w:lvlText w:val="%9."/>
      <w:lvlJc w:val="right"/>
      <w:pPr>
        <w:ind w:left="6480" w:hanging="180"/>
      </w:pPr>
    </w:lvl>
  </w:abstractNum>
  <w:abstractNum w:abstractNumId="43">
    <w:nsid w:val="55851545"/>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6070D4E"/>
    <w:multiLevelType w:val="hybridMultilevel"/>
    <w:tmpl w:val="57BAE50E"/>
    <w:lvl w:ilvl="0" w:tplc="064CE43E">
      <w:start w:val="1"/>
      <w:numFmt w:val="lowerLetter"/>
      <w:lvlText w:val="(%1)"/>
      <w:lvlJc w:val="left"/>
      <w:pPr>
        <w:ind w:left="720" w:hanging="360"/>
      </w:pPr>
      <w:rPr>
        <w:rFonts w:asciiTheme="minorHAnsi" w:eastAsia="Times New Roman" w:hAnsiTheme="minorHAnsi" w:cs="Arial"/>
      </w:rPr>
    </w:lvl>
    <w:lvl w:ilvl="1" w:tplc="B962850E">
      <w:start w:val="1"/>
      <w:numFmt w:val="lowerLetter"/>
      <w:lvlText w:val="%2."/>
      <w:lvlJc w:val="left"/>
      <w:pPr>
        <w:ind w:left="1440" w:hanging="360"/>
      </w:pPr>
    </w:lvl>
    <w:lvl w:ilvl="2" w:tplc="D1F2C862" w:tentative="1">
      <w:start w:val="1"/>
      <w:numFmt w:val="lowerRoman"/>
      <w:lvlText w:val="%3."/>
      <w:lvlJc w:val="right"/>
      <w:pPr>
        <w:ind w:left="2160" w:hanging="180"/>
      </w:pPr>
    </w:lvl>
    <w:lvl w:ilvl="3" w:tplc="D54C67D8" w:tentative="1">
      <w:start w:val="1"/>
      <w:numFmt w:val="decimal"/>
      <w:lvlText w:val="%4."/>
      <w:lvlJc w:val="left"/>
      <w:pPr>
        <w:ind w:left="2880" w:hanging="360"/>
      </w:pPr>
    </w:lvl>
    <w:lvl w:ilvl="4" w:tplc="605C3FF2" w:tentative="1">
      <w:start w:val="1"/>
      <w:numFmt w:val="lowerLetter"/>
      <w:lvlText w:val="%5."/>
      <w:lvlJc w:val="left"/>
      <w:pPr>
        <w:ind w:left="3600" w:hanging="360"/>
      </w:pPr>
    </w:lvl>
    <w:lvl w:ilvl="5" w:tplc="A6E04C7E" w:tentative="1">
      <w:start w:val="1"/>
      <w:numFmt w:val="lowerRoman"/>
      <w:lvlText w:val="%6."/>
      <w:lvlJc w:val="right"/>
      <w:pPr>
        <w:ind w:left="4320" w:hanging="180"/>
      </w:pPr>
    </w:lvl>
    <w:lvl w:ilvl="6" w:tplc="D5AA6898" w:tentative="1">
      <w:start w:val="1"/>
      <w:numFmt w:val="decimal"/>
      <w:lvlText w:val="%7."/>
      <w:lvlJc w:val="left"/>
      <w:pPr>
        <w:ind w:left="5040" w:hanging="360"/>
      </w:pPr>
    </w:lvl>
    <w:lvl w:ilvl="7" w:tplc="1884CE28" w:tentative="1">
      <w:start w:val="1"/>
      <w:numFmt w:val="lowerLetter"/>
      <w:lvlText w:val="%8."/>
      <w:lvlJc w:val="left"/>
      <w:pPr>
        <w:ind w:left="5760" w:hanging="360"/>
      </w:pPr>
    </w:lvl>
    <w:lvl w:ilvl="8" w:tplc="533EED58" w:tentative="1">
      <w:start w:val="1"/>
      <w:numFmt w:val="lowerRoman"/>
      <w:lvlText w:val="%9."/>
      <w:lvlJc w:val="right"/>
      <w:pPr>
        <w:ind w:left="6480" w:hanging="180"/>
      </w:pPr>
    </w:lvl>
  </w:abstractNum>
  <w:abstractNum w:abstractNumId="45">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nsid w:val="591E0F60"/>
    <w:multiLevelType w:val="hybridMultilevel"/>
    <w:tmpl w:val="AA062754"/>
    <w:lvl w:ilvl="0" w:tplc="85626B0C">
      <w:start w:val="1"/>
      <w:numFmt w:val="bullet"/>
      <w:pStyle w:val="Level1bullet"/>
      <w:lvlText w:val=""/>
      <w:lvlJc w:val="left"/>
      <w:pPr>
        <w:tabs>
          <w:tab w:val="num" w:pos="567"/>
        </w:tabs>
        <w:ind w:left="567" w:hanging="567"/>
      </w:pPr>
      <w:rPr>
        <w:rFonts w:ascii="Wingdings" w:hAnsi="Wingdings" w:hint="default"/>
      </w:rPr>
    </w:lvl>
    <w:lvl w:ilvl="1" w:tplc="14709324" w:tentative="1">
      <w:start w:val="1"/>
      <w:numFmt w:val="bullet"/>
      <w:lvlText w:val="o"/>
      <w:lvlJc w:val="left"/>
      <w:pPr>
        <w:tabs>
          <w:tab w:val="num" w:pos="1440"/>
        </w:tabs>
        <w:ind w:left="1440" w:hanging="360"/>
      </w:pPr>
      <w:rPr>
        <w:rFonts w:ascii="Courier New" w:hAnsi="Courier New" w:cs="Courier New" w:hint="default"/>
      </w:rPr>
    </w:lvl>
    <w:lvl w:ilvl="2" w:tplc="539011A8" w:tentative="1">
      <w:start w:val="1"/>
      <w:numFmt w:val="bullet"/>
      <w:lvlText w:val=""/>
      <w:lvlJc w:val="left"/>
      <w:pPr>
        <w:tabs>
          <w:tab w:val="num" w:pos="2160"/>
        </w:tabs>
        <w:ind w:left="2160" w:hanging="360"/>
      </w:pPr>
      <w:rPr>
        <w:rFonts w:ascii="Wingdings" w:hAnsi="Wingdings" w:hint="default"/>
      </w:rPr>
    </w:lvl>
    <w:lvl w:ilvl="3" w:tplc="A8A08ED8" w:tentative="1">
      <w:start w:val="1"/>
      <w:numFmt w:val="bullet"/>
      <w:lvlText w:val=""/>
      <w:lvlJc w:val="left"/>
      <w:pPr>
        <w:tabs>
          <w:tab w:val="num" w:pos="2880"/>
        </w:tabs>
        <w:ind w:left="2880" w:hanging="360"/>
      </w:pPr>
      <w:rPr>
        <w:rFonts w:ascii="Symbol" w:hAnsi="Symbol" w:hint="default"/>
      </w:rPr>
    </w:lvl>
    <w:lvl w:ilvl="4" w:tplc="A1048CDC" w:tentative="1">
      <w:start w:val="1"/>
      <w:numFmt w:val="bullet"/>
      <w:lvlText w:val="o"/>
      <w:lvlJc w:val="left"/>
      <w:pPr>
        <w:tabs>
          <w:tab w:val="num" w:pos="3600"/>
        </w:tabs>
        <w:ind w:left="3600" w:hanging="360"/>
      </w:pPr>
      <w:rPr>
        <w:rFonts w:ascii="Courier New" w:hAnsi="Courier New" w:cs="Courier New" w:hint="default"/>
      </w:rPr>
    </w:lvl>
    <w:lvl w:ilvl="5" w:tplc="54EA18A4" w:tentative="1">
      <w:start w:val="1"/>
      <w:numFmt w:val="bullet"/>
      <w:lvlText w:val=""/>
      <w:lvlJc w:val="left"/>
      <w:pPr>
        <w:tabs>
          <w:tab w:val="num" w:pos="4320"/>
        </w:tabs>
        <w:ind w:left="4320" w:hanging="360"/>
      </w:pPr>
      <w:rPr>
        <w:rFonts w:ascii="Wingdings" w:hAnsi="Wingdings" w:hint="default"/>
      </w:rPr>
    </w:lvl>
    <w:lvl w:ilvl="6" w:tplc="C3169B5E" w:tentative="1">
      <w:start w:val="1"/>
      <w:numFmt w:val="bullet"/>
      <w:lvlText w:val=""/>
      <w:lvlJc w:val="left"/>
      <w:pPr>
        <w:tabs>
          <w:tab w:val="num" w:pos="5040"/>
        </w:tabs>
        <w:ind w:left="5040" w:hanging="360"/>
      </w:pPr>
      <w:rPr>
        <w:rFonts w:ascii="Symbol" w:hAnsi="Symbol" w:hint="default"/>
      </w:rPr>
    </w:lvl>
    <w:lvl w:ilvl="7" w:tplc="F864A298" w:tentative="1">
      <w:start w:val="1"/>
      <w:numFmt w:val="bullet"/>
      <w:lvlText w:val="o"/>
      <w:lvlJc w:val="left"/>
      <w:pPr>
        <w:tabs>
          <w:tab w:val="num" w:pos="5760"/>
        </w:tabs>
        <w:ind w:left="5760" w:hanging="360"/>
      </w:pPr>
      <w:rPr>
        <w:rFonts w:ascii="Courier New" w:hAnsi="Courier New" w:cs="Courier New" w:hint="default"/>
      </w:rPr>
    </w:lvl>
    <w:lvl w:ilvl="8" w:tplc="327C2B40" w:tentative="1">
      <w:start w:val="1"/>
      <w:numFmt w:val="bullet"/>
      <w:lvlText w:val=""/>
      <w:lvlJc w:val="left"/>
      <w:pPr>
        <w:tabs>
          <w:tab w:val="num" w:pos="6480"/>
        </w:tabs>
        <w:ind w:left="6480" w:hanging="360"/>
      </w:pPr>
      <w:rPr>
        <w:rFonts w:ascii="Wingdings" w:hAnsi="Wingdings" w:hint="default"/>
      </w:rPr>
    </w:lvl>
  </w:abstractNum>
  <w:abstractNum w:abstractNumId="48">
    <w:nsid w:val="5925184E"/>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5A857422"/>
    <w:multiLevelType w:val="multilevel"/>
    <w:tmpl w:val="026A1AF4"/>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Roman"/>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50">
    <w:nsid w:val="5F806D8A"/>
    <w:multiLevelType w:val="multilevel"/>
    <w:tmpl w:val="BCB2B30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1"/>
      <w:lvlText w:val="%1.%4"/>
      <w:lvlJc w:val="left"/>
      <w:pPr>
        <w:tabs>
          <w:tab w:val="num" w:pos="567"/>
        </w:tabs>
        <w:ind w:left="567" w:hanging="567"/>
      </w:pPr>
      <w:rPr>
        <w:rFonts w:hint="default"/>
      </w:rPr>
    </w:lvl>
    <w:lvl w:ilvl="4">
      <w:start w:val="1"/>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51">
    <w:nsid w:val="60E21637"/>
    <w:multiLevelType w:val="hybridMultilevel"/>
    <w:tmpl w:val="F1224BE6"/>
    <w:lvl w:ilvl="0" w:tplc="E1FAD2E6">
      <w:start w:val="1"/>
      <w:numFmt w:val="lowerLetter"/>
      <w:lvlText w:val="(%1)"/>
      <w:lvlJc w:val="left"/>
      <w:pPr>
        <w:ind w:left="720" w:hanging="360"/>
      </w:pPr>
      <w:rPr>
        <w:rFonts w:hint="default"/>
      </w:rPr>
    </w:lvl>
    <w:lvl w:ilvl="1" w:tplc="7214F85C" w:tentative="1">
      <w:start w:val="1"/>
      <w:numFmt w:val="lowerLetter"/>
      <w:lvlText w:val="%2."/>
      <w:lvlJc w:val="left"/>
      <w:pPr>
        <w:ind w:left="1440" w:hanging="360"/>
      </w:pPr>
    </w:lvl>
    <w:lvl w:ilvl="2" w:tplc="7882A8B8" w:tentative="1">
      <w:start w:val="1"/>
      <w:numFmt w:val="lowerRoman"/>
      <w:lvlText w:val="%3."/>
      <w:lvlJc w:val="right"/>
      <w:pPr>
        <w:ind w:left="2160" w:hanging="180"/>
      </w:pPr>
    </w:lvl>
    <w:lvl w:ilvl="3" w:tplc="0786E798" w:tentative="1">
      <w:start w:val="1"/>
      <w:numFmt w:val="decimal"/>
      <w:lvlText w:val="%4."/>
      <w:lvlJc w:val="left"/>
      <w:pPr>
        <w:ind w:left="2880" w:hanging="360"/>
      </w:pPr>
    </w:lvl>
    <w:lvl w:ilvl="4" w:tplc="4ACE4D7A" w:tentative="1">
      <w:start w:val="1"/>
      <w:numFmt w:val="lowerLetter"/>
      <w:lvlText w:val="%5."/>
      <w:lvlJc w:val="left"/>
      <w:pPr>
        <w:ind w:left="3600" w:hanging="360"/>
      </w:pPr>
    </w:lvl>
    <w:lvl w:ilvl="5" w:tplc="95B27D1A" w:tentative="1">
      <w:start w:val="1"/>
      <w:numFmt w:val="lowerRoman"/>
      <w:lvlText w:val="%6."/>
      <w:lvlJc w:val="right"/>
      <w:pPr>
        <w:ind w:left="4320" w:hanging="180"/>
      </w:pPr>
    </w:lvl>
    <w:lvl w:ilvl="6" w:tplc="C01C7BDE" w:tentative="1">
      <w:start w:val="1"/>
      <w:numFmt w:val="decimal"/>
      <w:lvlText w:val="%7."/>
      <w:lvlJc w:val="left"/>
      <w:pPr>
        <w:ind w:left="5040" w:hanging="360"/>
      </w:pPr>
    </w:lvl>
    <w:lvl w:ilvl="7" w:tplc="593EF3E4" w:tentative="1">
      <w:start w:val="1"/>
      <w:numFmt w:val="lowerLetter"/>
      <w:lvlText w:val="%8."/>
      <w:lvlJc w:val="left"/>
      <w:pPr>
        <w:ind w:left="5760" w:hanging="360"/>
      </w:pPr>
    </w:lvl>
    <w:lvl w:ilvl="8" w:tplc="0666E54C" w:tentative="1">
      <w:start w:val="1"/>
      <w:numFmt w:val="lowerRoman"/>
      <w:lvlText w:val="%9."/>
      <w:lvlJc w:val="right"/>
      <w:pPr>
        <w:ind w:left="6480" w:hanging="180"/>
      </w:pPr>
    </w:lvl>
  </w:abstractNum>
  <w:abstractNum w:abstractNumId="52">
    <w:nsid w:val="615B18ED"/>
    <w:multiLevelType w:val="hybridMultilevel"/>
    <w:tmpl w:val="1EC60B36"/>
    <w:lvl w:ilvl="0" w:tplc="19BEF290">
      <w:start w:val="1"/>
      <w:numFmt w:val="lowerLetter"/>
      <w:lvlText w:val="(%1)"/>
      <w:lvlJc w:val="left"/>
      <w:pPr>
        <w:ind w:left="720" w:hanging="360"/>
      </w:pPr>
      <w:rPr>
        <w:rFonts w:hint="default"/>
      </w:rPr>
    </w:lvl>
    <w:lvl w:ilvl="1" w:tplc="31584ECA" w:tentative="1">
      <w:start w:val="1"/>
      <w:numFmt w:val="lowerLetter"/>
      <w:lvlText w:val="%2."/>
      <w:lvlJc w:val="left"/>
      <w:pPr>
        <w:ind w:left="1440" w:hanging="360"/>
      </w:pPr>
    </w:lvl>
    <w:lvl w:ilvl="2" w:tplc="FF64353A" w:tentative="1">
      <w:start w:val="1"/>
      <w:numFmt w:val="lowerRoman"/>
      <w:lvlText w:val="%3."/>
      <w:lvlJc w:val="right"/>
      <w:pPr>
        <w:ind w:left="2160" w:hanging="180"/>
      </w:pPr>
    </w:lvl>
    <w:lvl w:ilvl="3" w:tplc="58D66EEE" w:tentative="1">
      <w:start w:val="1"/>
      <w:numFmt w:val="decimal"/>
      <w:lvlText w:val="%4."/>
      <w:lvlJc w:val="left"/>
      <w:pPr>
        <w:ind w:left="2880" w:hanging="360"/>
      </w:pPr>
    </w:lvl>
    <w:lvl w:ilvl="4" w:tplc="29528F44" w:tentative="1">
      <w:start w:val="1"/>
      <w:numFmt w:val="lowerLetter"/>
      <w:lvlText w:val="%5."/>
      <w:lvlJc w:val="left"/>
      <w:pPr>
        <w:ind w:left="3600" w:hanging="360"/>
      </w:pPr>
    </w:lvl>
    <w:lvl w:ilvl="5" w:tplc="8ED4CA60" w:tentative="1">
      <w:start w:val="1"/>
      <w:numFmt w:val="lowerRoman"/>
      <w:lvlText w:val="%6."/>
      <w:lvlJc w:val="right"/>
      <w:pPr>
        <w:ind w:left="4320" w:hanging="180"/>
      </w:pPr>
    </w:lvl>
    <w:lvl w:ilvl="6" w:tplc="5A747228" w:tentative="1">
      <w:start w:val="1"/>
      <w:numFmt w:val="decimal"/>
      <w:lvlText w:val="%7."/>
      <w:lvlJc w:val="left"/>
      <w:pPr>
        <w:ind w:left="5040" w:hanging="360"/>
      </w:pPr>
    </w:lvl>
    <w:lvl w:ilvl="7" w:tplc="045E00A2" w:tentative="1">
      <w:start w:val="1"/>
      <w:numFmt w:val="lowerLetter"/>
      <w:lvlText w:val="%8."/>
      <w:lvlJc w:val="left"/>
      <w:pPr>
        <w:ind w:left="5760" w:hanging="360"/>
      </w:pPr>
    </w:lvl>
    <w:lvl w:ilvl="8" w:tplc="7D385456" w:tentative="1">
      <w:start w:val="1"/>
      <w:numFmt w:val="lowerRoman"/>
      <w:lvlText w:val="%9."/>
      <w:lvlJc w:val="right"/>
      <w:pPr>
        <w:ind w:left="6480" w:hanging="180"/>
      </w:pPr>
    </w:lvl>
  </w:abstractNum>
  <w:abstractNum w:abstractNumId="53">
    <w:nsid w:val="624A78A5"/>
    <w:multiLevelType w:val="hybridMultilevel"/>
    <w:tmpl w:val="235C0136"/>
    <w:lvl w:ilvl="0" w:tplc="192E6634">
      <w:start w:val="1"/>
      <w:numFmt w:val="lowerLetter"/>
      <w:lvlText w:val="(%1)"/>
      <w:lvlJc w:val="left"/>
      <w:pPr>
        <w:ind w:left="394" w:hanging="360"/>
      </w:pPr>
      <w:rPr>
        <w:rFonts w:hint="default"/>
      </w:rPr>
    </w:lvl>
    <w:lvl w:ilvl="1" w:tplc="567E7C3A" w:tentative="1">
      <w:start w:val="1"/>
      <w:numFmt w:val="lowerLetter"/>
      <w:lvlText w:val="%2."/>
      <w:lvlJc w:val="left"/>
      <w:pPr>
        <w:ind w:left="1114" w:hanging="360"/>
      </w:pPr>
    </w:lvl>
    <w:lvl w:ilvl="2" w:tplc="61B6F9AA" w:tentative="1">
      <w:start w:val="1"/>
      <w:numFmt w:val="lowerRoman"/>
      <w:lvlText w:val="%3."/>
      <w:lvlJc w:val="right"/>
      <w:pPr>
        <w:ind w:left="1834" w:hanging="180"/>
      </w:pPr>
    </w:lvl>
    <w:lvl w:ilvl="3" w:tplc="AF5A9D04" w:tentative="1">
      <w:start w:val="1"/>
      <w:numFmt w:val="decimal"/>
      <w:lvlText w:val="%4."/>
      <w:lvlJc w:val="left"/>
      <w:pPr>
        <w:ind w:left="2554" w:hanging="360"/>
      </w:pPr>
    </w:lvl>
    <w:lvl w:ilvl="4" w:tplc="466ADD46" w:tentative="1">
      <w:start w:val="1"/>
      <w:numFmt w:val="lowerLetter"/>
      <w:lvlText w:val="%5."/>
      <w:lvlJc w:val="left"/>
      <w:pPr>
        <w:ind w:left="3274" w:hanging="360"/>
      </w:pPr>
    </w:lvl>
    <w:lvl w:ilvl="5" w:tplc="637E3B6A" w:tentative="1">
      <w:start w:val="1"/>
      <w:numFmt w:val="lowerRoman"/>
      <w:lvlText w:val="%6."/>
      <w:lvlJc w:val="right"/>
      <w:pPr>
        <w:ind w:left="3994" w:hanging="180"/>
      </w:pPr>
    </w:lvl>
    <w:lvl w:ilvl="6" w:tplc="DB80595A" w:tentative="1">
      <w:start w:val="1"/>
      <w:numFmt w:val="decimal"/>
      <w:lvlText w:val="%7."/>
      <w:lvlJc w:val="left"/>
      <w:pPr>
        <w:ind w:left="4714" w:hanging="360"/>
      </w:pPr>
    </w:lvl>
    <w:lvl w:ilvl="7" w:tplc="3E5C9A70" w:tentative="1">
      <w:start w:val="1"/>
      <w:numFmt w:val="lowerLetter"/>
      <w:lvlText w:val="%8."/>
      <w:lvlJc w:val="left"/>
      <w:pPr>
        <w:ind w:left="5434" w:hanging="360"/>
      </w:pPr>
    </w:lvl>
    <w:lvl w:ilvl="8" w:tplc="67022E30" w:tentative="1">
      <w:start w:val="1"/>
      <w:numFmt w:val="lowerRoman"/>
      <w:lvlText w:val="%9."/>
      <w:lvlJc w:val="right"/>
      <w:pPr>
        <w:ind w:left="6154" w:hanging="180"/>
      </w:pPr>
    </w:lvl>
  </w:abstractNum>
  <w:abstractNum w:abstractNumId="54">
    <w:nsid w:val="628B36B4"/>
    <w:multiLevelType w:val="multilevel"/>
    <w:tmpl w:val="13028690"/>
    <w:lvl w:ilvl="0">
      <w:start w:val="1"/>
      <w:numFmt w:val="decimal"/>
      <w:lvlText w:val="%1."/>
      <w:lvlJc w:val="left"/>
      <w:pPr>
        <w:tabs>
          <w:tab w:val="num" w:pos="709"/>
        </w:tabs>
        <w:ind w:left="709" w:hanging="709"/>
      </w:pPr>
      <w:rPr>
        <w:rFonts w:hint="default"/>
      </w:rPr>
    </w:lvl>
    <w:lvl w:ilvl="1">
      <w:start w:val="1"/>
      <w:numFmt w:val="decimal"/>
      <w:lvlText w:val="6.%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6.3.%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nsid w:val="62BE5FA9"/>
    <w:multiLevelType w:val="multilevel"/>
    <w:tmpl w:val="9A8C520C"/>
    <w:lvl w:ilvl="0">
      <w:start w:val="1"/>
      <w:numFmt w:val="decimal"/>
      <w:pStyle w:val="ChapterHeading"/>
      <w:lvlText w:val="%1."/>
      <w:lvlJc w:val="left"/>
      <w:pPr>
        <w:tabs>
          <w:tab w:val="num" w:pos="360"/>
        </w:tabs>
        <w:ind w:left="360" w:hanging="360"/>
      </w:pPr>
    </w:lvl>
    <w:lvl w:ilvl="1">
      <w:start w:val="1"/>
      <w:numFmt w:val="lowerLetter"/>
      <w:pStyle w:val="Numberlist"/>
      <w:lvlText w:val="(%2)"/>
      <w:lvlJc w:val="left"/>
      <w:pPr>
        <w:tabs>
          <w:tab w:val="num" w:pos="1560"/>
        </w:tabs>
        <w:ind w:left="1560" w:hanging="840"/>
      </w:pPr>
      <w:rPr>
        <w:color w:val="auto"/>
      </w:rPr>
    </w:lvl>
    <w:lvl w:ilvl="2">
      <w:start w:val="1"/>
      <w:numFmt w:val="lowerRoman"/>
      <w:pStyle w:val="number2"/>
      <w:lvlText w:val="(%3)"/>
      <w:lvlJc w:val="left"/>
      <w:pPr>
        <w:tabs>
          <w:tab w:val="num" w:pos="1800"/>
        </w:tabs>
        <w:ind w:left="1800" w:hanging="180"/>
      </w:pPr>
    </w:lvl>
    <w:lvl w:ilvl="3">
      <w:start w:val="1"/>
      <w:numFmt w:val="lowerLetter"/>
      <w:pStyle w:val="number3"/>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nsid w:val="63A6334B"/>
    <w:multiLevelType w:val="multilevel"/>
    <w:tmpl w:val="92B6D856"/>
    <w:lvl w:ilvl="0">
      <w:start w:val="1"/>
      <w:numFmt w:val="decimal"/>
      <w:pStyle w:val="Para1"/>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7">
    <w:nsid w:val="63F32E16"/>
    <w:multiLevelType w:val="hybridMultilevel"/>
    <w:tmpl w:val="FA8A449E"/>
    <w:lvl w:ilvl="0" w:tplc="9F307328">
      <w:start w:val="1"/>
      <w:numFmt w:val="lowerLetter"/>
      <w:lvlText w:val="(%1)"/>
      <w:lvlJc w:val="left"/>
      <w:pPr>
        <w:ind w:left="720" w:hanging="360"/>
      </w:pPr>
      <w:rPr>
        <w:rFonts w:cs="Arial" w:hint="default"/>
      </w:rPr>
    </w:lvl>
    <w:lvl w:ilvl="1" w:tplc="53FC46EA" w:tentative="1">
      <w:start w:val="1"/>
      <w:numFmt w:val="lowerLetter"/>
      <w:lvlText w:val="%2."/>
      <w:lvlJc w:val="left"/>
      <w:pPr>
        <w:ind w:left="1440" w:hanging="360"/>
      </w:pPr>
    </w:lvl>
    <w:lvl w:ilvl="2" w:tplc="0930D674" w:tentative="1">
      <w:start w:val="1"/>
      <w:numFmt w:val="lowerRoman"/>
      <w:lvlText w:val="%3."/>
      <w:lvlJc w:val="right"/>
      <w:pPr>
        <w:ind w:left="2160" w:hanging="180"/>
      </w:pPr>
    </w:lvl>
    <w:lvl w:ilvl="3" w:tplc="9A02A4A8" w:tentative="1">
      <w:start w:val="1"/>
      <w:numFmt w:val="decimal"/>
      <w:lvlText w:val="%4."/>
      <w:lvlJc w:val="left"/>
      <w:pPr>
        <w:ind w:left="2880" w:hanging="360"/>
      </w:pPr>
    </w:lvl>
    <w:lvl w:ilvl="4" w:tplc="60EEF574" w:tentative="1">
      <w:start w:val="1"/>
      <w:numFmt w:val="lowerLetter"/>
      <w:lvlText w:val="%5."/>
      <w:lvlJc w:val="left"/>
      <w:pPr>
        <w:ind w:left="3600" w:hanging="360"/>
      </w:pPr>
    </w:lvl>
    <w:lvl w:ilvl="5" w:tplc="157A4BE6" w:tentative="1">
      <w:start w:val="1"/>
      <w:numFmt w:val="lowerRoman"/>
      <w:lvlText w:val="%6."/>
      <w:lvlJc w:val="right"/>
      <w:pPr>
        <w:ind w:left="4320" w:hanging="180"/>
      </w:pPr>
    </w:lvl>
    <w:lvl w:ilvl="6" w:tplc="4976B19A" w:tentative="1">
      <w:start w:val="1"/>
      <w:numFmt w:val="decimal"/>
      <w:lvlText w:val="%7."/>
      <w:lvlJc w:val="left"/>
      <w:pPr>
        <w:ind w:left="5040" w:hanging="360"/>
      </w:pPr>
    </w:lvl>
    <w:lvl w:ilvl="7" w:tplc="E5E899AE" w:tentative="1">
      <w:start w:val="1"/>
      <w:numFmt w:val="lowerLetter"/>
      <w:lvlText w:val="%8."/>
      <w:lvlJc w:val="left"/>
      <w:pPr>
        <w:ind w:left="5760" w:hanging="360"/>
      </w:pPr>
    </w:lvl>
    <w:lvl w:ilvl="8" w:tplc="1C72A694" w:tentative="1">
      <w:start w:val="1"/>
      <w:numFmt w:val="lowerRoman"/>
      <w:lvlText w:val="%9."/>
      <w:lvlJc w:val="right"/>
      <w:pPr>
        <w:ind w:left="6480" w:hanging="180"/>
      </w:pPr>
    </w:lvl>
  </w:abstractNum>
  <w:abstractNum w:abstractNumId="58">
    <w:nsid w:val="644163FE"/>
    <w:multiLevelType w:val="multilevel"/>
    <w:tmpl w:val="22E2C42E"/>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73D4ABB"/>
    <w:multiLevelType w:val="hybridMultilevel"/>
    <w:tmpl w:val="AD26414A"/>
    <w:lvl w:ilvl="0" w:tplc="22D6CFBE">
      <w:start w:val="1"/>
      <w:numFmt w:val="lowerLetter"/>
      <w:lvlText w:val="(%1)"/>
      <w:lvlJc w:val="left"/>
      <w:pPr>
        <w:ind w:left="394" w:hanging="360"/>
      </w:pPr>
      <w:rPr>
        <w:rFonts w:hint="default"/>
      </w:rPr>
    </w:lvl>
    <w:lvl w:ilvl="1" w:tplc="45E286B8" w:tentative="1">
      <w:start w:val="1"/>
      <w:numFmt w:val="lowerLetter"/>
      <w:lvlText w:val="%2."/>
      <w:lvlJc w:val="left"/>
      <w:pPr>
        <w:ind w:left="1114" w:hanging="360"/>
      </w:pPr>
    </w:lvl>
    <w:lvl w:ilvl="2" w:tplc="E506A494" w:tentative="1">
      <w:start w:val="1"/>
      <w:numFmt w:val="lowerRoman"/>
      <w:lvlText w:val="%3."/>
      <w:lvlJc w:val="right"/>
      <w:pPr>
        <w:ind w:left="1834" w:hanging="180"/>
      </w:pPr>
    </w:lvl>
    <w:lvl w:ilvl="3" w:tplc="615A1D5A" w:tentative="1">
      <w:start w:val="1"/>
      <w:numFmt w:val="decimal"/>
      <w:lvlText w:val="%4."/>
      <w:lvlJc w:val="left"/>
      <w:pPr>
        <w:ind w:left="2554" w:hanging="360"/>
      </w:pPr>
    </w:lvl>
    <w:lvl w:ilvl="4" w:tplc="71706BDE" w:tentative="1">
      <w:start w:val="1"/>
      <w:numFmt w:val="lowerLetter"/>
      <w:lvlText w:val="%5."/>
      <w:lvlJc w:val="left"/>
      <w:pPr>
        <w:ind w:left="3274" w:hanging="360"/>
      </w:pPr>
    </w:lvl>
    <w:lvl w:ilvl="5" w:tplc="A7D07B3C" w:tentative="1">
      <w:start w:val="1"/>
      <w:numFmt w:val="lowerRoman"/>
      <w:lvlText w:val="%6."/>
      <w:lvlJc w:val="right"/>
      <w:pPr>
        <w:ind w:left="3994" w:hanging="180"/>
      </w:pPr>
    </w:lvl>
    <w:lvl w:ilvl="6" w:tplc="2E1AFA8A" w:tentative="1">
      <w:start w:val="1"/>
      <w:numFmt w:val="decimal"/>
      <w:lvlText w:val="%7."/>
      <w:lvlJc w:val="left"/>
      <w:pPr>
        <w:ind w:left="4714" w:hanging="360"/>
      </w:pPr>
    </w:lvl>
    <w:lvl w:ilvl="7" w:tplc="03B2427A" w:tentative="1">
      <w:start w:val="1"/>
      <w:numFmt w:val="lowerLetter"/>
      <w:lvlText w:val="%8."/>
      <w:lvlJc w:val="left"/>
      <w:pPr>
        <w:ind w:left="5434" w:hanging="360"/>
      </w:pPr>
    </w:lvl>
    <w:lvl w:ilvl="8" w:tplc="D71281DA" w:tentative="1">
      <w:start w:val="1"/>
      <w:numFmt w:val="lowerRoman"/>
      <w:lvlText w:val="%9."/>
      <w:lvlJc w:val="right"/>
      <w:pPr>
        <w:ind w:left="6154" w:hanging="180"/>
      </w:pPr>
    </w:lvl>
  </w:abstractNum>
  <w:abstractNum w:abstractNumId="60">
    <w:nsid w:val="6C4A23B9"/>
    <w:multiLevelType w:val="multilevel"/>
    <w:tmpl w:val="1CEC00E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1">
    <w:nsid w:val="6C6C3A0B"/>
    <w:multiLevelType w:val="multilevel"/>
    <w:tmpl w:val="CD326BF2"/>
    <w:lvl w:ilvl="0">
      <w:start w:val="1"/>
      <w:numFmt w:val="decimal"/>
      <w:lvlText w:val="%1."/>
      <w:lvlJc w:val="left"/>
      <w:pPr>
        <w:tabs>
          <w:tab w:val="num" w:pos="709"/>
        </w:tabs>
        <w:ind w:left="709" w:hanging="709"/>
      </w:pPr>
      <w:rPr>
        <w:rFonts w:hint="default"/>
      </w:rPr>
    </w:lvl>
    <w:lvl w:ilvl="1">
      <w:start w:val="1"/>
      <w:numFmt w:val="decimal"/>
      <w:lvlText w:val="2.%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2">
    <w:nsid w:val="6C705D52"/>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6FD219AD"/>
    <w:multiLevelType w:val="multilevel"/>
    <w:tmpl w:val="5BA2B7CA"/>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7.%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4">
    <w:nsid w:val="72A44EC6"/>
    <w:multiLevelType w:val="multilevel"/>
    <w:tmpl w:val="04929BD8"/>
    <w:lvl w:ilvl="0">
      <w:start w:val="1"/>
      <w:numFmt w:val="decimal"/>
      <w:lvlText w:val="%1."/>
      <w:lvlJc w:val="left"/>
      <w:pPr>
        <w:tabs>
          <w:tab w:val="num" w:pos="709"/>
        </w:tabs>
        <w:ind w:left="709" w:hanging="709"/>
      </w:pPr>
      <w:rPr>
        <w:rFonts w:hint="default"/>
      </w:rPr>
    </w:lvl>
    <w:lvl w:ilvl="1">
      <w:start w:val="1"/>
      <w:numFmt w:val="decimal"/>
      <w:lvlText w:val="6.%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5">
    <w:nsid w:val="74F652A0"/>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5D96909"/>
    <w:multiLevelType w:val="hybridMultilevel"/>
    <w:tmpl w:val="51D0063E"/>
    <w:lvl w:ilvl="0" w:tplc="C0BC730C">
      <w:start w:val="1"/>
      <w:numFmt w:val="lowerLetter"/>
      <w:lvlText w:val="(%1)"/>
      <w:lvlJc w:val="left"/>
      <w:pPr>
        <w:ind w:left="720" w:hanging="360"/>
      </w:pPr>
      <w:rPr>
        <w:rFonts w:hint="default"/>
        <w:b w:val="0"/>
      </w:rPr>
    </w:lvl>
    <w:lvl w:ilvl="1" w:tplc="1D187706" w:tentative="1">
      <w:start w:val="1"/>
      <w:numFmt w:val="lowerLetter"/>
      <w:lvlText w:val="%2."/>
      <w:lvlJc w:val="left"/>
      <w:pPr>
        <w:ind w:left="1440" w:hanging="360"/>
      </w:pPr>
    </w:lvl>
    <w:lvl w:ilvl="2" w:tplc="C13828F0" w:tentative="1">
      <w:start w:val="1"/>
      <w:numFmt w:val="lowerRoman"/>
      <w:lvlText w:val="%3."/>
      <w:lvlJc w:val="right"/>
      <w:pPr>
        <w:ind w:left="2160" w:hanging="180"/>
      </w:pPr>
    </w:lvl>
    <w:lvl w:ilvl="3" w:tplc="E07EFCBC" w:tentative="1">
      <w:start w:val="1"/>
      <w:numFmt w:val="decimal"/>
      <w:lvlText w:val="%4."/>
      <w:lvlJc w:val="left"/>
      <w:pPr>
        <w:ind w:left="2880" w:hanging="360"/>
      </w:pPr>
    </w:lvl>
    <w:lvl w:ilvl="4" w:tplc="6AACC4D8" w:tentative="1">
      <w:start w:val="1"/>
      <w:numFmt w:val="lowerLetter"/>
      <w:lvlText w:val="%5."/>
      <w:lvlJc w:val="left"/>
      <w:pPr>
        <w:ind w:left="3600" w:hanging="360"/>
      </w:pPr>
    </w:lvl>
    <w:lvl w:ilvl="5" w:tplc="1EE23736" w:tentative="1">
      <w:start w:val="1"/>
      <w:numFmt w:val="lowerRoman"/>
      <w:lvlText w:val="%6."/>
      <w:lvlJc w:val="right"/>
      <w:pPr>
        <w:ind w:left="4320" w:hanging="180"/>
      </w:pPr>
    </w:lvl>
    <w:lvl w:ilvl="6" w:tplc="9ABCB204" w:tentative="1">
      <w:start w:val="1"/>
      <w:numFmt w:val="decimal"/>
      <w:lvlText w:val="%7."/>
      <w:lvlJc w:val="left"/>
      <w:pPr>
        <w:ind w:left="5040" w:hanging="360"/>
      </w:pPr>
    </w:lvl>
    <w:lvl w:ilvl="7" w:tplc="E3A6E3A6" w:tentative="1">
      <w:start w:val="1"/>
      <w:numFmt w:val="lowerLetter"/>
      <w:lvlText w:val="%8."/>
      <w:lvlJc w:val="left"/>
      <w:pPr>
        <w:ind w:left="5760" w:hanging="360"/>
      </w:pPr>
    </w:lvl>
    <w:lvl w:ilvl="8" w:tplc="1610C250" w:tentative="1">
      <w:start w:val="1"/>
      <w:numFmt w:val="lowerRoman"/>
      <w:lvlText w:val="%9."/>
      <w:lvlJc w:val="right"/>
      <w:pPr>
        <w:ind w:left="6480" w:hanging="180"/>
      </w:pPr>
    </w:lvl>
  </w:abstractNum>
  <w:abstractNum w:abstractNumId="67">
    <w:nsid w:val="76223F44"/>
    <w:multiLevelType w:val="multilevel"/>
    <w:tmpl w:val="1CEC00E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8">
    <w:nsid w:val="76626E22"/>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6933C1C"/>
    <w:multiLevelType w:val="hybridMultilevel"/>
    <w:tmpl w:val="63F06570"/>
    <w:lvl w:ilvl="0" w:tplc="1BF29D50">
      <w:start w:val="1"/>
      <w:numFmt w:val="bullet"/>
      <w:lvlText w:val=""/>
      <w:lvlJc w:val="left"/>
      <w:pPr>
        <w:ind w:left="1571" w:hanging="360"/>
      </w:pPr>
      <w:rPr>
        <w:rFonts w:ascii="Symbol" w:hAnsi="Symbol" w:hint="default"/>
      </w:rPr>
    </w:lvl>
    <w:lvl w:ilvl="1" w:tplc="84D41E34" w:tentative="1">
      <w:start w:val="1"/>
      <w:numFmt w:val="bullet"/>
      <w:lvlText w:val="o"/>
      <w:lvlJc w:val="left"/>
      <w:pPr>
        <w:ind w:left="2291" w:hanging="360"/>
      </w:pPr>
      <w:rPr>
        <w:rFonts w:ascii="Courier New" w:hAnsi="Courier New" w:cs="Courier New" w:hint="default"/>
      </w:rPr>
    </w:lvl>
    <w:lvl w:ilvl="2" w:tplc="FFA03B8C" w:tentative="1">
      <w:start w:val="1"/>
      <w:numFmt w:val="bullet"/>
      <w:lvlText w:val=""/>
      <w:lvlJc w:val="left"/>
      <w:pPr>
        <w:ind w:left="3011" w:hanging="360"/>
      </w:pPr>
      <w:rPr>
        <w:rFonts w:ascii="Wingdings" w:hAnsi="Wingdings" w:hint="default"/>
      </w:rPr>
    </w:lvl>
    <w:lvl w:ilvl="3" w:tplc="FC3A0890" w:tentative="1">
      <w:start w:val="1"/>
      <w:numFmt w:val="bullet"/>
      <w:lvlText w:val=""/>
      <w:lvlJc w:val="left"/>
      <w:pPr>
        <w:ind w:left="3731" w:hanging="360"/>
      </w:pPr>
      <w:rPr>
        <w:rFonts w:ascii="Symbol" w:hAnsi="Symbol" w:hint="default"/>
      </w:rPr>
    </w:lvl>
    <w:lvl w:ilvl="4" w:tplc="EBC2F1AE" w:tentative="1">
      <w:start w:val="1"/>
      <w:numFmt w:val="bullet"/>
      <w:lvlText w:val="o"/>
      <w:lvlJc w:val="left"/>
      <w:pPr>
        <w:ind w:left="4451" w:hanging="360"/>
      </w:pPr>
      <w:rPr>
        <w:rFonts w:ascii="Courier New" w:hAnsi="Courier New" w:cs="Courier New" w:hint="default"/>
      </w:rPr>
    </w:lvl>
    <w:lvl w:ilvl="5" w:tplc="2DCAE434" w:tentative="1">
      <w:start w:val="1"/>
      <w:numFmt w:val="bullet"/>
      <w:lvlText w:val=""/>
      <w:lvlJc w:val="left"/>
      <w:pPr>
        <w:ind w:left="5171" w:hanging="360"/>
      </w:pPr>
      <w:rPr>
        <w:rFonts w:ascii="Wingdings" w:hAnsi="Wingdings" w:hint="default"/>
      </w:rPr>
    </w:lvl>
    <w:lvl w:ilvl="6" w:tplc="5E4E4B72" w:tentative="1">
      <w:start w:val="1"/>
      <w:numFmt w:val="bullet"/>
      <w:lvlText w:val=""/>
      <w:lvlJc w:val="left"/>
      <w:pPr>
        <w:ind w:left="5891" w:hanging="360"/>
      </w:pPr>
      <w:rPr>
        <w:rFonts w:ascii="Symbol" w:hAnsi="Symbol" w:hint="default"/>
      </w:rPr>
    </w:lvl>
    <w:lvl w:ilvl="7" w:tplc="C24EE346" w:tentative="1">
      <w:start w:val="1"/>
      <w:numFmt w:val="bullet"/>
      <w:lvlText w:val="o"/>
      <w:lvlJc w:val="left"/>
      <w:pPr>
        <w:ind w:left="6611" w:hanging="360"/>
      </w:pPr>
      <w:rPr>
        <w:rFonts w:ascii="Courier New" w:hAnsi="Courier New" w:cs="Courier New" w:hint="default"/>
      </w:rPr>
    </w:lvl>
    <w:lvl w:ilvl="8" w:tplc="9AB0DC22" w:tentative="1">
      <w:start w:val="1"/>
      <w:numFmt w:val="bullet"/>
      <w:lvlText w:val=""/>
      <w:lvlJc w:val="left"/>
      <w:pPr>
        <w:ind w:left="7331" w:hanging="360"/>
      </w:pPr>
      <w:rPr>
        <w:rFonts w:ascii="Wingdings" w:hAnsi="Wingdings" w:hint="default"/>
      </w:rPr>
    </w:lvl>
  </w:abstractNum>
  <w:abstractNum w:abstractNumId="70">
    <w:nsid w:val="79AE6065"/>
    <w:multiLevelType w:val="multilevel"/>
    <w:tmpl w:val="BCB02130"/>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bullet"/>
      <w:lvlText w:val=""/>
      <w:lvlJc w:val="left"/>
      <w:pPr>
        <w:tabs>
          <w:tab w:val="num" w:pos="2126"/>
        </w:tabs>
        <w:ind w:left="2126" w:hanging="708"/>
      </w:pPr>
      <w:rPr>
        <w:rFonts w:ascii="Wingdings 2" w:hAnsi="Wingdings 2"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1">
    <w:nsid w:val="7A347250"/>
    <w:multiLevelType w:val="hybridMultilevel"/>
    <w:tmpl w:val="5E8EFC8C"/>
    <w:lvl w:ilvl="0" w:tplc="224E7AEC">
      <w:start w:val="1"/>
      <w:numFmt w:val="bullet"/>
      <w:lvlText w:val=""/>
      <w:lvlJc w:val="left"/>
      <w:pPr>
        <w:ind w:left="2138" w:hanging="360"/>
      </w:pPr>
      <w:rPr>
        <w:rFonts w:ascii="Symbol" w:hAnsi="Symbol" w:hint="default"/>
      </w:rPr>
    </w:lvl>
    <w:lvl w:ilvl="1" w:tplc="26EC8FB0" w:tentative="1">
      <w:start w:val="1"/>
      <w:numFmt w:val="bullet"/>
      <w:lvlText w:val="o"/>
      <w:lvlJc w:val="left"/>
      <w:pPr>
        <w:ind w:left="2858" w:hanging="360"/>
      </w:pPr>
      <w:rPr>
        <w:rFonts w:ascii="Courier New" w:hAnsi="Courier New" w:cs="Courier New" w:hint="default"/>
      </w:rPr>
    </w:lvl>
    <w:lvl w:ilvl="2" w:tplc="E446097C" w:tentative="1">
      <w:start w:val="1"/>
      <w:numFmt w:val="bullet"/>
      <w:lvlText w:val=""/>
      <w:lvlJc w:val="left"/>
      <w:pPr>
        <w:ind w:left="3578" w:hanging="360"/>
      </w:pPr>
      <w:rPr>
        <w:rFonts w:ascii="Wingdings" w:hAnsi="Wingdings" w:hint="default"/>
      </w:rPr>
    </w:lvl>
    <w:lvl w:ilvl="3" w:tplc="1AFA64FE" w:tentative="1">
      <w:start w:val="1"/>
      <w:numFmt w:val="bullet"/>
      <w:lvlText w:val=""/>
      <w:lvlJc w:val="left"/>
      <w:pPr>
        <w:ind w:left="4298" w:hanging="360"/>
      </w:pPr>
      <w:rPr>
        <w:rFonts w:ascii="Symbol" w:hAnsi="Symbol" w:hint="default"/>
      </w:rPr>
    </w:lvl>
    <w:lvl w:ilvl="4" w:tplc="EB76A0EC" w:tentative="1">
      <w:start w:val="1"/>
      <w:numFmt w:val="bullet"/>
      <w:lvlText w:val="o"/>
      <w:lvlJc w:val="left"/>
      <w:pPr>
        <w:ind w:left="5018" w:hanging="360"/>
      </w:pPr>
      <w:rPr>
        <w:rFonts w:ascii="Courier New" w:hAnsi="Courier New" w:cs="Courier New" w:hint="default"/>
      </w:rPr>
    </w:lvl>
    <w:lvl w:ilvl="5" w:tplc="207EFD0E" w:tentative="1">
      <w:start w:val="1"/>
      <w:numFmt w:val="bullet"/>
      <w:lvlText w:val=""/>
      <w:lvlJc w:val="left"/>
      <w:pPr>
        <w:ind w:left="5738" w:hanging="360"/>
      </w:pPr>
      <w:rPr>
        <w:rFonts w:ascii="Wingdings" w:hAnsi="Wingdings" w:hint="default"/>
      </w:rPr>
    </w:lvl>
    <w:lvl w:ilvl="6" w:tplc="A4A28C70" w:tentative="1">
      <w:start w:val="1"/>
      <w:numFmt w:val="bullet"/>
      <w:lvlText w:val=""/>
      <w:lvlJc w:val="left"/>
      <w:pPr>
        <w:ind w:left="6458" w:hanging="360"/>
      </w:pPr>
      <w:rPr>
        <w:rFonts w:ascii="Symbol" w:hAnsi="Symbol" w:hint="default"/>
      </w:rPr>
    </w:lvl>
    <w:lvl w:ilvl="7" w:tplc="5142B652" w:tentative="1">
      <w:start w:val="1"/>
      <w:numFmt w:val="bullet"/>
      <w:lvlText w:val="o"/>
      <w:lvlJc w:val="left"/>
      <w:pPr>
        <w:ind w:left="7178" w:hanging="360"/>
      </w:pPr>
      <w:rPr>
        <w:rFonts w:ascii="Courier New" w:hAnsi="Courier New" w:cs="Courier New" w:hint="default"/>
      </w:rPr>
    </w:lvl>
    <w:lvl w:ilvl="8" w:tplc="E564CFA6" w:tentative="1">
      <w:start w:val="1"/>
      <w:numFmt w:val="bullet"/>
      <w:lvlText w:val=""/>
      <w:lvlJc w:val="left"/>
      <w:pPr>
        <w:ind w:left="7898" w:hanging="360"/>
      </w:pPr>
      <w:rPr>
        <w:rFonts w:ascii="Wingdings" w:hAnsi="Wingdings" w:hint="default"/>
      </w:rPr>
    </w:lvl>
  </w:abstractNum>
  <w:abstractNum w:abstractNumId="72">
    <w:nsid w:val="7B611863"/>
    <w:multiLevelType w:val="hybridMultilevel"/>
    <w:tmpl w:val="76120D50"/>
    <w:lvl w:ilvl="0" w:tplc="1FDE1192">
      <w:start w:val="1"/>
      <w:numFmt w:val="lowerLetter"/>
      <w:lvlText w:val="(%1)"/>
      <w:lvlJc w:val="left"/>
      <w:pPr>
        <w:ind w:left="720" w:hanging="360"/>
      </w:pPr>
      <w:rPr>
        <w:rFonts w:hint="default"/>
      </w:rPr>
    </w:lvl>
    <w:lvl w:ilvl="1" w:tplc="8270A2DC" w:tentative="1">
      <w:start w:val="1"/>
      <w:numFmt w:val="lowerLetter"/>
      <w:lvlText w:val="%2."/>
      <w:lvlJc w:val="left"/>
      <w:pPr>
        <w:ind w:left="1440" w:hanging="360"/>
      </w:pPr>
    </w:lvl>
    <w:lvl w:ilvl="2" w:tplc="3920F3B2" w:tentative="1">
      <w:start w:val="1"/>
      <w:numFmt w:val="lowerRoman"/>
      <w:lvlText w:val="%3."/>
      <w:lvlJc w:val="right"/>
      <w:pPr>
        <w:ind w:left="2160" w:hanging="180"/>
      </w:pPr>
    </w:lvl>
    <w:lvl w:ilvl="3" w:tplc="A5540D76" w:tentative="1">
      <w:start w:val="1"/>
      <w:numFmt w:val="decimal"/>
      <w:lvlText w:val="%4."/>
      <w:lvlJc w:val="left"/>
      <w:pPr>
        <w:ind w:left="2880" w:hanging="360"/>
      </w:pPr>
    </w:lvl>
    <w:lvl w:ilvl="4" w:tplc="C268C23C" w:tentative="1">
      <w:start w:val="1"/>
      <w:numFmt w:val="lowerLetter"/>
      <w:lvlText w:val="%5."/>
      <w:lvlJc w:val="left"/>
      <w:pPr>
        <w:ind w:left="3600" w:hanging="360"/>
      </w:pPr>
    </w:lvl>
    <w:lvl w:ilvl="5" w:tplc="F2CE7D26" w:tentative="1">
      <w:start w:val="1"/>
      <w:numFmt w:val="lowerRoman"/>
      <w:lvlText w:val="%6."/>
      <w:lvlJc w:val="right"/>
      <w:pPr>
        <w:ind w:left="4320" w:hanging="180"/>
      </w:pPr>
    </w:lvl>
    <w:lvl w:ilvl="6" w:tplc="BA000510" w:tentative="1">
      <w:start w:val="1"/>
      <w:numFmt w:val="decimal"/>
      <w:lvlText w:val="%7."/>
      <w:lvlJc w:val="left"/>
      <w:pPr>
        <w:ind w:left="5040" w:hanging="360"/>
      </w:pPr>
    </w:lvl>
    <w:lvl w:ilvl="7" w:tplc="9EF8F99E" w:tentative="1">
      <w:start w:val="1"/>
      <w:numFmt w:val="lowerLetter"/>
      <w:lvlText w:val="%8."/>
      <w:lvlJc w:val="left"/>
      <w:pPr>
        <w:ind w:left="5760" w:hanging="360"/>
      </w:pPr>
    </w:lvl>
    <w:lvl w:ilvl="8" w:tplc="B8B44D7C" w:tentative="1">
      <w:start w:val="1"/>
      <w:numFmt w:val="lowerRoman"/>
      <w:lvlText w:val="%9."/>
      <w:lvlJc w:val="right"/>
      <w:pPr>
        <w:ind w:left="6480" w:hanging="180"/>
      </w:pPr>
    </w:lvl>
  </w:abstractNum>
  <w:abstractNum w:abstractNumId="73">
    <w:nsid w:val="7C243A50"/>
    <w:multiLevelType w:val="hybridMultilevel"/>
    <w:tmpl w:val="B1E29F9E"/>
    <w:lvl w:ilvl="0" w:tplc="8F2852D8">
      <w:start w:val="1"/>
      <w:numFmt w:val="lowerLetter"/>
      <w:lvlText w:val="%1)"/>
      <w:lvlJc w:val="left"/>
      <w:pPr>
        <w:ind w:left="720" w:hanging="360"/>
      </w:pPr>
    </w:lvl>
    <w:lvl w:ilvl="1" w:tplc="BB7E56D8" w:tentative="1">
      <w:start w:val="1"/>
      <w:numFmt w:val="lowerLetter"/>
      <w:lvlText w:val="%2."/>
      <w:lvlJc w:val="left"/>
      <w:pPr>
        <w:ind w:left="1440" w:hanging="360"/>
      </w:pPr>
    </w:lvl>
    <w:lvl w:ilvl="2" w:tplc="F522B2F8" w:tentative="1">
      <w:start w:val="1"/>
      <w:numFmt w:val="lowerRoman"/>
      <w:lvlText w:val="%3."/>
      <w:lvlJc w:val="right"/>
      <w:pPr>
        <w:ind w:left="2160" w:hanging="180"/>
      </w:pPr>
    </w:lvl>
    <w:lvl w:ilvl="3" w:tplc="52C24C4C" w:tentative="1">
      <w:start w:val="1"/>
      <w:numFmt w:val="decimal"/>
      <w:lvlText w:val="%4."/>
      <w:lvlJc w:val="left"/>
      <w:pPr>
        <w:ind w:left="2880" w:hanging="360"/>
      </w:pPr>
    </w:lvl>
    <w:lvl w:ilvl="4" w:tplc="97204798" w:tentative="1">
      <w:start w:val="1"/>
      <w:numFmt w:val="lowerLetter"/>
      <w:lvlText w:val="%5."/>
      <w:lvlJc w:val="left"/>
      <w:pPr>
        <w:ind w:left="3600" w:hanging="360"/>
      </w:pPr>
    </w:lvl>
    <w:lvl w:ilvl="5" w:tplc="F07423EC" w:tentative="1">
      <w:start w:val="1"/>
      <w:numFmt w:val="lowerRoman"/>
      <w:lvlText w:val="%6."/>
      <w:lvlJc w:val="right"/>
      <w:pPr>
        <w:ind w:left="4320" w:hanging="180"/>
      </w:pPr>
    </w:lvl>
    <w:lvl w:ilvl="6" w:tplc="79D2F9CC" w:tentative="1">
      <w:start w:val="1"/>
      <w:numFmt w:val="decimal"/>
      <w:lvlText w:val="%7."/>
      <w:lvlJc w:val="left"/>
      <w:pPr>
        <w:ind w:left="5040" w:hanging="360"/>
      </w:pPr>
    </w:lvl>
    <w:lvl w:ilvl="7" w:tplc="B2D4F840" w:tentative="1">
      <w:start w:val="1"/>
      <w:numFmt w:val="lowerLetter"/>
      <w:lvlText w:val="%8."/>
      <w:lvlJc w:val="left"/>
      <w:pPr>
        <w:ind w:left="5760" w:hanging="360"/>
      </w:pPr>
    </w:lvl>
    <w:lvl w:ilvl="8" w:tplc="62AA81AE" w:tentative="1">
      <w:start w:val="1"/>
      <w:numFmt w:val="lowerRoman"/>
      <w:lvlText w:val="%9."/>
      <w:lvlJc w:val="right"/>
      <w:pPr>
        <w:ind w:left="6480" w:hanging="180"/>
      </w:pPr>
    </w:lvl>
  </w:abstractNum>
  <w:abstractNum w:abstractNumId="74">
    <w:nsid w:val="7CCB3E2C"/>
    <w:multiLevelType w:val="hybridMultilevel"/>
    <w:tmpl w:val="94A29726"/>
    <w:lvl w:ilvl="0" w:tplc="E5FA5D26">
      <w:numFmt w:val="bullet"/>
      <w:pStyle w:val="Level2bullet"/>
      <w:lvlText w:val=""/>
      <w:lvlJc w:val="left"/>
      <w:pPr>
        <w:tabs>
          <w:tab w:val="num" w:pos="568"/>
        </w:tabs>
        <w:ind w:left="568" w:hanging="284"/>
      </w:pPr>
      <w:rPr>
        <w:rFonts w:ascii="Symbol" w:eastAsia="Calibri" w:hAnsi="Symbol" w:cs="Garamond" w:hint="default"/>
      </w:rPr>
    </w:lvl>
    <w:lvl w:ilvl="1" w:tplc="D8607BB8" w:tentative="1">
      <w:start w:val="1"/>
      <w:numFmt w:val="bullet"/>
      <w:lvlText w:val="o"/>
      <w:lvlJc w:val="left"/>
      <w:pPr>
        <w:tabs>
          <w:tab w:val="num" w:pos="1440"/>
        </w:tabs>
        <w:ind w:left="1440" w:hanging="360"/>
      </w:pPr>
      <w:rPr>
        <w:rFonts w:ascii="Courier New" w:hAnsi="Courier New" w:cs="Courier New" w:hint="default"/>
      </w:rPr>
    </w:lvl>
    <w:lvl w:ilvl="2" w:tplc="E9BA2672" w:tentative="1">
      <w:start w:val="1"/>
      <w:numFmt w:val="bullet"/>
      <w:lvlText w:val=""/>
      <w:lvlJc w:val="left"/>
      <w:pPr>
        <w:tabs>
          <w:tab w:val="num" w:pos="2160"/>
        </w:tabs>
        <w:ind w:left="2160" w:hanging="360"/>
      </w:pPr>
      <w:rPr>
        <w:rFonts w:ascii="Wingdings" w:hAnsi="Wingdings" w:hint="default"/>
      </w:rPr>
    </w:lvl>
    <w:lvl w:ilvl="3" w:tplc="2FF67D02" w:tentative="1">
      <w:start w:val="1"/>
      <w:numFmt w:val="bullet"/>
      <w:lvlText w:val=""/>
      <w:lvlJc w:val="left"/>
      <w:pPr>
        <w:tabs>
          <w:tab w:val="num" w:pos="2880"/>
        </w:tabs>
        <w:ind w:left="2880" w:hanging="360"/>
      </w:pPr>
      <w:rPr>
        <w:rFonts w:ascii="Symbol" w:hAnsi="Symbol" w:hint="default"/>
      </w:rPr>
    </w:lvl>
    <w:lvl w:ilvl="4" w:tplc="2F74EDB4" w:tentative="1">
      <w:start w:val="1"/>
      <w:numFmt w:val="bullet"/>
      <w:lvlText w:val="o"/>
      <w:lvlJc w:val="left"/>
      <w:pPr>
        <w:tabs>
          <w:tab w:val="num" w:pos="3600"/>
        </w:tabs>
        <w:ind w:left="3600" w:hanging="360"/>
      </w:pPr>
      <w:rPr>
        <w:rFonts w:ascii="Courier New" w:hAnsi="Courier New" w:cs="Courier New" w:hint="default"/>
      </w:rPr>
    </w:lvl>
    <w:lvl w:ilvl="5" w:tplc="C73E1F94" w:tentative="1">
      <w:start w:val="1"/>
      <w:numFmt w:val="bullet"/>
      <w:lvlText w:val=""/>
      <w:lvlJc w:val="left"/>
      <w:pPr>
        <w:tabs>
          <w:tab w:val="num" w:pos="4320"/>
        </w:tabs>
        <w:ind w:left="4320" w:hanging="360"/>
      </w:pPr>
      <w:rPr>
        <w:rFonts w:ascii="Wingdings" w:hAnsi="Wingdings" w:hint="default"/>
      </w:rPr>
    </w:lvl>
    <w:lvl w:ilvl="6" w:tplc="DAC40C52" w:tentative="1">
      <w:start w:val="1"/>
      <w:numFmt w:val="bullet"/>
      <w:lvlText w:val=""/>
      <w:lvlJc w:val="left"/>
      <w:pPr>
        <w:tabs>
          <w:tab w:val="num" w:pos="5040"/>
        </w:tabs>
        <w:ind w:left="5040" w:hanging="360"/>
      </w:pPr>
      <w:rPr>
        <w:rFonts w:ascii="Symbol" w:hAnsi="Symbol" w:hint="default"/>
      </w:rPr>
    </w:lvl>
    <w:lvl w:ilvl="7" w:tplc="20D01E0E" w:tentative="1">
      <w:start w:val="1"/>
      <w:numFmt w:val="bullet"/>
      <w:lvlText w:val="o"/>
      <w:lvlJc w:val="left"/>
      <w:pPr>
        <w:tabs>
          <w:tab w:val="num" w:pos="5760"/>
        </w:tabs>
        <w:ind w:left="5760" w:hanging="360"/>
      </w:pPr>
      <w:rPr>
        <w:rFonts w:ascii="Courier New" w:hAnsi="Courier New" w:cs="Courier New" w:hint="default"/>
      </w:rPr>
    </w:lvl>
    <w:lvl w:ilvl="8" w:tplc="5B0C2DC8" w:tentative="1">
      <w:start w:val="1"/>
      <w:numFmt w:val="bullet"/>
      <w:lvlText w:val=""/>
      <w:lvlJc w:val="left"/>
      <w:pPr>
        <w:tabs>
          <w:tab w:val="num" w:pos="6480"/>
        </w:tabs>
        <w:ind w:left="6480" w:hanging="360"/>
      </w:pPr>
      <w:rPr>
        <w:rFonts w:ascii="Wingdings" w:hAnsi="Wingdings" w:hint="default"/>
      </w:rPr>
    </w:lvl>
  </w:abstractNum>
  <w:abstractNum w:abstractNumId="75">
    <w:nsid w:val="7CD12C8A"/>
    <w:multiLevelType w:val="hybridMultilevel"/>
    <w:tmpl w:val="CA7E0266"/>
    <w:lvl w:ilvl="0" w:tplc="B900EAFC">
      <w:start w:val="1"/>
      <w:numFmt w:val="lowerLetter"/>
      <w:lvlText w:val="(%1)"/>
      <w:lvlJc w:val="left"/>
      <w:pPr>
        <w:ind w:left="468" w:hanging="360"/>
      </w:pPr>
      <w:rPr>
        <w:rFonts w:hint="default"/>
      </w:rPr>
    </w:lvl>
    <w:lvl w:ilvl="1" w:tplc="7EC02D12" w:tentative="1">
      <w:start w:val="1"/>
      <w:numFmt w:val="lowerLetter"/>
      <w:lvlText w:val="%2."/>
      <w:lvlJc w:val="left"/>
      <w:pPr>
        <w:ind w:left="1188" w:hanging="360"/>
      </w:pPr>
    </w:lvl>
    <w:lvl w:ilvl="2" w:tplc="1409001B" w:tentative="1">
      <w:start w:val="1"/>
      <w:numFmt w:val="lowerRoman"/>
      <w:lvlText w:val="%3."/>
      <w:lvlJc w:val="right"/>
      <w:pPr>
        <w:ind w:left="1908" w:hanging="180"/>
      </w:pPr>
    </w:lvl>
    <w:lvl w:ilvl="3" w:tplc="1409000F" w:tentative="1">
      <w:start w:val="1"/>
      <w:numFmt w:val="decimal"/>
      <w:lvlText w:val="%4."/>
      <w:lvlJc w:val="left"/>
      <w:pPr>
        <w:ind w:left="2628" w:hanging="360"/>
      </w:pPr>
    </w:lvl>
    <w:lvl w:ilvl="4" w:tplc="14090019" w:tentative="1">
      <w:start w:val="1"/>
      <w:numFmt w:val="lowerLetter"/>
      <w:lvlText w:val="%5."/>
      <w:lvlJc w:val="left"/>
      <w:pPr>
        <w:ind w:left="3348" w:hanging="360"/>
      </w:pPr>
    </w:lvl>
    <w:lvl w:ilvl="5" w:tplc="1409001B" w:tentative="1">
      <w:start w:val="1"/>
      <w:numFmt w:val="lowerRoman"/>
      <w:lvlText w:val="%6."/>
      <w:lvlJc w:val="right"/>
      <w:pPr>
        <w:ind w:left="4068" w:hanging="180"/>
      </w:pPr>
    </w:lvl>
    <w:lvl w:ilvl="6" w:tplc="1409000F" w:tentative="1">
      <w:start w:val="1"/>
      <w:numFmt w:val="decimal"/>
      <w:lvlText w:val="%7."/>
      <w:lvlJc w:val="left"/>
      <w:pPr>
        <w:ind w:left="4788" w:hanging="360"/>
      </w:pPr>
    </w:lvl>
    <w:lvl w:ilvl="7" w:tplc="14090019" w:tentative="1">
      <w:start w:val="1"/>
      <w:numFmt w:val="lowerLetter"/>
      <w:lvlText w:val="%8."/>
      <w:lvlJc w:val="left"/>
      <w:pPr>
        <w:ind w:left="5508" w:hanging="360"/>
      </w:pPr>
    </w:lvl>
    <w:lvl w:ilvl="8" w:tplc="1409001B" w:tentative="1">
      <w:start w:val="1"/>
      <w:numFmt w:val="lowerRoman"/>
      <w:lvlText w:val="%9."/>
      <w:lvlJc w:val="right"/>
      <w:pPr>
        <w:ind w:left="6228" w:hanging="180"/>
      </w:pPr>
    </w:lvl>
  </w:abstractNum>
  <w:abstractNum w:abstractNumId="76">
    <w:nsid w:val="7F163557"/>
    <w:multiLevelType w:val="multilevel"/>
    <w:tmpl w:val="4CE414B6"/>
    <w:lvl w:ilvl="0">
      <w:start w:val="1"/>
      <w:numFmt w:val="decimal"/>
      <w:lvlText w:val="%1."/>
      <w:lvlJc w:val="left"/>
      <w:pPr>
        <w:tabs>
          <w:tab w:val="num" w:pos="709"/>
        </w:tabs>
        <w:ind w:left="709" w:hanging="709"/>
      </w:pPr>
      <w:rPr>
        <w:rFonts w:hint="default"/>
      </w:rPr>
    </w:lvl>
    <w:lvl w:ilvl="1">
      <w:start w:val="1"/>
      <w:numFmt w:val="decimal"/>
      <w:lvlText w:val="3.5.%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45"/>
  </w:num>
  <w:num w:numId="2">
    <w:abstractNumId w:val="45"/>
  </w:num>
  <w:num w:numId="3">
    <w:abstractNumId w:val="46"/>
  </w:num>
  <w:num w:numId="4">
    <w:abstractNumId w:val="70"/>
  </w:num>
  <w:num w:numId="5">
    <w:abstractNumId w:val="47"/>
  </w:num>
  <w:num w:numId="6">
    <w:abstractNumId w:val="74"/>
  </w:num>
  <w:num w:numId="7">
    <w:abstractNumId w:val="8"/>
  </w:num>
  <w:num w:numId="8">
    <w:abstractNumId w:val="2"/>
  </w:num>
  <w:num w:numId="9">
    <w:abstractNumId w:val="3"/>
  </w:num>
  <w:num w:numId="10">
    <w:abstractNumId w:val="17"/>
  </w:num>
  <w:num w:numId="11">
    <w:abstractNumId w:val="23"/>
  </w:num>
  <w:num w:numId="12">
    <w:abstractNumId w:val="13"/>
  </w:num>
  <w:num w:numId="13">
    <w:abstractNumId w:val="34"/>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5"/>
  </w:num>
  <w:num w:numId="17">
    <w:abstractNumId w:val="39"/>
  </w:num>
  <w:num w:numId="18">
    <w:abstractNumId w:val="58"/>
  </w:num>
  <w:num w:numId="19">
    <w:abstractNumId w:val="19"/>
  </w:num>
  <w:num w:numId="20">
    <w:abstractNumId w:val="5"/>
  </w:num>
  <w:num w:numId="21">
    <w:abstractNumId w:val="24"/>
  </w:num>
  <w:num w:numId="22">
    <w:abstractNumId w:val="4"/>
  </w:num>
  <w:num w:numId="23">
    <w:abstractNumId w:val="57"/>
  </w:num>
  <w:num w:numId="24">
    <w:abstractNumId w:val="4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18"/>
  </w:num>
  <w:num w:numId="28">
    <w:abstractNumId w:val="50"/>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0">
    <w:abstractNumId w:val="68"/>
  </w:num>
  <w:num w:numId="31">
    <w:abstractNumId w:val="72"/>
  </w:num>
  <w:num w:numId="32">
    <w:abstractNumId w:val="69"/>
  </w:num>
  <w:num w:numId="33">
    <w:abstractNumId w:val="28"/>
  </w:num>
  <w:num w:numId="34">
    <w:abstractNumId w:val="21"/>
  </w:num>
  <w:num w:numId="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1"/>
  </w:num>
  <w:num w:numId="37">
    <w:abstractNumId w:val="14"/>
  </w:num>
  <w:num w:numId="38">
    <w:abstractNumId w:val="59"/>
  </w:num>
  <w:num w:numId="39">
    <w:abstractNumId w:val="65"/>
  </w:num>
  <w:num w:numId="40">
    <w:abstractNumId w:val="40"/>
  </w:num>
  <w:num w:numId="41">
    <w:abstractNumId w:val="43"/>
  </w:num>
  <w:num w:numId="42">
    <w:abstractNumId w:val="27"/>
  </w:num>
  <w:num w:numId="43">
    <w:abstractNumId w:val="61"/>
  </w:num>
  <w:num w:numId="44">
    <w:abstractNumId w:val="36"/>
  </w:num>
  <w:num w:numId="45">
    <w:abstractNumId w:val="1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num>
  <w:num w:numId="48">
    <w:abstractNumId w:val="9"/>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num>
  <w:num w:numId="51">
    <w:abstractNumId w:val="6"/>
  </w:num>
  <w:num w:numId="52">
    <w:abstractNumId w:val="12"/>
  </w:num>
  <w:num w:numId="53">
    <w:abstractNumId w:val="63"/>
  </w:num>
  <w:num w:numId="54">
    <w:abstractNumId w:val="0"/>
  </w:num>
  <w:num w:numId="55">
    <w:abstractNumId w:val="26"/>
  </w:num>
  <w:num w:numId="56">
    <w:abstractNumId w:val="29"/>
  </w:num>
  <w:num w:numId="57">
    <w:abstractNumId w:val="32"/>
  </w:num>
  <w:num w:numId="58">
    <w:abstractNumId w:val="33"/>
  </w:num>
  <w:num w:numId="59">
    <w:abstractNumId w:val="1"/>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num>
  <w:num w:numId="62">
    <w:abstractNumId w:val="73"/>
  </w:num>
  <w:num w:numId="6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num>
  <w:num w:numId="69">
    <w:abstractNumId w:val="22"/>
  </w:num>
  <w:num w:numId="70">
    <w:abstractNumId w:val="52"/>
  </w:num>
  <w:num w:numId="71">
    <w:abstractNumId w:val="35"/>
  </w:num>
  <w:num w:numId="72">
    <w:abstractNumId w:val="30"/>
  </w:num>
  <w:num w:numId="73">
    <w:abstractNumId w:val="53"/>
  </w:num>
  <w:num w:numId="74">
    <w:abstractNumId w:val="51"/>
  </w:num>
  <w:num w:numId="75">
    <w:abstractNumId w:val="66"/>
  </w:num>
  <w:num w:numId="76">
    <w:abstractNumId w:val="16"/>
  </w:num>
  <w:num w:numId="77">
    <w:abstractNumId w:val="10"/>
  </w:num>
  <w:num w:numId="78">
    <w:abstractNumId w:val="44"/>
  </w:num>
  <w:num w:numId="79">
    <w:abstractNumId w:val="31"/>
  </w:num>
  <w:num w:numId="80">
    <w:abstractNumId w:val="15"/>
  </w:num>
  <w:num w:numId="81">
    <w:abstractNumId w:val="75"/>
  </w:num>
  <w:num w:numId="82">
    <w:abstractNumId w:val="38"/>
  </w:num>
  <w:num w:numId="83">
    <w:abstractNumId w:val="62"/>
  </w:num>
  <w:num w:numId="84">
    <w:abstractNumId w:val="41"/>
  </w:num>
  <w:num w:numId="85">
    <w:abstractNumId w:val="48"/>
  </w:num>
  <w:num w:numId="86">
    <w:abstractNumId w:val="13"/>
  </w:num>
  <w:num w:numId="8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325633"/>
  </w:hdrShapeDefaults>
  <w:footnotePr>
    <w:footnote w:id="-1"/>
    <w:footnote w:id="0"/>
  </w:footnotePr>
  <w:endnotePr>
    <w:endnote w:id="-1"/>
    <w:endnote w:id="0"/>
  </w:endnotePr>
  <w:compat/>
  <w:docVars>
    <w:docVar w:name="LastSavedAs" w:val="1397670_4"/>
    <w:docVar w:name="WordOperator" w:val="AMW"/>
  </w:docVars>
  <w:rsids>
    <w:rsidRoot w:val="009844DA"/>
    <w:rsid w:val="00001C43"/>
    <w:rsid w:val="00007904"/>
    <w:rsid w:val="00012AF2"/>
    <w:rsid w:val="00015D53"/>
    <w:rsid w:val="000261F0"/>
    <w:rsid w:val="00031BFE"/>
    <w:rsid w:val="00031D0C"/>
    <w:rsid w:val="000411C2"/>
    <w:rsid w:val="00041946"/>
    <w:rsid w:val="00050F31"/>
    <w:rsid w:val="0005253E"/>
    <w:rsid w:val="00056AD1"/>
    <w:rsid w:val="00056FA2"/>
    <w:rsid w:val="00060556"/>
    <w:rsid w:val="0006083E"/>
    <w:rsid w:val="0006322D"/>
    <w:rsid w:val="00064AEA"/>
    <w:rsid w:val="00066D2D"/>
    <w:rsid w:val="00067986"/>
    <w:rsid w:val="00067C45"/>
    <w:rsid w:val="00072608"/>
    <w:rsid w:val="000726A2"/>
    <w:rsid w:val="00083937"/>
    <w:rsid w:val="00085D27"/>
    <w:rsid w:val="00085EF8"/>
    <w:rsid w:val="00087F5D"/>
    <w:rsid w:val="00096237"/>
    <w:rsid w:val="00096E3C"/>
    <w:rsid w:val="0009782D"/>
    <w:rsid w:val="000A0F47"/>
    <w:rsid w:val="000A1CAB"/>
    <w:rsid w:val="000A2E6C"/>
    <w:rsid w:val="000A75A2"/>
    <w:rsid w:val="000A7887"/>
    <w:rsid w:val="000B08C6"/>
    <w:rsid w:val="000C3D99"/>
    <w:rsid w:val="000C7D84"/>
    <w:rsid w:val="000D4C8C"/>
    <w:rsid w:val="000D6FA8"/>
    <w:rsid w:val="000E04E6"/>
    <w:rsid w:val="000E0ED7"/>
    <w:rsid w:val="000E7B09"/>
    <w:rsid w:val="000F314A"/>
    <w:rsid w:val="001011E3"/>
    <w:rsid w:val="00105A53"/>
    <w:rsid w:val="00110F6A"/>
    <w:rsid w:val="001122E2"/>
    <w:rsid w:val="001132DE"/>
    <w:rsid w:val="001136F2"/>
    <w:rsid w:val="00113C0B"/>
    <w:rsid w:val="00125D61"/>
    <w:rsid w:val="00126C06"/>
    <w:rsid w:val="001274DD"/>
    <w:rsid w:val="001346E7"/>
    <w:rsid w:val="00134F1E"/>
    <w:rsid w:val="00143168"/>
    <w:rsid w:val="001436A5"/>
    <w:rsid w:val="001437DD"/>
    <w:rsid w:val="00144183"/>
    <w:rsid w:val="00146724"/>
    <w:rsid w:val="001519B9"/>
    <w:rsid w:val="00152D73"/>
    <w:rsid w:val="00153936"/>
    <w:rsid w:val="00154A7F"/>
    <w:rsid w:val="001566BF"/>
    <w:rsid w:val="00157B3C"/>
    <w:rsid w:val="00160316"/>
    <w:rsid w:val="00162C95"/>
    <w:rsid w:val="001634C6"/>
    <w:rsid w:val="001646D6"/>
    <w:rsid w:val="00164F64"/>
    <w:rsid w:val="001652CA"/>
    <w:rsid w:val="00170E7F"/>
    <w:rsid w:val="001733B2"/>
    <w:rsid w:val="00176486"/>
    <w:rsid w:val="001768DD"/>
    <w:rsid w:val="00180A21"/>
    <w:rsid w:val="0018435F"/>
    <w:rsid w:val="0018664D"/>
    <w:rsid w:val="00186873"/>
    <w:rsid w:val="00187EE6"/>
    <w:rsid w:val="001948F4"/>
    <w:rsid w:val="00197BFD"/>
    <w:rsid w:val="001A06FE"/>
    <w:rsid w:val="001A2ED2"/>
    <w:rsid w:val="001A381B"/>
    <w:rsid w:val="001A76F3"/>
    <w:rsid w:val="001B1C74"/>
    <w:rsid w:val="001B3FD8"/>
    <w:rsid w:val="001B502C"/>
    <w:rsid w:val="001B58F4"/>
    <w:rsid w:val="001B7860"/>
    <w:rsid w:val="001C052C"/>
    <w:rsid w:val="001C1624"/>
    <w:rsid w:val="001C60EF"/>
    <w:rsid w:val="001C64A3"/>
    <w:rsid w:val="001C718D"/>
    <w:rsid w:val="001D0007"/>
    <w:rsid w:val="001D335E"/>
    <w:rsid w:val="001D3930"/>
    <w:rsid w:val="001D5BEA"/>
    <w:rsid w:val="001D7657"/>
    <w:rsid w:val="001E50E4"/>
    <w:rsid w:val="001E5D15"/>
    <w:rsid w:val="001F2470"/>
    <w:rsid w:val="002045EF"/>
    <w:rsid w:val="00206A3D"/>
    <w:rsid w:val="00207C38"/>
    <w:rsid w:val="00212048"/>
    <w:rsid w:val="00213934"/>
    <w:rsid w:val="0021422E"/>
    <w:rsid w:val="002145E2"/>
    <w:rsid w:val="002146AF"/>
    <w:rsid w:val="002166B6"/>
    <w:rsid w:val="00217F0C"/>
    <w:rsid w:val="002213DD"/>
    <w:rsid w:val="00221576"/>
    <w:rsid w:val="0022316F"/>
    <w:rsid w:val="002250B7"/>
    <w:rsid w:val="00227A19"/>
    <w:rsid w:val="00227B61"/>
    <w:rsid w:val="00232C91"/>
    <w:rsid w:val="00232FD5"/>
    <w:rsid w:val="00241494"/>
    <w:rsid w:val="0024400F"/>
    <w:rsid w:val="002459F1"/>
    <w:rsid w:val="00251E72"/>
    <w:rsid w:val="0025429B"/>
    <w:rsid w:val="00255837"/>
    <w:rsid w:val="00256618"/>
    <w:rsid w:val="00256ADB"/>
    <w:rsid w:val="00257ECA"/>
    <w:rsid w:val="002600F2"/>
    <w:rsid w:val="002612F2"/>
    <w:rsid w:val="002649D8"/>
    <w:rsid w:val="002776C8"/>
    <w:rsid w:val="00280E4C"/>
    <w:rsid w:val="00283D78"/>
    <w:rsid w:val="00283DB3"/>
    <w:rsid w:val="00284C57"/>
    <w:rsid w:val="00286D66"/>
    <w:rsid w:val="00290883"/>
    <w:rsid w:val="00291B81"/>
    <w:rsid w:val="00294237"/>
    <w:rsid w:val="00294FB5"/>
    <w:rsid w:val="002A1B47"/>
    <w:rsid w:val="002A2A62"/>
    <w:rsid w:val="002A3926"/>
    <w:rsid w:val="002A5691"/>
    <w:rsid w:val="002A687A"/>
    <w:rsid w:val="002B1F59"/>
    <w:rsid w:val="002B5310"/>
    <w:rsid w:val="002B6A67"/>
    <w:rsid w:val="002B79CF"/>
    <w:rsid w:val="002C1DB4"/>
    <w:rsid w:val="002C3815"/>
    <w:rsid w:val="002C38DD"/>
    <w:rsid w:val="002C4CEF"/>
    <w:rsid w:val="002D118E"/>
    <w:rsid w:val="002E1600"/>
    <w:rsid w:val="002E18BB"/>
    <w:rsid w:val="002E32F1"/>
    <w:rsid w:val="002E54E6"/>
    <w:rsid w:val="002E5850"/>
    <w:rsid w:val="002F0D0E"/>
    <w:rsid w:val="002F7189"/>
    <w:rsid w:val="002F7192"/>
    <w:rsid w:val="00300C3E"/>
    <w:rsid w:val="00301B40"/>
    <w:rsid w:val="00303BF6"/>
    <w:rsid w:val="00304ED3"/>
    <w:rsid w:val="0030677C"/>
    <w:rsid w:val="003067F0"/>
    <w:rsid w:val="003075CC"/>
    <w:rsid w:val="00307644"/>
    <w:rsid w:val="00311CFD"/>
    <w:rsid w:val="00312827"/>
    <w:rsid w:val="00312960"/>
    <w:rsid w:val="00312CD1"/>
    <w:rsid w:val="0031466A"/>
    <w:rsid w:val="003156B1"/>
    <w:rsid w:val="00317651"/>
    <w:rsid w:val="003211E9"/>
    <w:rsid w:val="00325BFF"/>
    <w:rsid w:val="00331F01"/>
    <w:rsid w:val="003329CA"/>
    <w:rsid w:val="00332AF0"/>
    <w:rsid w:val="00333157"/>
    <w:rsid w:val="0033518E"/>
    <w:rsid w:val="00343D53"/>
    <w:rsid w:val="00346959"/>
    <w:rsid w:val="003517CB"/>
    <w:rsid w:val="0035440E"/>
    <w:rsid w:val="003548BF"/>
    <w:rsid w:val="0035600B"/>
    <w:rsid w:val="00357CF4"/>
    <w:rsid w:val="003707CE"/>
    <w:rsid w:val="00372238"/>
    <w:rsid w:val="00374831"/>
    <w:rsid w:val="00376614"/>
    <w:rsid w:val="00376EC3"/>
    <w:rsid w:val="00377253"/>
    <w:rsid w:val="00377682"/>
    <w:rsid w:val="0037785B"/>
    <w:rsid w:val="00377CB6"/>
    <w:rsid w:val="003825CB"/>
    <w:rsid w:val="00383DE5"/>
    <w:rsid w:val="00385171"/>
    <w:rsid w:val="003852F7"/>
    <w:rsid w:val="0039125D"/>
    <w:rsid w:val="00397654"/>
    <w:rsid w:val="00397B70"/>
    <w:rsid w:val="003A01B9"/>
    <w:rsid w:val="003A0B55"/>
    <w:rsid w:val="003A7552"/>
    <w:rsid w:val="003A7E21"/>
    <w:rsid w:val="003B07A3"/>
    <w:rsid w:val="003B0F07"/>
    <w:rsid w:val="003B3FC9"/>
    <w:rsid w:val="003C0E70"/>
    <w:rsid w:val="003C1236"/>
    <w:rsid w:val="003C2ACB"/>
    <w:rsid w:val="003C74FD"/>
    <w:rsid w:val="003D4BCE"/>
    <w:rsid w:val="003E08F5"/>
    <w:rsid w:val="003E22E8"/>
    <w:rsid w:val="003E4B6E"/>
    <w:rsid w:val="003E60AB"/>
    <w:rsid w:val="003E69C4"/>
    <w:rsid w:val="003F1072"/>
    <w:rsid w:val="003F154A"/>
    <w:rsid w:val="003F2A68"/>
    <w:rsid w:val="003F512B"/>
    <w:rsid w:val="003F5B77"/>
    <w:rsid w:val="003F6779"/>
    <w:rsid w:val="003F6A37"/>
    <w:rsid w:val="003F76AA"/>
    <w:rsid w:val="00401271"/>
    <w:rsid w:val="00402697"/>
    <w:rsid w:val="00402CEC"/>
    <w:rsid w:val="004068A0"/>
    <w:rsid w:val="00411AFE"/>
    <w:rsid w:val="00420E06"/>
    <w:rsid w:val="00426CF4"/>
    <w:rsid w:val="004349D3"/>
    <w:rsid w:val="0043525C"/>
    <w:rsid w:val="00437A78"/>
    <w:rsid w:val="00440341"/>
    <w:rsid w:val="00442D24"/>
    <w:rsid w:val="00446528"/>
    <w:rsid w:val="00446A58"/>
    <w:rsid w:val="00453104"/>
    <w:rsid w:val="004532BB"/>
    <w:rsid w:val="00457F14"/>
    <w:rsid w:val="0046186F"/>
    <w:rsid w:val="00463424"/>
    <w:rsid w:val="00467F70"/>
    <w:rsid w:val="00470BCF"/>
    <w:rsid w:val="00476A3F"/>
    <w:rsid w:val="00476D64"/>
    <w:rsid w:val="004827FF"/>
    <w:rsid w:val="00483310"/>
    <w:rsid w:val="00484694"/>
    <w:rsid w:val="00486C5A"/>
    <w:rsid w:val="00490D1B"/>
    <w:rsid w:val="00494B03"/>
    <w:rsid w:val="00495786"/>
    <w:rsid w:val="00495D88"/>
    <w:rsid w:val="004A3E8B"/>
    <w:rsid w:val="004A4146"/>
    <w:rsid w:val="004A44CB"/>
    <w:rsid w:val="004B08D8"/>
    <w:rsid w:val="004B0ECA"/>
    <w:rsid w:val="004B51CC"/>
    <w:rsid w:val="004C02C0"/>
    <w:rsid w:val="004C3E45"/>
    <w:rsid w:val="004C45B1"/>
    <w:rsid w:val="004C5827"/>
    <w:rsid w:val="004D1973"/>
    <w:rsid w:val="004D1A98"/>
    <w:rsid w:val="004D63C1"/>
    <w:rsid w:val="004D6DAE"/>
    <w:rsid w:val="004E0D85"/>
    <w:rsid w:val="004F0FAE"/>
    <w:rsid w:val="004F165E"/>
    <w:rsid w:val="004F46FF"/>
    <w:rsid w:val="004F53AC"/>
    <w:rsid w:val="005000AA"/>
    <w:rsid w:val="0050570B"/>
    <w:rsid w:val="00505A2C"/>
    <w:rsid w:val="00510052"/>
    <w:rsid w:val="00510A2D"/>
    <w:rsid w:val="0051216B"/>
    <w:rsid w:val="00514B69"/>
    <w:rsid w:val="00523236"/>
    <w:rsid w:val="00525B5B"/>
    <w:rsid w:val="00527899"/>
    <w:rsid w:val="00534BCF"/>
    <w:rsid w:val="00541507"/>
    <w:rsid w:val="00542EE5"/>
    <w:rsid w:val="00547FD7"/>
    <w:rsid w:val="005535CE"/>
    <w:rsid w:val="00555C83"/>
    <w:rsid w:val="00557552"/>
    <w:rsid w:val="0056082E"/>
    <w:rsid w:val="00562F23"/>
    <w:rsid w:val="00563815"/>
    <w:rsid w:val="00564BEB"/>
    <w:rsid w:val="00567F7E"/>
    <w:rsid w:val="0057306C"/>
    <w:rsid w:val="00577684"/>
    <w:rsid w:val="00587923"/>
    <w:rsid w:val="005924FE"/>
    <w:rsid w:val="00593A5A"/>
    <w:rsid w:val="00594A3C"/>
    <w:rsid w:val="005A1457"/>
    <w:rsid w:val="005A23C3"/>
    <w:rsid w:val="005A7573"/>
    <w:rsid w:val="005B12E4"/>
    <w:rsid w:val="005B4484"/>
    <w:rsid w:val="005B5E15"/>
    <w:rsid w:val="005B6AD5"/>
    <w:rsid w:val="005D0F13"/>
    <w:rsid w:val="005D6C0B"/>
    <w:rsid w:val="005E0355"/>
    <w:rsid w:val="005E0DA7"/>
    <w:rsid w:val="005E4A84"/>
    <w:rsid w:val="005E7E33"/>
    <w:rsid w:val="005F2584"/>
    <w:rsid w:val="005F4CFE"/>
    <w:rsid w:val="005F5827"/>
    <w:rsid w:val="005F7A2A"/>
    <w:rsid w:val="00600CB2"/>
    <w:rsid w:val="00602D86"/>
    <w:rsid w:val="00603734"/>
    <w:rsid w:val="0060738D"/>
    <w:rsid w:val="0061055C"/>
    <w:rsid w:val="006112C5"/>
    <w:rsid w:val="00621AB7"/>
    <w:rsid w:val="006231FE"/>
    <w:rsid w:val="00623854"/>
    <w:rsid w:val="00627666"/>
    <w:rsid w:val="006279EB"/>
    <w:rsid w:val="00633EB5"/>
    <w:rsid w:val="00636EF2"/>
    <w:rsid w:val="00640B44"/>
    <w:rsid w:val="00641B99"/>
    <w:rsid w:val="006422AD"/>
    <w:rsid w:val="00643030"/>
    <w:rsid w:val="006441E4"/>
    <w:rsid w:val="006467B2"/>
    <w:rsid w:val="0065325A"/>
    <w:rsid w:val="00656029"/>
    <w:rsid w:val="00664E51"/>
    <w:rsid w:val="00665232"/>
    <w:rsid w:val="006667FD"/>
    <w:rsid w:val="00671493"/>
    <w:rsid w:val="00671EED"/>
    <w:rsid w:val="006731B2"/>
    <w:rsid w:val="006736CC"/>
    <w:rsid w:val="00677D89"/>
    <w:rsid w:val="00681004"/>
    <w:rsid w:val="00684476"/>
    <w:rsid w:val="00686E0E"/>
    <w:rsid w:val="0069380F"/>
    <w:rsid w:val="00695FE1"/>
    <w:rsid w:val="00696258"/>
    <w:rsid w:val="00696404"/>
    <w:rsid w:val="006A0050"/>
    <w:rsid w:val="006A14C8"/>
    <w:rsid w:val="006A237C"/>
    <w:rsid w:val="006A4D5A"/>
    <w:rsid w:val="006A510A"/>
    <w:rsid w:val="006B1F91"/>
    <w:rsid w:val="006B3950"/>
    <w:rsid w:val="006B4DB4"/>
    <w:rsid w:val="006B6DFE"/>
    <w:rsid w:val="006C20BA"/>
    <w:rsid w:val="006C3409"/>
    <w:rsid w:val="006D2597"/>
    <w:rsid w:val="006D2EAC"/>
    <w:rsid w:val="006E6412"/>
    <w:rsid w:val="006E6F5C"/>
    <w:rsid w:val="006F6456"/>
    <w:rsid w:val="006F7E43"/>
    <w:rsid w:val="00700E43"/>
    <w:rsid w:val="0070213D"/>
    <w:rsid w:val="007024F3"/>
    <w:rsid w:val="00703057"/>
    <w:rsid w:val="00703958"/>
    <w:rsid w:val="00706A10"/>
    <w:rsid w:val="00706DDA"/>
    <w:rsid w:val="007114D2"/>
    <w:rsid w:val="0071587B"/>
    <w:rsid w:val="00717663"/>
    <w:rsid w:val="00717DCE"/>
    <w:rsid w:val="0072051D"/>
    <w:rsid w:val="00721A1D"/>
    <w:rsid w:val="00726317"/>
    <w:rsid w:val="007312D3"/>
    <w:rsid w:val="00732FCD"/>
    <w:rsid w:val="00733603"/>
    <w:rsid w:val="007401DA"/>
    <w:rsid w:val="0074561C"/>
    <w:rsid w:val="00746306"/>
    <w:rsid w:val="00750A12"/>
    <w:rsid w:val="00755744"/>
    <w:rsid w:val="00755AB5"/>
    <w:rsid w:val="00756BB0"/>
    <w:rsid w:val="00762923"/>
    <w:rsid w:val="0076314F"/>
    <w:rsid w:val="00767FAF"/>
    <w:rsid w:val="007701AB"/>
    <w:rsid w:val="00772691"/>
    <w:rsid w:val="007731AA"/>
    <w:rsid w:val="00773303"/>
    <w:rsid w:val="0077705E"/>
    <w:rsid w:val="00793D25"/>
    <w:rsid w:val="00793EF5"/>
    <w:rsid w:val="007A320C"/>
    <w:rsid w:val="007B126A"/>
    <w:rsid w:val="007B1572"/>
    <w:rsid w:val="007B31D2"/>
    <w:rsid w:val="007B387A"/>
    <w:rsid w:val="007B4637"/>
    <w:rsid w:val="007B48CD"/>
    <w:rsid w:val="007B761D"/>
    <w:rsid w:val="007C2636"/>
    <w:rsid w:val="007C5CAE"/>
    <w:rsid w:val="007D09C8"/>
    <w:rsid w:val="007E3B5D"/>
    <w:rsid w:val="007F168E"/>
    <w:rsid w:val="007F7260"/>
    <w:rsid w:val="00800E4D"/>
    <w:rsid w:val="008049F6"/>
    <w:rsid w:val="00804F51"/>
    <w:rsid w:val="00806568"/>
    <w:rsid w:val="00813D5F"/>
    <w:rsid w:val="00815A33"/>
    <w:rsid w:val="00817484"/>
    <w:rsid w:val="00817B2E"/>
    <w:rsid w:val="00823495"/>
    <w:rsid w:val="0083560F"/>
    <w:rsid w:val="0083607A"/>
    <w:rsid w:val="00836F3A"/>
    <w:rsid w:val="00837D44"/>
    <w:rsid w:val="00840FC6"/>
    <w:rsid w:val="00842B5E"/>
    <w:rsid w:val="00845054"/>
    <w:rsid w:val="0084688E"/>
    <w:rsid w:val="008533A1"/>
    <w:rsid w:val="008539EC"/>
    <w:rsid w:val="00854A84"/>
    <w:rsid w:val="00855071"/>
    <w:rsid w:val="00856EAA"/>
    <w:rsid w:val="00856FB3"/>
    <w:rsid w:val="00862E48"/>
    <w:rsid w:val="008679F0"/>
    <w:rsid w:val="00870D08"/>
    <w:rsid w:val="008729C3"/>
    <w:rsid w:val="00873DCD"/>
    <w:rsid w:val="00874FBC"/>
    <w:rsid w:val="008815D2"/>
    <w:rsid w:val="008837D4"/>
    <w:rsid w:val="00886832"/>
    <w:rsid w:val="0089204C"/>
    <w:rsid w:val="008928D2"/>
    <w:rsid w:val="008945F1"/>
    <w:rsid w:val="00896FAB"/>
    <w:rsid w:val="008A05E8"/>
    <w:rsid w:val="008A1C94"/>
    <w:rsid w:val="008A28D5"/>
    <w:rsid w:val="008A6556"/>
    <w:rsid w:val="008A7470"/>
    <w:rsid w:val="008B1098"/>
    <w:rsid w:val="008B2B63"/>
    <w:rsid w:val="008B6839"/>
    <w:rsid w:val="008B7423"/>
    <w:rsid w:val="008C300C"/>
    <w:rsid w:val="008C44E8"/>
    <w:rsid w:val="008D14EC"/>
    <w:rsid w:val="008D1950"/>
    <w:rsid w:val="008D1AE2"/>
    <w:rsid w:val="008D508D"/>
    <w:rsid w:val="008D5589"/>
    <w:rsid w:val="008D6E8E"/>
    <w:rsid w:val="008E1250"/>
    <w:rsid w:val="008E226C"/>
    <w:rsid w:val="008E23D5"/>
    <w:rsid w:val="008E3BEA"/>
    <w:rsid w:val="008E4C9F"/>
    <w:rsid w:val="008E6051"/>
    <w:rsid w:val="008F1108"/>
    <w:rsid w:val="008F3359"/>
    <w:rsid w:val="008F3AE5"/>
    <w:rsid w:val="008F62FA"/>
    <w:rsid w:val="008F6452"/>
    <w:rsid w:val="008F6B6C"/>
    <w:rsid w:val="00903F6E"/>
    <w:rsid w:val="009053AA"/>
    <w:rsid w:val="009077D6"/>
    <w:rsid w:val="00907D74"/>
    <w:rsid w:val="00910747"/>
    <w:rsid w:val="00910FD9"/>
    <w:rsid w:val="00915CE9"/>
    <w:rsid w:val="009170E8"/>
    <w:rsid w:val="0092331E"/>
    <w:rsid w:val="009249F5"/>
    <w:rsid w:val="0092752F"/>
    <w:rsid w:val="00931F73"/>
    <w:rsid w:val="009347FD"/>
    <w:rsid w:val="00934D05"/>
    <w:rsid w:val="009408BC"/>
    <w:rsid w:val="0094471F"/>
    <w:rsid w:val="009448AB"/>
    <w:rsid w:val="00945DBE"/>
    <w:rsid w:val="00952D23"/>
    <w:rsid w:val="00954387"/>
    <w:rsid w:val="00955509"/>
    <w:rsid w:val="00956615"/>
    <w:rsid w:val="009569F5"/>
    <w:rsid w:val="009608F5"/>
    <w:rsid w:val="00961C7B"/>
    <w:rsid w:val="0096387E"/>
    <w:rsid w:val="00965CD1"/>
    <w:rsid w:val="00966922"/>
    <w:rsid w:val="009727C7"/>
    <w:rsid w:val="00973BC9"/>
    <w:rsid w:val="00975B40"/>
    <w:rsid w:val="00977A2B"/>
    <w:rsid w:val="00982695"/>
    <w:rsid w:val="009844DA"/>
    <w:rsid w:val="009858B5"/>
    <w:rsid w:val="009869E9"/>
    <w:rsid w:val="00987BA4"/>
    <w:rsid w:val="00987BD0"/>
    <w:rsid w:val="009908F8"/>
    <w:rsid w:val="009909CF"/>
    <w:rsid w:val="00990E25"/>
    <w:rsid w:val="009A1B33"/>
    <w:rsid w:val="009A3883"/>
    <w:rsid w:val="009B38E4"/>
    <w:rsid w:val="009B6554"/>
    <w:rsid w:val="009B6C81"/>
    <w:rsid w:val="009B7D8A"/>
    <w:rsid w:val="009C05A4"/>
    <w:rsid w:val="009C1E72"/>
    <w:rsid w:val="009C2C2C"/>
    <w:rsid w:val="009C39C0"/>
    <w:rsid w:val="009C5BF3"/>
    <w:rsid w:val="009D098A"/>
    <w:rsid w:val="009D3207"/>
    <w:rsid w:val="009D4012"/>
    <w:rsid w:val="009D43F7"/>
    <w:rsid w:val="009D5AF5"/>
    <w:rsid w:val="009D6440"/>
    <w:rsid w:val="009E0816"/>
    <w:rsid w:val="009E27FB"/>
    <w:rsid w:val="009F003B"/>
    <w:rsid w:val="009F1D1E"/>
    <w:rsid w:val="009F6ABC"/>
    <w:rsid w:val="009F74D7"/>
    <w:rsid w:val="00A0028F"/>
    <w:rsid w:val="00A020D3"/>
    <w:rsid w:val="00A02F5E"/>
    <w:rsid w:val="00A03282"/>
    <w:rsid w:val="00A03DC6"/>
    <w:rsid w:val="00A04F75"/>
    <w:rsid w:val="00A10483"/>
    <w:rsid w:val="00A10BC3"/>
    <w:rsid w:val="00A11564"/>
    <w:rsid w:val="00A12BC1"/>
    <w:rsid w:val="00A1310D"/>
    <w:rsid w:val="00A17702"/>
    <w:rsid w:val="00A20821"/>
    <w:rsid w:val="00A21C12"/>
    <w:rsid w:val="00A21F68"/>
    <w:rsid w:val="00A22BFA"/>
    <w:rsid w:val="00A25EBE"/>
    <w:rsid w:val="00A40BE3"/>
    <w:rsid w:val="00A47D39"/>
    <w:rsid w:val="00A51AD8"/>
    <w:rsid w:val="00A527FA"/>
    <w:rsid w:val="00A56CE5"/>
    <w:rsid w:val="00A60A67"/>
    <w:rsid w:val="00A61CC0"/>
    <w:rsid w:val="00A63C6A"/>
    <w:rsid w:val="00A65FDA"/>
    <w:rsid w:val="00A66FBC"/>
    <w:rsid w:val="00A6754B"/>
    <w:rsid w:val="00A67D87"/>
    <w:rsid w:val="00A70F1F"/>
    <w:rsid w:val="00A759E9"/>
    <w:rsid w:val="00A75EC1"/>
    <w:rsid w:val="00A772A2"/>
    <w:rsid w:val="00A8080D"/>
    <w:rsid w:val="00A827F9"/>
    <w:rsid w:val="00A82AB9"/>
    <w:rsid w:val="00A85643"/>
    <w:rsid w:val="00A9155B"/>
    <w:rsid w:val="00A918C2"/>
    <w:rsid w:val="00A92689"/>
    <w:rsid w:val="00A927CC"/>
    <w:rsid w:val="00A96365"/>
    <w:rsid w:val="00A977F3"/>
    <w:rsid w:val="00AA162B"/>
    <w:rsid w:val="00AA18B2"/>
    <w:rsid w:val="00AA27C9"/>
    <w:rsid w:val="00AA31D8"/>
    <w:rsid w:val="00AB2FA8"/>
    <w:rsid w:val="00AB4604"/>
    <w:rsid w:val="00AB64EB"/>
    <w:rsid w:val="00AC088E"/>
    <w:rsid w:val="00AC5FB3"/>
    <w:rsid w:val="00AC6B05"/>
    <w:rsid w:val="00AC6ED9"/>
    <w:rsid w:val="00AD73AE"/>
    <w:rsid w:val="00AE0D10"/>
    <w:rsid w:val="00AE0E8B"/>
    <w:rsid w:val="00AE52B5"/>
    <w:rsid w:val="00AE5561"/>
    <w:rsid w:val="00AE7314"/>
    <w:rsid w:val="00AF04FE"/>
    <w:rsid w:val="00AF22FA"/>
    <w:rsid w:val="00AF6E9D"/>
    <w:rsid w:val="00B01B7B"/>
    <w:rsid w:val="00B02345"/>
    <w:rsid w:val="00B03F20"/>
    <w:rsid w:val="00B06C04"/>
    <w:rsid w:val="00B120AC"/>
    <w:rsid w:val="00B153F1"/>
    <w:rsid w:val="00B16430"/>
    <w:rsid w:val="00B177EB"/>
    <w:rsid w:val="00B200F7"/>
    <w:rsid w:val="00B20719"/>
    <w:rsid w:val="00B22601"/>
    <w:rsid w:val="00B2401E"/>
    <w:rsid w:val="00B26735"/>
    <w:rsid w:val="00B27E53"/>
    <w:rsid w:val="00B30070"/>
    <w:rsid w:val="00B30854"/>
    <w:rsid w:val="00B32B3B"/>
    <w:rsid w:val="00B341D2"/>
    <w:rsid w:val="00B34543"/>
    <w:rsid w:val="00B40A2D"/>
    <w:rsid w:val="00B41252"/>
    <w:rsid w:val="00B42265"/>
    <w:rsid w:val="00B4419D"/>
    <w:rsid w:val="00B47920"/>
    <w:rsid w:val="00B47F0C"/>
    <w:rsid w:val="00B513E6"/>
    <w:rsid w:val="00B51EDA"/>
    <w:rsid w:val="00B56806"/>
    <w:rsid w:val="00B611F4"/>
    <w:rsid w:val="00B61BA6"/>
    <w:rsid w:val="00B6332E"/>
    <w:rsid w:val="00B640A6"/>
    <w:rsid w:val="00B70C14"/>
    <w:rsid w:val="00B74838"/>
    <w:rsid w:val="00B75DFF"/>
    <w:rsid w:val="00B80302"/>
    <w:rsid w:val="00B803DB"/>
    <w:rsid w:val="00B81BC2"/>
    <w:rsid w:val="00B85A8F"/>
    <w:rsid w:val="00B86378"/>
    <w:rsid w:val="00B87986"/>
    <w:rsid w:val="00B93BA0"/>
    <w:rsid w:val="00B94166"/>
    <w:rsid w:val="00BA059C"/>
    <w:rsid w:val="00BA11C2"/>
    <w:rsid w:val="00BA791F"/>
    <w:rsid w:val="00BB1628"/>
    <w:rsid w:val="00BB4AA6"/>
    <w:rsid w:val="00BB68DF"/>
    <w:rsid w:val="00BB7E0B"/>
    <w:rsid w:val="00BC30B4"/>
    <w:rsid w:val="00BC6360"/>
    <w:rsid w:val="00BC7DC7"/>
    <w:rsid w:val="00BD252C"/>
    <w:rsid w:val="00BD6093"/>
    <w:rsid w:val="00BD6831"/>
    <w:rsid w:val="00BD79CB"/>
    <w:rsid w:val="00BE23B5"/>
    <w:rsid w:val="00BF0845"/>
    <w:rsid w:val="00BF1B70"/>
    <w:rsid w:val="00BF2D3F"/>
    <w:rsid w:val="00BF3ADA"/>
    <w:rsid w:val="00BF584B"/>
    <w:rsid w:val="00BF5A5D"/>
    <w:rsid w:val="00BF6088"/>
    <w:rsid w:val="00C04750"/>
    <w:rsid w:val="00C06054"/>
    <w:rsid w:val="00C11920"/>
    <w:rsid w:val="00C14C2D"/>
    <w:rsid w:val="00C14D9D"/>
    <w:rsid w:val="00C2376F"/>
    <w:rsid w:val="00C27E2B"/>
    <w:rsid w:val="00C307C8"/>
    <w:rsid w:val="00C33D23"/>
    <w:rsid w:val="00C33EC1"/>
    <w:rsid w:val="00C47185"/>
    <w:rsid w:val="00C47728"/>
    <w:rsid w:val="00C53E1E"/>
    <w:rsid w:val="00C54225"/>
    <w:rsid w:val="00C5674E"/>
    <w:rsid w:val="00C63A0B"/>
    <w:rsid w:val="00C66EC9"/>
    <w:rsid w:val="00C67D9A"/>
    <w:rsid w:val="00C7574D"/>
    <w:rsid w:val="00C765CC"/>
    <w:rsid w:val="00C80BBC"/>
    <w:rsid w:val="00C820E1"/>
    <w:rsid w:val="00C82148"/>
    <w:rsid w:val="00C85104"/>
    <w:rsid w:val="00C86B81"/>
    <w:rsid w:val="00C901EB"/>
    <w:rsid w:val="00C93C94"/>
    <w:rsid w:val="00C94906"/>
    <w:rsid w:val="00C95D7E"/>
    <w:rsid w:val="00C96368"/>
    <w:rsid w:val="00C97EB0"/>
    <w:rsid w:val="00CA1543"/>
    <w:rsid w:val="00CA6401"/>
    <w:rsid w:val="00CA78EC"/>
    <w:rsid w:val="00CB482C"/>
    <w:rsid w:val="00CC2694"/>
    <w:rsid w:val="00CC4F52"/>
    <w:rsid w:val="00CC79EF"/>
    <w:rsid w:val="00CD13BE"/>
    <w:rsid w:val="00CD3AB0"/>
    <w:rsid w:val="00CD4053"/>
    <w:rsid w:val="00CE00EE"/>
    <w:rsid w:val="00CE662F"/>
    <w:rsid w:val="00CF13C3"/>
    <w:rsid w:val="00CF6394"/>
    <w:rsid w:val="00CF6C58"/>
    <w:rsid w:val="00CF777A"/>
    <w:rsid w:val="00D003E7"/>
    <w:rsid w:val="00D04FE3"/>
    <w:rsid w:val="00D07344"/>
    <w:rsid w:val="00D105AD"/>
    <w:rsid w:val="00D10947"/>
    <w:rsid w:val="00D14D0D"/>
    <w:rsid w:val="00D1613A"/>
    <w:rsid w:val="00D20682"/>
    <w:rsid w:val="00D233B9"/>
    <w:rsid w:val="00D2743F"/>
    <w:rsid w:val="00D31B6E"/>
    <w:rsid w:val="00D31C67"/>
    <w:rsid w:val="00D35A87"/>
    <w:rsid w:val="00D4061B"/>
    <w:rsid w:val="00D427DF"/>
    <w:rsid w:val="00D43C14"/>
    <w:rsid w:val="00D44074"/>
    <w:rsid w:val="00D44161"/>
    <w:rsid w:val="00D4512B"/>
    <w:rsid w:val="00D47D33"/>
    <w:rsid w:val="00D52474"/>
    <w:rsid w:val="00D5270E"/>
    <w:rsid w:val="00D56AA6"/>
    <w:rsid w:val="00D57644"/>
    <w:rsid w:val="00D57987"/>
    <w:rsid w:val="00D6010E"/>
    <w:rsid w:val="00D605C2"/>
    <w:rsid w:val="00D64583"/>
    <w:rsid w:val="00D6573E"/>
    <w:rsid w:val="00D74018"/>
    <w:rsid w:val="00D7483E"/>
    <w:rsid w:val="00D75592"/>
    <w:rsid w:val="00D75C93"/>
    <w:rsid w:val="00D762BB"/>
    <w:rsid w:val="00D7661D"/>
    <w:rsid w:val="00D76BFD"/>
    <w:rsid w:val="00D76C79"/>
    <w:rsid w:val="00D91BE1"/>
    <w:rsid w:val="00D94BEB"/>
    <w:rsid w:val="00D94C94"/>
    <w:rsid w:val="00DA59E6"/>
    <w:rsid w:val="00DA7C59"/>
    <w:rsid w:val="00DA7EC5"/>
    <w:rsid w:val="00DB1708"/>
    <w:rsid w:val="00DB18E8"/>
    <w:rsid w:val="00DB2D5D"/>
    <w:rsid w:val="00DB495D"/>
    <w:rsid w:val="00DB4E72"/>
    <w:rsid w:val="00DC38EC"/>
    <w:rsid w:val="00DC6AF7"/>
    <w:rsid w:val="00DC79AA"/>
    <w:rsid w:val="00DD066C"/>
    <w:rsid w:val="00DD1B09"/>
    <w:rsid w:val="00DD38C1"/>
    <w:rsid w:val="00DD4AA6"/>
    <w:rsid w:val="00DD4FBE"/>
    <w:rsid w:val="00DD5317"/>
    <w:rsid w:val="00DD7B4E"/>
    <w:rsid w:val="00DE6E39"/>
    <w:rsid w:val="00DE7639"/>
    <w:rsid w:val="00DE7EA9"/>
    <w:rsid w:val="00DF48FD"/>
    <w:rsid w:val="00DF7EC5"/>
    <w:rsid w:val="00E01567"/>
    <w:rsid w:val="00E03EC7"/>
    <w:rsid w:val="00E05C60"/>
    <w:rsid w:val="00E0798B"/>
    <w:rsid w:val="00E2111B"/>
    <w:rsid w:val="00E22B7B"/>
    <w:rsid w:val="00E23D56"/>
    <w:rsid w:val="00E27F5E"/>
    <w:rsid w:val="00E31F9E"/>
    <w:rsid w:val="00E31FBE"/>
    <w:rsid w:val="00E370DF"/>
    <w:rsid w:val="00E3782C"/>
    <w:rsid w:val="00E40E13"/>
    <w:rsid w:val="00E410D4"/>
    <w:rsid w:val="00E41AF3"/>
    <w:rsid w:val="00E4276E"/>
    <w:rsid w:val="00E45011"/>
    <w:rsid w:val="00E46BC1"/>
    <w:rsid w:val="00E47EC8"/>
    <w:rsid w:val="00E5128B"/>
    <w:rsid w:val="00E55AE4"/>
    <w:rsid w:val="00E61252"/>
    <w:rsid w:val="00E6381F"/>
    <w:rsid w:val="00E67B91"/>
    <w:rsid w:val="00E7204B"/>
    <w:rsid w:val="00E82CA1"/>
    <w:rsid w:val="00E8361F"/>
    <w:rsid w:val="00E87543"/>
    <w:rsid w:val="00E90612"/>
    <w:rsid w:val="00E92278"/>
    <w:rsid w:val="00E97073"/>
    <w:rsid w:val="00EA01E1"/>
    <w:rsid w:val="00EA2B52"/>
    <w:rsid w:val="00EA52C9"/>
    <w:rsid w:val="00EB1AD3"/>
    <w:rsid w:val="00EB3ACC"/>
    <w:rsid w:val="00EB41ED"/>
    <w:rsid w:val="00EB7771"/>
    <w:rsid w:val="00EC21DD"/>
    <w:rsid w:val="00EC4EDD"/>
    <w:rsid w:val="00EC57AA"/>
    <w:rsid w:val="00EC586B"/>
    <w:rsid w:val="00EC66D2"/>
    <w:rsid w:val="00EC693D"/>
    <w:rsid w:val="00ED011C"/>
    <w:rsid w:val="00ED1A70"/>
    <w:rsid w:val="00EE03CF"/>
    <w:rsid w:val="00EE1D96"/>
    <w:rsid w:val="00EE23F9"/>
    <w:rsid w:val="00EE715F"/>
    <w:rsid w:val="00EF15AA"/>
    <w:rsid w:val="00EF6AF3"/>
    <w:rsid w:val="00F045F6"/>
    <w:rsid w:val="00F05926"/>
    <w:rsid w:val="00F22339"/>
    <w:rsid w:val="00F243B8"/>
    <w:rsid w:val="00F26D66"/>
    <w:rsid w:val="00F270F7"/>
    <w:rsid w:val="00F278A4"/>
    <w:rsid w:val="00F313DD"/>
    <w:rsid w:val="00F32B71"/>
    <w:rsid w:val="00F34F6D"/>
    <w:rsid w:val="00F35CCC"/>
    <w:rsid w:val="00F40DAE"/>
    <w:rsid w:val="00F43885"/>
    <w:rsid w:val="00F43FCC"/>
    <w:rsid w:val="00F44DEB"/>
    <w:rsid w:val="00F46066"/>
    <w:rsid w:val="00F46D66"/>
    <w:rsid w:val="00F47B6A"/>
    <w:rsid w:val="00F47EB9"/>
    <w:rsid w:val="00F51C16"/>
    <w:rsid w:val="00F5798C"/>
    <w:rsid w:val="00F62877"/>
    <w:rsid w:val="00F676CD"/>
    <w:rsid w:val="00F710CF"/>
    <w:rsid w:val="00F73022"/>
    <w:rsid w:val="00F746EF"/>
    <w:rsid w:val="00F777F5"/>
    <w:rsid w:val="00F823DB"/>
    <w:rsid w:val="00F8542F"/>
    <w:rsid w:val="00F86836"/>
    <w:rsid w:val="00F93325"/>
    <w:rsid w:val="00F934CF"/>
    <w:rsid w:val="00F94618"/>
    <w:rsid w:val="00F96F6D"/>
    <w:rsid w:val="00F97056"/>
    <w:rsid w:val="00FA050E"/>
    <w:rsid w:val="00FA0734"/>
    <w:rsid w:val="00FA195A"/>
    <w:rsid w:val="00FA1BB3"/>
    <w:rsid w:val="00FA3E9C"/>
    <w:rsid w:val="00FA676F"/>
    <w:rsid w:val="00FA6D08"/>
    <w:rsid w:val="00FB14DF"/>
    <w:rsid w:val="00FB5CA2"/>
    <w:rsid w:val="00FB6353"/>
    <w:rsid w:val="00FC017A"/>
    <w:rsid w:val="00FC02A7"/>
    <w:rsid w:val="00FC1A7E"/>
    <w:rsid w:val="00FC1B1B"/>
    <w:rsid w:val="00FC23A2"/>
    <w:rsid w:val="00FC7741"/>
    <w:rsid w:val="00FD0841"/>
    <w:rsid w:val="00FD4130"/>
    <w:rsid w:val="00FD5A92"/>
    <w:rsid w:val="00FD6BCC"/>
    <w:rsid w:val="00FE0571"/>
    <w:rsid w:val="00FE1C03"/>
    <w:rsid w:val="00FE4411"/>
    <w:rsid w:val="00FE7F50"/>
    <w:rsid w:val="00FF1DAB"/>
    <w:rsid w:val="00FF4E0F"/>
    <w:rsid w:val="00FF5F1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B56806"/>
    <w:rPr>
      <w:rFonts w:asciiTheme="minorHAnsi" w:hAnsiTheme="minorHAnsi"/>
      <w:sz w:val="24"/>
      <w:szCs w:val="24"/>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link w:val="Heading3Char"/>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1D7657"/>
    <w:pPr>
      <w:numPr>
        <w:numId w:val="4"/>
      </w:numPr>
      <w:spacing w:after="240"/>
    </w:pPr>
  </w:style>
  <w:style w:type="numbering" w:customStyle="1" w:styleId="Bulletliststyle">
    <w:name w:val="Bullet list style"/>
    <w:basedOn w:val="NoList"/>
    <w:uiPriority w:val="99"/>
    <w:rsid w:val="001D7657"/>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rsid w:val="001D7657"/>
    <w:pPr>
      <w:tabs>
        <w:tab w:val="center" w:pos="4153"/>
        <w:tab w:val="right" w:pos="8306"/>
      </w:tabs>
      <w:jc w:val="center"/>
    </w:pPr>
  </w:style>
  <w:style w:type="character" w:customStyle="1" w:styleId="HeaderChar">
    <w:name w:val="Header Char"/>
    <w:basedOn w:val="DefaultParagraphFont"/>
    <w:link w:val="Header"/>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1D7657"/>
    <w:pPr>
      <w:ind w:left="709" w:right="709"/>
    </w:pPr>
    <w:rPr>
      <w:i/>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2"/>
      </w:numPr>
    </w:pPr>
  </w:style>
  <w:style w:type="table" w:styleId="TableGrid">
    <w:name w:val="Table Grid"/>
    <w:basedOn w:val="TableNormal"/>
    <w:rsid w:val="001D7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3"/>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next w:val="Normal"/>
    <w:autoRedefine/>
    <w:uiPriority w:val="39"/>
    <w:rsid w:val="00B611F4"/>
    <w:pPr>
      <w:tabs>
        <w:tab w:val="left" w:pos="1701"/>
        <w:tab w:val="right" w:pos="8505"/>
      </w:tabs>
      <w:spacing w:before="227"/>
      <w:ind w:left="1701" w:right="1089" w:hanging="1701"/>
    </w:pPr>
    <w:rPr>
      <w:b/>
      <w:caps/>
      <w:noProof/>
    </w:rPr>
  </w:style>
  <w:style w:type="paragraph" w:styleId="TOC2">
    <w:name w:val="toc 2"/>
    <w:basedOn w:val="TOC1"/>
    <w:next w:val="Normal"/>
    <w:autoRedefine/>
    <w:rsid w:val="001D7657"/>
    <w:pPr>
      <w:spacing w:before="0"/>
    </w:pPr>
    <w:rPr>
      <w:b w:val="0"/>
    </w:rPr>
  </w:style>
  <w:style w:type="paragraph" w:styleId="TOC3">
    <w:name w:val="toc 3"/>
    <w:basedOn w:val="TOC2"/>
    <w:autoRedefine/>
    <w:rsid w:val="001D7657"/>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61"/>
      </w:numPr>
    </w:pPr>
  </w:style>
  <w:style w:type="paragraph" w:customStyle="1" w:styleId="Para2">
    <w:name w:val="Para 2"/>
    <w:basedOn w:val="BodyText"/>
    <w:qFormat/>
    <w:rsid w:val="001D7657"/>
  </w:style>
  <w:style w:type="paragraph" w:customStyle="1" w:styleId="Para3">
    <w:name w:val="Para 3"/>
    <w:basedOn w:val="Para2"/>
    <w:qFormat/>
    <w:rsid w:val="001D7657"/>
    <w:pPr>
      <w:numPr>
        <w:ilvl w:val="2"/>
        <w:numId w:val="61"/>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2"/>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B200F7"/>
    <w:rPr>
      <w:rFonts w:ascii="Calibri" w:hAnsi="Calibri"/>
      <w:b/>
      <w:sz w:val="28"/>
      <w:lang w:eastAsia="en-GB"/>
    </w:rPr>
  </w:style>
  <w:style w:type="character" w:customStyle="1" w:styleId="Heading2Char">
    <w:name w:val="Heading 2 Char"/>
    <w:basedOn w:val="DefaultParagraphFont"/>
    <w:link w:val="Heading2"/>
    <w:rsid w:val="00B200F7"/>
    <w:rPr>
      <w:rFonts w:ascii="Calibri" w:hAnsi="Calibri"/>
      <w:b/>
      <w:sz w:val="24"/>
      <w:lang w:eastAsia="en-GB"/>
    </w:rPr>
  </w:style>
  <w:style w:type="paragraph" w:customStyle="1" w:styleId="Bullet-RomanNumeral">
    <w:name w:val="Bullet - (Roman Numeral)"/>
    <w:basedOn w:val="ListNumber5"/>
    <w:rsid w:val="00B200F7"/>
    <w:pPr>
      <w:tabs>
        <w:tab w:val="clear" w:pos="360"/>
        <w:tab w:val="num" w:pos="2098"/>
      </w:tabs>
      <w:ind w:left="2098" w:hanging="397"/>
      <w:contextualSpacing w:val="0"/>
    </w:pPr>
  </w:style>
  <w:style w:type="paragraph" w:customStyle="1" w:styleId="ChapterHeading">
    <w:name w:val="Chapter Heading"/>
    <w:basedOn w:val="Normal"/>
    <w:rsid w:val="00B200F7"/>
    <w:pPr>
      <w:numPr>
        <w:numId w:val="14"/>
      </w:numPr>
      <w:spacing w:before="240" w:after="240"/>
    </w:pPr>
    <w:rPr>
      <w:b/>
      <w:caps/>
      <w:sz w:val="28"/>
      <w:szCs w:val="28"/>
    </w:rPr>
  </w:style>
  <w:style w:type="paragraph" w:customStyle="1" w:styleId="Bullet-Letter">
    <w:name w:val="Bullet - (Letter)"/>
    <w:rsid w:val="00B200F7"/>
    <w:pPr>
      <w:tabs>
        <w:tab w:val="num" w:pos="1701"/>
      </w:tabs>
      <w:ind w:left="1701" w:hanging="567"/>
    </w:pPr>
    <w:rPr>
      <w:sz w:val="24"/>
      <w:szCs w:val="24"/>
      <w:lang w:val="en-US" w:eastAsia="en-US"/>
    </w:rPr>
  </w:style>
  <w:style w:type="paragraph" w:customStyle="1" w:styleId="AppendixHeading">
    <w:name w:val="Appendix Heading"/>
    <w:rsid w:val="00B200F7"/>
    <w:pPr>
      <w:tabs>
        <w:tab w:val="num" w:pos="851"/>
      </w:tabs>
      <w:spacing w:before="120" w:after="120"/>
      <w:ind w:left="851" w:hanging="851"/>
    </w:pPr>
    <w:rPr>
      <w:b/>
      <w:caps/>
      <w:sz w:val="28"/>
      <w:szCs w:val="28"/>
      <w:lang w:val="en-US" w:eastAsia="en-US"/>
    </w:rPr>
  </w:style>
  <w:style w:type="paragraph" w:customStyle="1" w:styleId="TableHeading0">
    <w:name w:val="Table Heading"/>
    <w:basedOn w:val="Normal"/>
    <w:rsid w:val="00B200F7"/>
    <w:pPr>
      <w:tabs>
        <w:tab w:val="num" w:pos="360"/>
      </w:tabs>
      <w:spacing w:before="120" w:after="120"/>
      <w:ind w:left="360" w:hanging="360"/>
      <w:jc w:val="center"/>
    </w:pPr>
    <w:rPr>
      <w:b/>
      <w:sz w:val="20"/>
    </w:rPr>
  </w:style>
  <w:style w:type="paragraph" w:customStyle="1" w:styleId="AppendixNumberedParagraphs">
    <w:name w:val="Appendix Numbered Paragraphs"/>
    <w:rsid w:val="00B200F7"/>
    <w:pPr>
      <w:tabs>
        <w:tab w:val="num" w:pos="851"/>
      </w:tabs>
      <w:spacing w:before="120" w:after="120"/>
      <w:ind w:left="851" w:hanging="851"/>
    </w:pPr>
    <w:rPr>
      <w:sz w:val="24"/>
      <w:lang w:eastAsia="en-US"/>
    </w:rPr>
  </w:style>
  <w:style w:type="paragraph" w:customStyle="1" w:styleId="NumberedParagraphsChapterandNumber">
    <w:name w:val="Numbered Paragraphs (Chapter and Number)"/>
    <w:rsid w:val="00B200F7"/>
    <w:pPr>
      <w:tabs>
        <w:tab w:val="num" w:pos="851"/>
      </w:tabs>
      <w:spacing w:before="120" w:after="120"/>
      <w:ind w:left="851" w:hanging="851"/>
    </w:pPr>
    <w:rPr>
      <w:sz w:val="24"/>
      <w:lang w:eastAsia="en-US"/>
    </w:rPr>
  </w:style>
  <w:style w:type="paragraph" w:customStyle="1" w:styleId="Numberlist">
    <w:name w:val="Number list"/>
    <w:basedOn w:val="Normal"/>
    <w:rsid w:val="00B200F7"/>
    <w:pPr>
      <w:numPr>
        <w:ilvl w:val="1"/>
        <w:numId w:val="14"/>
      </w:numPr>
      <w:spacing w:before="120" w:after="120"/>
    </w:pPr>
  </w:style>
  <w:style w:type="paragraph" w:customStyle="1" w:styleId="number2">
    <w:name w:val="number 2"/>
    <w:basedOn w:val="Numberlist"/>
    <w:rsid w:val="00B200F7"/>
    <w:pPr>
      <w:numPr>
        <w:ilvl w:val="2"/>
      </w:numPr>
      <w:spacing w:before="0"/>
      <w:jc w:val="both"/>
    </w:pPr>
    <w:rPr>
      <w:rFonts w:ascii="Times" w:hAnsi="Times"/>
      <w:lang w:eastAsia="en-GB"/>
    </w:rPr>
  </w:style>
  <w:style w:type="paragraph" w:customStyle="1" w:styleId="number3">
    <w:name w:val="number 3"/>
    <w:basedOn w:val="number2"/>
    <w:rsid w:val="00B200F7"/>
    <w:pPr>
      <w:numPr>
        <w:ilvl w:val="3"/>
      </w:numPr>
    </w:pPr>
  </w:style>
  <w:style w:type="paragraph" w:styleId="ListNumber5">
    <w:name w:val="List Number 5"/>
    <w:basedOn w:val="Normal"/>
    <w:semiHidden/>
    <w:rsid w:val="00B200F7"/>
    <w:pPr>
      <w:tabs>
        <w:tab w:val="num" w:pos="360"/>
      </w:tabs>
      <w:ind w:left="360" w:hanging="360"/>
      <w:contextualSpacing/>
    </w:pPr>
  </w:style>
  <w:style w:type="paragraph" w:styleId="ListParagraph">
    <w:name w:val="List Paragraph"/>
    <w:basedOn w:val="Normal"/>
    <w:uiPriority w:val="34"/>
    <w:qFormat/>
    <w:rsid w:val="004A44CB"/>
    <w:pPr>
      <w:ind w:left="720"/>
      <w:contextualSpacing/>
    </w:pPr>
  </w:style>
  <w:style w:type="paragraph" w:customStyle="1" w:styleId="zContents">
    <w:name w:val="z_Contents"/>
    <w:basedOn w:val="BodyText"/>
    <w:rsid w:val="00C80BBC"/>
    <w:pPr>
      <w:keepNext/>
      <w:spacing w:line="240" w:lineRule="auto"/>
    </w:pPr>
    <w:rPr>
      <w:rFonts w:ascii="Calibri" w:hAnsi="Calibri"/>
      <w:b/>
      <w:caps/>
      <w:sz w:val="28"/>
    </w:rPr>
  </w:style>
  <w:style w:type="paragraph" w:customStyle="1" w:styleId="EquationsL2">
    <w:name w:val="Equations L2"/>
    <w:basedOn w:val="Normal"/>
    <w:qFormat/>
    <w:rsid w:val="003C2ACB"/>
    <w:pPr>
      <w:tabs>
        <w:tab w:val="left" w:pos="1446"/>
        <w:tab w:val="left" w:pos="1701"/>
      </w:tabs>
      <w:spacing w:after="120"/>
      <w:ind w:left="1701" w:hanging="567"/>
    </w:pPr>
  </w:style>
  <w:style w:type="character" w:styleId="CommentReference">
    <w:name w:val="annotation reference"/>
    <w:basedOn w:val="DefaultParagraphFont"/>
    <w:rsid w:val="003C2ACB"/>
    <w:rPr>
      <w:sz w:val="16"/>
      <w:szCs w:val="16"/>
    </w:rPr>
  </w:style>
  <w:style w:type="paragraph" w:styleId="CommentText">
    <w:name w:val="annotation text"/>
    <w:basedOn w:val="Normal"/>
    <w:link w:val="CommentTextChar"/>
    <w:rsid w:val="003C2ACB"/>
    <w:rPr>
      <w:rFonts w:ascii="Calibri" w:hAnsi="Calibri"/>
      <w:sz w:val="20"/>
      <w:szCs w:val="20"/>
      <w:lang w:eastAsia="en-GB"/>
    </w:rPr>
  </w:style>
  <w:style w:type="character" w:customStyle="1" w:styleId="CommentTextChar">
    <w:name w:val="Comment Text Char"/>
    <w:basedOn w:val="DefaultParagraphFont"/>
    <w:link w:val="CommentText"/>
    <w:rsid w:val="003C2ACB"/>
    <w:rPr>
      <w:rFonts w:ascii="Calibri" w:hAnsi="Calibri"/>
      <w:lang w:eastAsia="en-GB"/>
    </w:rPr>
  </w:style>
  <w:style w:type="paragraph" w:customStyle="1" w:styleId="UnnumberedL3">
    <w:name w:val="Unnumbered L3"/>
    <w:basedOn w:val="Normal"/>
    <w:qFormat/>
    <w:rsid w:val="00527899"/>
    <w:pPr>
      <w:keepNext/>
      <w:keepLines/>
      <w:spacing w:after="120"/>
      <w:ind w:left="1701"/>
    </w:pPr>
  </w:style>
  <w:style w:type="paragraph" w:customStyle="1" w:styleId="SchHead1SCHEDULE">
    <w:name w:val="Sch.Head.1: SCHEDULE"/>
    <w:basedOn w:val="Normal"/>
    <w:next w:val="SchHead2Division"/>
    <w:rsid w:val="00C901EB"/>
    <w:pPr>
      <w:keepNext/>
      <w:pageBreakBefore/>
      <w:numPr>
        <w:numId w:val="56"/>
      </w:numPr>
      <w:spacing w:after="360"/>
      <w:jc w:val="center"/>
      <w:outlineLvl w:val="0"/>
    </w:pPr>
    <w:rPr>
      <w:b/>
      <w:caps/>
      <w:sz w:val="32"/>
    </w:rPr>
  </w:style>
  <w:style w:type="paragraph" w:customStyle="1" w:styleId="SchHead2Division">
    <w:name w:val="Sch.Head.2: Division"/>
    <w:basedOn w:val="Normal"/>
    <w:rsid w:val="00C901EB"/>
    <w:pPr>
      <w:keepNext/>
      <w:keepLines/>
      <w:numPr>
        <w:ilvl w:val="1"/>
        <w:numId w:val="56"/>
      </w:numPr>
      <w:spacing w:before="240" w:after="360"/>
      <w:jc w:val="center"/>
      <w:outlineLvl w:val="1"/>
    </w:pPr>
    <w:rPr>
      <w:b/>
      <w:caps/>
      <w:sz w:val="28"/>
    </w:rPr>
  </w:style>
  <w:style w:type="paragraph" w:customStyle="1" w:styleId="SchHead3Sub-Divisiontitle">
    <w:name w:val="Sch.Head.3: Sub-Division title"/>
    <w:basedOn w:val="Normal"/>
    <w:rsid w:val="00C901EB"/>
    <w:pPr>
      <w:keepNext/>
      <w:keepLines/>
      <w:numPr>
        <w:ilvl w:val="2"/>
        <w:numId w:val="56"/>
      </w:numPr>
      <w:spacing w:before="360" w:after="240"/>
      <w:outlineLvl w:val="2"/>
    </w:pPr>
    <w:rPr>
      <w:b/>
      <w:sz w:val="28"/>
    </w:rPr>
  </w:style>
  <w:style w:type="paragraph" w:customStyle="1" w:styleId="SchHead4Clause">
    <w:name w:val="Sch.Head.4: Clause"/>
    <w:basedOn w:val="Normal"/>
    <w:next w:val="ClauseTextnumberedLvl1"/>
    <w:rsid w:val="00C901EB"/>
    <w:pPr>
      <w:numPr>
        <w:ilvl w:val="3"/>
        <w:numId w:val="56"/>
      </w:numPr>
      <w:spacing w:before="120" w:after="240"/>
      <w:outlineLvl w:val="3"/>
    </w:pPr>
    <w:rPr>
      <w:b/>
    </w:rPr>
  </w:style>
  <w:style w:type="paragraph" w:customStyle="1" w:styleId="ClauseTextnumberedLvl1">
    <w:name w:val="Clause Text numbered Lvl 1"/>
    <w:basedOn w:val="Normal"/>
    <w:rsid w:val="00C901EB"/>
    <w:pPr>
      <w:spacing w:after="120"/>
      <w:outlineLvl w:val="4"/>
    </w:pPr>
    <w:rPr>
      <w:b/>
    </w:rPr>
  </w:style>
  <w:style w:type="paragraph" w:customStyle="1" w:styleId="SchHead7ClausesubttextL3">
    <w:name w:val="Sch.Head.7: Clause subttext L3"/>
    <w:basedOn w:val="Normal"/>
    <w:rsid w:val="00C901EB"/>
    <w:pPr>
      <w:numPr>
        <w:ilvl w:val="6"/>
        <w:numId w:val="56"/>
      </w:numPr>
      <w:spacing w:after="120"/>
      <w:outlineLvl w:val="6"/>
    </w:pPr>
    <w:rPr>
      <w:b/>
    </w:rPr>
  </w:style>
  <w:style w:type="paragraph" w:customStyle="1" w:styleId="SchHeadFigures">
    <w:name w:val="Sch.Head: Figures"/>
    <w:basedOn w:val="Normal"/>
    <w:rsid w:val="00C901EB"/>
    <w:pPr>
      <w:numPr>
        <w:ilvl w:val="7"/>
        <w:numId w:val="56"/>
      </w:numPr>
      <w:spacing w:after="120"/>
      <w:outlineLvl w:val="7"/>
    </w:pPr>
    <w:rPr>
      <w:b/>
    </w:rPr>
  </w:style>
  <w:style w:type="paragraph" w:customStyle="1" w:styleId="SchHeadTables">
    <w:name w:val="Sch.Head: Tables"/>
    <w:basedOn w:val="Normal"/>
    <w:next w:val="Normal"/>
    <w:rsid w:val="00C901EB"/>
    <w:pPr>
      <w:numPr>
        <w:ilvl w:val="8"/>
        <w:numId w:val="56"/>
      </w:numPr>
      <w:spacing w:after="120"/>
      <w:outlineLvl w:val="8"/>
    </w:pPr>
    <w:rPr>
      <w:b/>
    </w:rPr>
  </w:style>
  <w:style w:type="paragraph" w:customStyle="1" w:styleId="SchHead6ClausesubtextL2">
    <w:name w:val="Sch.Head.6: Clause subtext L2"/>
    <w:basedOn w:val="Normal"/>
    <w:rsid w:val="00C901EB"/>
    <w:pPr>
      <w:spacing w:after="120"/>
      <w:outlineLvl w:val="5"/>
    </w:pPr>
    <w:rPr>
      <w:b/>
    </w:rPr>
  </w:style>
  <w:style w:type="paragraph" w:styleId="Caption">
    <w:name w:val="caption"/>
    <w:basedOn w:val="Normal"/>
    <w:next w:val="Normal"/>
    <w:uiPriority w:val="35"/>
    <w:unhideWhenUsed/>
    <w:qFormat/>
    <w:rsid w:val="00C901EB"/>
    <w:rPr>
      <w:b/>
      <w:bCs/>
      <w:sz w:val="20"/>
      <w:szCs w:val="20"/>
      <w:lang w:eastAsia="en-GB"/>
    </w:rPr>
  </w:style>
  <w:style w:type="paragraph" w:customStyle="1" w:styleId="HeadingH4Clausetext">
    <w:name w:val="Heading H4: Clause text"/>
    <w:basedOn w:val="Normal"/>
    <w:link w:val="HeadingH4ClausetextChar"/>
    <w:qFormat/>
    <w:rsid w:val="00372238"/>
    <w:pPr>
      <w:keepNext/>
      <w:numPr>
        <w:ilvl w:val="2"/>
        <w:numId w:val="59"/>
      </w:numPr>
      <w:spacing w:after="240" w:line="264" w:lineRule="auto"/>
      <w:ind w:left="709"/>
      <w:outlineLvl w:val="3"/>
    </w:pPr>
  </w:style>
  <w:style w:type="paragraph" w:customStyle="1" w:styleId="HeadingH5ClausesubtextL1">
    <w:name w:val="Heading H5: Clause subtext L1"/>
    <w:basedOn w:val="Normal"/>
    <w:qFormat/>
    <w:rsid w:val="00B56806"/>
    <w:pPr>
      <w:numPr>
        <w:ilvl w:val="3"/>
        <w:numId w:val="59"/>
      </w:numPr>
      <w:spacing w:after="240" w:line="264" w:lineRule="auto"/>
      <w:outlineLvl w:val="4"/>
    </w:pPr>
  </w:style>
  <w:style w:type="paragraph" w:customStyle="1" w:styleId="HeadingH7ClausesubtextL3">
    <w:name w:val="Heading H7: Clause subtext L3"/>
    <w:basedOn w:val="Normal"/>
    <w:qFormat/>
    <w:rsid w:val="00817B2E"/>
    <w:pPr>
      <w:numPr>
        <w:ilvl w:val="5"/>
        <w:numId w:val="59"/>
      </w:numPr>
      <w:spacing w:after="240" w:line="264" w:lineRule="auto"/>
      <w:outlineLvl w:val="6"/>
    </w:pPr>
  </w:style>
  <w:style w:type="character" w:customStyle="1" w:styleId="HeadingH4ClausetextChar">
    <w:name w:val="Heading H4: Clause text Char"/>
    <w:basedOn w:val="DefaultParagraphFont"/>
    <w:link w:val="HeadingH4Clausetext"/>
    <w:rsid w:val="00372238"/>
    <w:rPr>
      <w:rFonts w:asciiTheme="minorHAnsi" w:hAnsiTheme="minorHAnsi"/>
      <w:sz w:val="24"/>
      <w:szCs w:val="24"/>
      <w:lang w:eastAsia="en-US"/>
    </w:rPr>
  </w:style>
  <w:style w:type="paragraph" w:customStyle="1" w:styleId="HeadingH6ClausesubtextL2">
    <w:name w:val="Heading H6: Clause subtext L2"/>
    <w:basedOn w:val="Normal"/>
    <w:link w:val="HeadingH6ClausesubtextL2Char"/>
    <w:qFormat/>
    <w:rsid w:val="00B56806"/>
    <w:pPr>
      <w:numPr>
        <w:ilvl w:val="4"/>
        <w:numId w:val="59"/>
      </w:numPr>
      <w:spacing w:after="240" w:line="264" w:lineRule="auto"/>
      <w:ind w:left="2127" w:hanging="709"/>
      <w:outlineLvl w:val="5"/>
    </w:pPr>
  </w:style>
  <w:style w:type="paragraph" w:styleId="CommentSubject">
    <w:name w:val="annotation subject"/>
    <w:basedOn w:val="CommentText"/>
    <w:next w:val="CommentText"/>
    <w:link w:val="CommentSubjectChar"/>
    <w:semiHidden/>
    <w:rsid w:val="00A02F5E"/>
    <w:rPr>
      <w:rFonts w:ascii="Times New Roman" w:hAnsi="Times New Roman"/>
      <w:b/>
      <w:bCs/>
      <w:lang w:eastAsia="en-US"/>
    </w:rPr>
  </w:style>
  <w:style w:type="character" w:customStyle="1" w:styleId="CommentSubjectChar">
    <w:name w:val="Comment Subject Char"/>
    <w:basedOn w:val="CommentTextChar"/>
    <w:link w:val="CommentSubject"/>
    <w:semiHidden/>
    <w:rsid w:val="00A02F5E"/>
    <w:rPr>
      <w:b/>
      <w:bCs/>
      <w:lang w:eastAsia="en-US"/>
    </w:rPr>
  </w:style>
  <w:style w:type="paragraph" w:customStyle="1" w:styleId="Subsection">
    <w:name w:val="Sub section"/>
    <w:basedOn w:val="Normal"/>
    <w:rsid w:val="00671493"/>
    <w:pPr>
      <w:autoSpaceDE w:val="0"/>
      <w:autoSpaceDN w:val="0"/>
    </w:pPr>
    <w:rPr>
      <w:rFonts w:eastAsiaTheme="minorHAnsi"/>
      <w:lang w:eastAsia="en-NZ"/>
    </w:rPr>
  </w:style>
  <w:style w:type="paragraph" w:customStyle="1" w:styleId="HeadingH2">
    <w:name w:val="Heading H2"/>
    <w:basedOn w:val="Normal"/>
    <w:qFormat/>
    <w:rsid w:val="00060556"/>
    <w:pPr>
      <w:numPr>
        <w:numId w:val="59"/>
      </w:numPr>
      <w:spacing w:before="360" w:after="120"/>
      <w:jc w:val="center"/>
    </w:pPr>
    <w:rPr>
      <w:rFonts w:eastAsiaTheme="minorHAnsi"/>
      <w:b/>
      <w:bCs/>
      <w:caps/>
      <w:sz w:val="28"/>
      <w:szCs w:val="28"/>
      <w:lang w:eastAsia="en-NZ"/>
    </w:rPr>
  </w:style>
  <w:style w:type="paragraph" w:customStyle="1" w:styleId="HeadingH1">
    <w:name w:val="Heading H1"/>
    <w:basedOn w:val="Normal"/>
    <w:rsid w:val="00671493"/>
    <w:pPr>
      <w:pageBreakBefore/>
      <w:numPr>
        <w:numId w:val="25"/>
      </w:numPr>
      <w:spacing w:after="360"/>
      <w:jc w:val="center"/>
    </w:pPr>
    <w:rPr>
      <w:rFonts w:eastAsiaTheme="minorHAnsi"/>
      <w:b/>
      <w:bCs/>
      <w:caps/>
      <w:sz w:val="32"/>
      <w:szCs w:val="32"/>
      <w:lang w:eastAsia="en-NZ"/>
    </w:rPr>
  </w:style>
  <w:style w:type="paragraph" w:customStyle="1" w:styleId="HeadingH3SectionHeading">
    <w:name w:val="Heading H3: Section Heading"/>
    <w:basedOn w:val="Normal"/>
    <w:qFormat/>
    <w:rsid w:val="00B56806"/>
    <w:pPr>
      <w:numPr>
        <w:ilvl w:val="1"/>
        <w:numId w:val="59"/>
      </w:numPr>
      <w:spacing w:after="240" w:line="264" w:lineRule="auto"/>
    </w:pPr>
    <w:rPr>
      <w:rFonts w:eastAsiaTheme="minorHAnsi"/>
      <w:b/>
      <w:bCs/>
      <w:caps/>
      <w:lang w:eastAsia="en-NZ"/>
    </w:rPr>
  </w:style>
  <w:style w:type="character" w:customStyle="1" w:styleId="HeadingH6ClausesubtextL2Char">
    <w:name w:val="Heading H6: Clause subtext L2 Char"/>
    <w:basedOn w:val="DefaultParagraphFont"/>
    <w:link w:val="HeadingH6ClausesubtextL2"/>
    <w:locked/>
    <w:rsid w:val="00B56806"/>
    <w:rPr>
      <w:rFonts w:asciiTheme="minorHAnsi" w:hAnsiTheme="minorHAnsi"/>
      <w:sz w:val="24"/>
      <w:szCs w:val="24"/>
      <w:lang w:eastAsia="en-US"/>
    </w:rPr>
  </w:style>
  <w:style w:type="character" w:customStyle="1" w:styleId="Emphasis-Bold">
    <w:name w:val="Emphasis - Bold"/>
    <w:basedOn w:val="DefaultParagraphFont"/>
    <w:qFormat/>
    <w:rsid w:val="0084688E"/>
    <w:rPr>
      <w:b/>
      <w:bCs/>
      <w:lang w:val="en-NZ"/>
    </w:rPr>
  </w:style>
  <w:style w:type="paragraph" w:customStyle="1" w:styleId="Subsubparagraph">
    <w:name w:val="Sub sub paragraph"/>
    <w:rsid w:val="00F710CF"/>
    <w:pPr>
      <w:widowControl w:val="0"/>
      <w:autoSpaceDE w:val="0"/>
      <w:autoSpaceDN w:val="0"/>
      <w:adjustRightInd w:val="0"/>
    </w:pPr>
    <w:rPr>
      <w:rFonts w:eastAsia="Batang"/>
      <w:sz w:val="24"/>
      <w:szCs w:val="24"/>
      <w:lang w:val="en-US" w:eastAsia="ko-KR"/>
    </w:rPr>
  </w:style>
  <w:style w:type="paragraph" w:customStyle="1" w:styleId="Subtitle0">
    <w:name w:val="Sub title0"/>
    <w:rsid w:val="00F710CF"/>
    <w:pPr>
      <w:widowControl w:val="0"/>
      <w:autoSpaceDE w:val="0"/>
      <w:autoSpaceDN w:val="0"/>
      <w:adjustRightInd w:val="0"/>
      <w:spacing w:before="360" w:after="360"/>
      <w:jc w:val="center"/>
    </w:pPr>
    <w:rPr>
      <w:rFonts w:eastAsia="Batang"/>
      <w:sz w:val="24"/>
      <w:szCs w:val="24"/>
      <w:lang w:val="en-US" w:eastAsia="ko-KR"/>
    </w:rPr>
  </w:style>
  <w:style w:type="paragraph" w:customStyle="1" w:styleId="Default">
    <w:name w:val="Default"/>
    <w:rsid w:val="00F710CF"/>
    <w:pPr>
      <w:autoSpaceDE w:val="0"/>
      <w:autoSpaceDN w:val="0"/>
      <w:adjustRightInd w:val="0"/>
    </w:pPr>
    <w:rPr>
      <w:color w:val="000000"/>
      <w:sz w:val="24"/>
      <w:szCs w:val="24"/>
    </w:rPr>
  </w:style>
  <w:style w:type="paragraph" w:customStyle="1" w:styleId="Clausetextunnumbered">
    <w:name w:val="Clause text unnumbered"/>
    <w:basedOn w:val="Normal"/>
    <w:link w:val="ClausetextunnumberedChar"/>
    <w:autoRedefine/>
    <w:qFormat/>
    <w:rsid w:val="00241494"/>
    <w:pPr>
      <w:spacing w:after="120"/>
    </w:pPr>
    <w:rPr>
      <w:sz w:val="20"/>
      <w:szCs w:val="20"/>
    </w:rPr>
  </w:style>
  <w:style w:type="character" w:customStyle="1" w:styleId="ClausetextunnumberedChar">
    <w:name w:val="Clause text unnumbered Char"/>
    <w:basedOn w:val="DefaultParagraphFont"/>
    <w:link w:val="Clausetextunnumbered"/>
    <w:rsid w:val="00241494"/>
    <w:rPr>
      <w:rFonts w:asciiTheme="minorHAnsi" w:hAnsiTheme="minorHAnsi"/>
      <w:lang w:eastAsia="en-US"/>
    </w:rPr>
  </w:style>
  <w:style w:type="paragraph" w:customStyle="1" w:styleId="UnnumberedL2">
    <w:name w:val="Unnumbered L2"/>
    <w:basedOn w:val="Normal"/>
    <w:rsid w:val="00F43885"/>
    <w:pPr>
      <w:spacing w:after="120"/>
      <w:ind w:left="1134"/>
    </w:pPr>
    <w:rPr>
      <w:rFonts w:ascii="Calibri" w:hAnsi="Calibri"/>
    </w:rPr>
  </w:style>
  <w:style w:type="character" w:customStyle="1" w:styleId="GDB">
    <w:name w:val="GDB"/>
    <w:basedOn w:val="DefaultParagraphFont"/>
    <w:rsid w:val="00F43885"/>
    <w:rPr>
      <w:rFonts w:ascii="Calibri" w:hAnsi="Calibri"/>
      <w:bdr w:val="none" w:sz="0" w:space="0" w:color="auto"/>
      <w:shd w:val="clear" w:color="auto" w:fill="C2D69B" w:themeFill="accent3" w:themeFillTint="99"/>
      <w:lang w:val="en-NZ"/>
    </w:rPr>
  </w:style>
  <w:style w:type="character" w:customStyle="1" w:styleId="GTB">
    <w:name w:val="GTB"/>
    <w:basedOn w:val="DefaultParagraphFont"/>
    <w:rsid w:val="00F43885"/>
    <w:rPr>
      <w:rFonts w:ascii="Calibri" w:hAnsi="Calibri"/>
      <w:bdr w:val="none" w:sz="0" w:space="0" w:color="auto"/>
      <w:shd w:val="clear" w:color="auto" w:fill="C6D9F1" w:themeFill="text2" w:themeFillTint="33"/>
      <w:lang w:val="en-NZ"/>
    </w:rPr>
  </w:style>
  <w:style w:type="character" w:customStyle="1" w:styleId="EDB">
    <w:name w:val="EDB"/>
    <w:basedOn w:val="DefaultParagraphFont"/>
    <w:rsid w:val="00A47D39"/>
    <w:rPr>
      <w:rFonts w:ascii="Calibri" w:hAnsi="Calibri"/>
      <w:bdr w:val="none" w:sz="0" w:space="0" w:color="auto"/>
      <w:shd w:val="clear" w:color="auto" w:fill="F2DBDB" w:themeFill="accent2" w:themeFillTint="33"/>
      <w:lang w:val="en-NZ"/>
    </w:rPr>
  </w:style>
  <w:style w:type="paragraph" w:customStyle="1" w:styleId="HeadingFigureHeading">
    <w:name w:val="Heading: Figure Heading"/>
    <w:basedOn w:val="Normal"/>
    <w:next w:val="HeadingH7ClausesubtextL3"/>
    <w:rsid w:val="00401271"/>
    <w:pPr>
      <w:tabs>
        <w:tab w:val="num" w:pos="1418"/>
      </w:tabs>
      <w:spacing w:after="120"/>
      <w:ind w:left="1418" w:hanging="1418"/>
      <w:outlineLvl w:val="7"/>
    </w:pPr>
    <w:rPr>
      <w:rFonts w:ascii="Calibri" w:hAnsi="Calibri"/>
      <w:b/>
    </w:rPr>
  </w:style>
  <w:style w:type="numbering" w:styleId="111111">
    <w:name w:val="Outline List 2"/>
    <w:basedOn w:val="NoList"/>
    <w:rsid w:val="00317651"/>
    <w:pPr>
      <w:numPr>
        <w:numId w:val="30"/>
      </w:numPr>
    </w:pPr>
  </w:style>
  <w:style w:type="paragraph" w:customStyle="1" w:styleId="UnnumberedL1">
    <w:name w:val="Unnumbered L1"/>
    <w:basedOn w:val="Normal"/>
    <w:rsid w:val="008837D4"/>
    <w:pPr>
      <w:spacing w:after="120"/>
      <w:ind w:left="652"/>
    </w:pPr>
    <w:rPr>
      <w:rFonts w:ascii="Calibri" w:hAnsi="Calibri"/>
    </w:rPr>
  </w:style>
  <w:style w:type="paragraph" w:customStyle="1" w:styleId="HeadingH6ClausesubtextL21">
    <w:name w:val="Heading H6: Clause subtext L21"/>
    <w:basedOn w:val="Normal"/>
    <w:next w:val="HeadingH6ClausesubtextL2"/>
    <w:rsid w:val="008837D4"/>
    <w:pPr>
      <w:tabs>
        <w:tab w:val="num" w:pos="1701"/>
      </w:tabs>
      <w:spacing w:after="120"/>
      <w:ind w:left="1701" w:hanging="567"/>
      <w:contextualSpacing/>
      <w:outlineLvl w:val="5"/>
    </w:pPr>
    <w:rPr>
      <w:rFonts w:ascii="Calibri" w:hAnsi="Calibri"/>
    </w:rPr>
  </w:style>
  <w:style w:type="character" w:customStyle="1" w:styleId="Emphasis-Italics">
    <w:name w:val="Emphasis - Italics"/>
    <w:rsid w:val="003A7552"/>
    <w:rPr>
      <w:i/>
      <w:lang w:val="en-NZ"/>
    </w:rPr>
  </w:style>
  <w:style w:type="paragraph" w:customStyle="1" w:styleId="UnnumberedL4">
    <w:name w:val="Unnumbered L4"/>
    <w:basedOn w:val="Normal"/>
    <w:rsid w:val="003A7552"/>
    <w:pPr>
      <w:spacing w:after="120"/>
      <w:ind w:left="2268"/>
    </w:pPr>
    <w:rPr>
      <w:rFonts w:ascii="Calibri" w:hAnsi="Calibri"/>
    </w:rPr>
  </w:style>
  <w:style w:type="paragraph" w:customStyle="1" w:styleId="Clausetextnumberedlvl3">
    <w:name w:val="Clause text numbered lvl 3"/>
    <w:basedOn w:val="HeadingH7ClausesubtextL3"/>
    <w:autoRedefine/>
    <w:rsid w:val="003A7552"/>
    <w:pPr>
      <w:tabs>
        <w:tab w:val="num" w:pos="2268"/>
      </w:tabs>
      <w:ind w:left="2268" w:hanging="567"/>
    </w:pPr>
    <w:rPr>
      <w:rFonts w:ascii="Calibri" w:hAnsi="Calibri"/>
    </w:rPr>
  </w:style>
  <w:style w:type="paragraph" w:customStyle="1" w:styleId="labelled">
    <w:name w:val="labelled"/>
    <w:basedOn w:val="Normal"/>
    <w:rsid w:val="00160316"/>
    <w:rPr>
      <w:lang w:eastAsia="en-NZ"/>
    </w:rPr>
  </w:style>
  <w:style w:type="character" w:customStyle="1" w:styleId="spc">
    <w:name w:val="spc"/>
    <w:basedOn w:val="DefaultParagraphFont"/>
    <w:rsid w:val="00160316"/>
    <w:rPr>
      <w:strike w:val="0"/>
      <w:dstrike w:val="0"/>
      <w:u w:val="none"/>
      <w:effect w:val="none"/>
    </w:rPr>
  </w:style>
  <w:style w:type="character" w:customStyle="1" w:styleId="label">
    <w:name w:val="label"/>
    <w:basedOn w:val="DefaultParagraphFont"/>
    <w:rsid w:val="00160316"/>
  </w:style>
  <w:style w:type="paragraph" w:customStyle="1" w:styleId="text">
    <w:name w:val="text"/>
    <w:basedOn w:val="Normal"/>
    <w:rsid w:val="00160316"/>
    <w:rPr>
      <w:lang w:eastAsia="en-NZ"/>
    </w:rPr>
  </w:style>
  <w:style w:type="paragraph" w:styleId="Revision">
    <w:name w:val="Revision"/>
    <w:hidden/>
    <w:uiPriority w:val="99"/>
    <w:semiHidden/>
    <w:rsid w:val="001C718D"/>
    <w:rPr>
      <w:sz w:val="24"/>
      <w:szCs w:val="24"/>
      <w:lang w:eastAsia="en-US"/>
    </w:rPr>
  </w:style>
  <w:style w:type="paragraph" w:customStyle="1" w:styleId="SchHead5ClausesubtextL1">
    <w:name w:val="Sch.Head.5: Clause subtext L1"/>
    <w:basedOn w:val="Normal"/>
    <w:rsid w:val="00A0028F"/>
    <w:pPr>
      <w:tabs>
        <w:tab w:val="num" w:pos="1134"/>
      </w:tabs>
      <w:spacing w:after="120"/>
      <w:ind w:left="1134" w:hanging="567"/>
      <w:outlineLvl w:val="4"/>
    </w:pPr>
    <w:rPr>
      <w:rFonts w:ascii="Calibri" w:hAnsi="Calibri"/>
    </w:rPr>
  </w:style>
  <w:style w:type="table" w:styleId="TableList1">
    <w:name w:val="Table List 1"/>
    <w:basedOn w:val="TableNormal"/>
    <w:rsid w:val="004E0D85"/>
    <w:rPr>
      <w:rFonts w:ascii="Calibri" w:hAnsi="Calibri"/>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AB4604"/>
    <w:rPr>
      <w:rFonts w:ascii="Calibri" w:hAnsi="Calibri"/>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3Char">
    <w:name w:val="Heading 3 Char"/>
    <w:basedOn w:val="DefaultParagraphFont"/>
    <w:link w:val="Heading3"/>
    <w:rsid w:val="00AB2FA8"/>
    <w:rPr>
      <w:rFonts w:asciiTheme="minorHAnsi" w:hAnsiTheme="minorHAnsi"/>
      <w:i/>
      <w:sz w:val="24"/>
      <w:szCs w:val="24"/>
      <w:lang w:eastAsia="en-US"/>
    </w:rPr>
  </w:style>
  <w:style w:type="paragraph" w:styleId="TOC4">
    <w:name w:val="toc 4"/>
    <w:basedOn w:val="Normal"/>
    <w:next w:val="Normal"/>
    <w:autoRedefine/>
    <w:uiPriority w:val="39"/>
    <w:unhideWhenUsed/>
    <w:rsid w:val="00B20719"/>
    <w:pPr>
      <w:spacing w:after="100" w:line="276" w:lineRule="auto"/>
      <w:ind w:left="660"/>
    </w:pPr>
    <w:rPr>
      <w:rFonts w:eastAsiaTheme="minorEastAsia" w:cstheme="minorBidi"/>
      <w:sz w:val="22"/>
      <w:szCs w:val="22"/>
      <w:lang w:eastAsia="en-NZ"/>
    </w:rPr>
  </w:style>
  <w:style w:type="paragraph" w:styleId="TOC5">
    <w:name w:val="toc 5"/>
    <w:basedOn w:val="Normal"/>
    <w:next w:val="Normal"/>
    <w:autoRedefine/>
    <w:uiPriority w:val="39"/>
    <w:unhideWhenUsed/>
    <w:rsid w:val="00B20719"/>
    <w:pPr>
      <w:spacing w:after="100" w:line="276" w:lineRule="auto"/>
      <w:ind w:left="880"/>
    </w:pPr>
    <w:rPr>
      <w:rFonts w:eastAsiaTheme="minorEastAsia" w:cstheme="minorBidi"/>
      <w:sz w:val="22"/>
      <w:szCs w:val="22"/>
      <w:lang w:eastAsia="en-NZ"/>
    </w:rPr>
  </w:style>
  <w:style w:type="paragraph" w:styleId="TOC6">
    <w:name w:val="toc 6"/>
    <w:basedOn w:val="Normal"/>
    <w:next w:val="Normal"/>
    <w:autoRedefine/>
    <w:uiPriority w:val="39"/>
    <w:unhideWhenUsed/>
    <w:rsid w:val="00B20719"/>
    <w:pPr>
      <w:spacing w:after="100" w:line="276" w:lineRule="auto"/>
      <w:ind w:left="1100"/>
    </w:pPr>
    <w:rPr>
      <w:rFonts w:eastAsiaTheme="minorEastAsia" w:cstheme="minorBidi"/>
      <w:sz w:val="22"/>
      <w:szCs w:val="22"/>
      <w:lang w:eastAsia="en-NZ"/>
    </w:rPr>
  </w:style>
  <w:style w:type="paragraph" w:styleId="TOC7">
    <w:name w:val="toc 7"/>
    <w:basedOn w:val="Normal"/>
    <w:next w:val="Normal"/>
    <w:autoRedefine/>
    <w:uiPriority w:val="39"/>
    <w:unhideWhenUsed/>
    <w:rsid w:val="00B20719"/>
    <w:pPr>
      <w:spacing w:after="100" w:line="276" w:lineRule="auto"/>
      <w:ind w:left="1320"/>
    </w:pPr>
    <w:rPr>
      <w:rFonts w:eastAsiaTheme="minorEastAsia" w:cstheme="minorBidi"/>
      <w:sz w:val="22"/>
      <w:szCs w:val="22"/>
      <w:lang w:eastAsia="en-NZ"/>
    </w:rPr>
  </w:style>
  <w:style w:type="paragraph" w:styleId="TOC8">
    <w:name w:val="toc 8"/>
    <w:basedOn w:val="Normal"/>
    <w:next w:val="Normal"/>
    <w:autoRedefine/>
    <w:uiPriority w:val="39"/>
    <w:unhideWhenUsed/>
    <w:rsid w:val="00B20719"/>
    <w:pPr>
      <w:spacing w:after="100" w:line="276" w:lineRule="auto"/>
      <w:ind w:left="1540"/>
    </w:pPr>
    <w:rPr>
      <w:rFonts w:eastAsiaTheme="minorEastAsia" w:cstheme="minorBidi"/>
      <w:sz w:val="22"/>
      <w:szCs w:val="22"/>
      <w:lang w:eastAsia="en-NZ"/>
    </w:rPr>
  </w:style>
  <w:style w:type="paragraph" w:styleId="TOC9">
    <w:name w:val="toc 9"/>
    <w:basedOn w:val="Normal"/>
    <w:next w:val="Normal"/>
    <w:autoRedefine/>
    <w:uiPriority w:val="39"/>
    <w:unhideWhenUsed/>
    <w:rsid w:val="00B20719"/>
    <w:pPr>
      <w:spacing w:after="100" w:line="276" w:lineRule="auto"/>
      <w:ind w:left="1760"/>
    </w:pPr>
    <w:rPr>
      <w:rFonts w:eastAsiaTheme="minorEastAsia" w:cstheme="minorBidi"/>
      <w:sz w:val="22"/>
      <w:szCs w:val="22"/>
      <w:lang w:eastAsia="en-NZ"/>
    </w:rPr>
  </w:style>
  <w:style w:type="character" w:customStyle="1" w:styleId="TableText-12point">
    <w:name w:val="Table Text - 12 point"/>
    <w:basedOn w:val="DefaultParagraphFont"/>
    <w:rsid w:val="00B47920"/>
  </w:style>
  <w:style w:type="character" w:customStyle="1" w:styleId="Emphasis-Remove">
    <w:name w:val="Emphasis - Remove"/>
    <w:rsid w:val="00A020D3"/>
    <w:rPr>
      <w:lang w:val="en-NZ"/>
    </w:rPr>
  </w:style>
</w:styles>
</file>

<file path=word/webSettings.xml><?xml version="1.0" encoding="utf-8"?>
<w:webSettings xmlns:r="http://schemas.openxmlformats.org/officeDocument/2006/relationships" xmlns:w="http://schemas.openxmlformats.org/wordprocessingml/2006/main">
  <w:divs>
    <w:div w:id="91047742">
      <w:bodyDiv w:val="1"/>
      <w:marLeft w:val="0"/>
      <w:marRight w:val="0"/>
      <w:marTop w:val="0"/>
      <w:marBottom w:val="0"/>
      <w:divBdr>
        <w:top w:val="none" w:sz="0" w:space="0" w:color="auto"/>
        <w:left w:val="none" w:sz="0" w:space="0" w:color="auto"/>
        <w:bottom w:val="none" w:sz="0" w:space="0" w:color="auto"/>
        <w:right w:val="none" w:sz="0" w:space="0" w:color="auto"/>
      </w:divBdr>
    </w:div>
    <w:div w:id="148517405">
      <w:bodyDiv w:val="1"/>
      <w:marLeft w:val="0"/>
      <w:marRight w:val="0"/>
      <w:marTop w:val="0"/>
      <w:marBottom w:val="0"/>
      <w:divBdr>
        <w:top w:val="none" w:sz="0" w:space="0" w:color="auto"/>
        <w:left w:val="none" w:sz="0" w:space="0" w:color="auto"/>
        <w:bottom w:val="none" w:sz="0" w:space="0" w:color="auto"/>
        <w:right w:val="none" w:sz="0" w:space="0" w:color="auto"/>
      </w:divBdr>
    </w:div>
    <w:div w:id="175312206">
      <w:bodyDiv w:val="1"/>
      <w:marLeft w:val="0"/>
      <w:marRight w:val="0"/>
      <w:marTop w:val="0"/>
      <w:marBottom w:val="0"/>
      <w:divBdr>
        <w:top w:val="none" w:sz="0" w:space="0" w:color="auto"/>
        <w:left w:val="none" w:sz="0" w:space="0" w:color="auto"/>
        <w:bottom w:val="none" w:sz="0" w:space="0" w:color="auto"/>
        <w:right w:val="none" w:sz="0" w:space="0" w:color="auto"/>
      </w:divBdr>
    </w:div>
    <w:div w:id="203060423">
      <w:bodyDiv w:val="1"/>
      <w:marLeft w:val="0"/>
      <w:marRight w:val="0"/>
      <w:marTop w:val="0"/>
      <w:marBottom w:val="0"/>
      <w:divBdr>
        <w:top w:val="none" w:sz="0" w:space="0" w:color="auto"/>
        <w:left w:val="none" w:sz="0" w:space="0" w:color="auto"/>
        <w:bottom w:val="none" w:sz="0" w:space="0" w:color="auto"/>
        <w:right w:val="none" w:sz="0" w:space="0" w:color="auto"/>
      </w:divBdr>
    </w:div>
    <w:div w:id="288096890">
      <w:bodyDiv w:val="1"/>
      <w:marLeft w:val="0"/>
      <w:marRight w:val="0"/>
      <w:marTop w:val="0"/>
      <w:marBottom w:val="0"/>
      <w:divBdr>
        <w:top w:val="none" w:sz="0" w:space="0" w:color="auto"/>
        <w:left w:val="none" w:sz="0" w:space="0" w:color="auto"/>
        <w:bottom w:val="none" w:sz="0" w:space="0" w:color="auto"/>
        <w:right w:val="none" w:sz="0" w:space="0" w:color="auto"/>
      </w:divBdr>
    </w:div>
    <w:div w:id="375466868">
      <w:bodyDiv w:val="1"/>
      <w:marLeft w:val="0"/>
      <w:marRight w:val="0"/>
      <w:marTop w:val="0"/>
      <w:marBottom w:val="0"/>
      <w:divBdr>
        <w:top w:val="none" w:sz="0" w:space="0" w:color="auto"/>
        <w:left w:val="none" w:sz="0" w:space="0" w:color="auto"/>
        <w:bottom w:val="none" w:sz="0" w:space="0" w:color="auto"/>
        <w:right w:val="none" w:sz="0" w:space="0" w:color="auto"/>
      </w:divBdr>
    </w:div>
    <w:div w:id="391778833">
      <w:bodyDiv w:val="1"/>
      <w:marLeft w:val="0"/>
      <w:marRight w:val="0"/>
      <w:marTop w:val="0"/>
      <w:marBottom w:val="0"/>
      <w:divBdr>
        <w:top w:val="none" w:sz="0" w:space="0" w:color="auto"/>
        <w:left w:val="none" w:sz="0" w:space="0" w:color="auto"/>
        <w:bottom w:val="none" w:sz="0" w:space="0" w:color="auto"/>
        <w:right w:val="none" w:sz="0" w:space="0" w:color="auto"/>
      </w:divBdr>
    </w:div>
    <w:div w:id="505023932">
      <w:bodyDiv w:val="1"/>
      <w:marLeft w:val="0"/>
      <w:marRight w:val="0"/>
      <w:marTop w:val="0"/>
      <w:marBottom w:val="0"/>
      <w:divBdr>
        <w:top w:val="none" w:sz="0" w:space="0" w:color="auto"/>
        <w:left w:val="none" w:sz="0" w:space="0" w:color="auto"/>
        <w:bottom w:val="none" w:sz="0" w:space="0" w:color="auto"/>
        <w:right w:val="none" w:sz="0" w:space="0" w:color="auto"/>
      </w:divBdr>
    </w:div>
    <w:div w:id="588268688">
      <w:bodyDiv w:val="1"/>
      <w:marLeft w:val="0"/>
      <w:marRight w:val="0"/>
      <w:marTop w:val="0"/>
      <w:marBottom w:val="0"/>
      <w:divBdr>
        <w:top w:val="none" w:sz="0" w:space="0" w:color="auto"/>
        <w:left w:val="none" w:sz="0" w:space="0" w:color="auto"/>
        <w:bottom w:val="none" w:sz="0" w:space="0" w:color="auto"/>
        <w:right w:val="none" w:sz="0" w:space="0" w:color="auto"/>
      </w:divBdr>
      <w:divsChild>
        <w:div w:id="1557157675">
          <w:marLeft w:val="0"/>
          <w:marRight w:val="0"/>
          <w:marTop w:val="0"/>
          <w:marBottom w:val="0"/>
          <w:divBdr>
            <w:top w:val="none" w:sz="0" w:space="0" w:color="auto"/>
            <w:left w:val="none" w:sz="0" w:space="0" w:color="auto"/>
            <w:bottom w:val="none" w:sz="0" w:space="0" w:color="auto"/>
            <w:right w:val="none" w:sz="0" w:space="0" w:color="auto"/>
          </w:divBdr>
          <w:divsChild>
            <w:div w:id="66147910">
              <w:marLeft w:val="0"/>
              <w:marRight w:val="0"/>
              <w:marTop w:val="0"/>
              <w:marBottom w:val="0"/>
              <w:divBdr>
                <w:top w:val="none" w:sz="0" w:space="0" w:color="auto"/>
                <w:left w:val="none" w:sz="0" w:space="0" w:color="auto"/>
                <w:bottom w:val="none" w:sz="0" w:space="0" w:color="auto"/>
                <w:right w:val="none" w:sz="0" w:space="0" w:color="auto"/>
              </w:divBdr>
              <w:divsChild>
                <w:div w:id="1187333115">
                  <w:marLeft w:val="0"/>
                  <w:marRight w:val="0"/>
                  <w:marTop w:val="0"/>
                  <w:marBottom w:val="0"/>
                  <w:divBdr>
                    <w:top w:val="none" w:sz="0" w:space="0" w:color="auto"/>
                    <w:left w:val="none" w:sz="0" w:space="0" w:color="auto"/>
                    <w:bottom w:val="none" w:sz="0" w:space="0" w:color="auto"/>
                    <w:right w:val="none" w:sz="0" w:space="0" w:color="auto"/>
                  </w:divBdr>
                  <w:divsChild>
                    <w:div w:id="935018432">
                      <w:marLeft w:val="0"/>
                      <w:marRight w:val="0"/>
                      <w:marTop w:val="0"/>
                      <w:marBottom w:val="0"/>
                      <w:divBdr>
                        <w:top w:val="none" w:sz="0" w:space="0" w:color="auto"/>
                        <w:left w:val="none" w:sz="0" w:space="0" w:color="auto"/>
                        <w:bottom w:val="none" w:sz="0" w:space="0" w:color="auto"/>
                        <w:right w:val="none" w:sz="0" w:space="0" w:color="auto"/>
                      </w:divBdr>
                      <w:divsChild>
                        <w:div w:id="1884907315">
                          <w:marLeft w:val="0"/>
                          <w:marRight w:val="0"/>
                          <w:marTop w:val="0"/>
                          <w:marBottom w:val="0"/>
                          <w:divBdr>
                            <w:top w:val="none" w:sz="0" w:space="0" w:color="auto"/>
                            <w:left w:val="none" w:sz="0" w:space="0" w:color="auto"/>
                            <w:bottom w:val="none" w:sz="0" w:space="0" w:color="auto"/>
                            <w:right w:val="none" w:sz="0" w:space="0" w:color="auto"/>
                          </w:divBdr>
                          <w:divsChild>
                            <w:div w:id="231693912">
                              <w:marLeft w:val="0"/>
                              <w:marRight w:val="0"/>
                              <w:marTop w:val="0"/>
                              <w:marBottom w:val="0"/>
                              <w:divBdr>
                                <w:top w:val="none" w:sz="0" w:space="0" w:color="auto"/>
                                <w:left w:val="none" w:sz="0" w:space="0" w:color="auto"/>
                                <w:bottom w:val="none" w:sz="0" w:space="0" w:color="auto"/>
                                <w:right w:val="none" w:sz="0" w:space="0" w:color="auto"/>
                              </w:divBdr>
                              <w:divsChild>
                                <w:div w:id="878973974">
                                  <w:marLeft w:val="0"/>
                                  <w:marRight w:val="0"/>
                                  <w:marTop w:val="0"/>
                                  <w:marBottom w:val="0"/>
                                  <w:divBdr>
                                    <w:top w:val="none" w:sz="0" w:space="0" w:color="auto"/>
                                    <w:left w:val="none" w:sz="0" w:space="0" w:color="auto"/>
                                    <w:bottom w:val="none" w:sz="0" w:space="0" w:color="auto"/>
                                    <w:right w:val="none" w:sz="0" w:space="0" w:color="auto"/>
                                  </w:divBdr>
                                  <w:divsChild>
                                    <w:div w:id="874853951">
                                      <w:marLeft w:val="0"/>
                                      <w:marRight w:val="0"/>
                                      <w:marTop w:val="0"/>
                                      <w:marBottom w:val="0"/>
                                      <w:divBdr>
                                        <w:top w:val="none" w:sz="0" w:space="0" w:color="auto"/>
                                        <w:left w:val="none" w:sz="0" w:space="0" w:color="auto"/>
                                        <w:bottom w:val="none" w:sz="0" w:space="0" w:color="auto"/>
                                        <w:right w:val="none" w:sz="0" w:space="0" w:color="auto"/>
                                      </w:divBdr>
                                    </w:div>
                                    <w:div w:id="1846092857">
                                      <w:marLeft w:val="0"/>
                                      <w:marRight w:val="0"/>
                                      <w:marTop w:val="0"/>
                                      <w:marBottom w:val="0"/>
                                      <w:divBdr>
                                        <w:top w:val="none" w:sz="0" w:space="0" w:color="auto"/>
                                        <w:left w:val="none" w:sz="0" w:space="0" w:color="auto"/>
                                        <w:bottom w:val="none" w:sz="0" w:space="0" w:color="auto"/>
                                        <w:right w:val="none" w:sz="0" w:space="0" w:color="auto"/>
                                      </w:divBdr>
                                      <w:divsChild>
                                        <w:div w:id="392705764">
                                          <w:marLeft w:val="0"/>
                                          <w:marRight w:val="0"/>
                                          <w:marTop w:val="0"/>
                                          <w:marBottom w:val="0"/>
                                          <w:divBdr>
                                            <w:top w:val="none" w:sz="0" w:space="0" w:color="auto"/>
                                            <w:left w:val="none" w:sz="0" w:space="0" w:color="auto"/>
                                            <w:bottom w:val="none" w:sz="0" w:space="0" w:color="auto"/>
                                            <w:right w:val="none" w:sz="0" w:space="0" w:color="auto"/>
                                          </w:divBdr>
                                          <w:divsChild>
                                            <w:div w:id="498078781">
                                              <w:marLeft w:val="0"/>
                                              <w:marRight w:val="0"/>
                                              <w:marTop w:val="0"/>
                                              <w:marBottom w:val="0"/>
                                              <w:divBdr>
                                                <w:top w:val="none" w:sz="0" w:space="0" w:color="auto"/>
                                                <w:left w:val="none" w:sz="0" w:space="0" w:color="auto"/>
                                                <w:bottom w:val="none" w:sz="0" w:space="0" w:color="auto"/>
                                                <w:right w:val="none" w:sz="0" w:space="0" w:color="auto"/>
                                              </w:divBdr>
                                              <w:divsChild>
                                                <w:div w:id="804154566">
                                                  <w:marLeft w:val="0"/>
                                                  <w:marRight w:val="0"/>
                                                  <w:marTop w:val="0"/>
                                                  <w:marBottom w:val="0"/>
                                                  <w:divBdr>
                                                    <w:top w:val="none" w:sz="0" w:space="0" w:color="auto"/>
                                                    <w:left w:val="none" w:sz="0" w:space="0" w:color="auto"/>
                                                    <w:bottom w:val="none" w:sz="0" w:space="0" w:color="auto"/>
                                                    <w:right w:val="none" w:sz="0" w:space="0" w:color="auto"/>
                                                  </w:divBdr>
                                                </w:div>
                                              </w:divsChild>
                                            </w:div>
                                            <w:div w:id="1537699768">
                                              <w:marLeft w:val="0"/>
                                              <w:marRight w:val="0"/>
                                              <w:marTop w:val="0"/>
                                              <w:marBottom w:val="0"/>
                                              <w:divBdr>
                                                <w:top w:val="none" w:sz="0" w:space="0" w:color="auto"/>
                                                <w:left w:val="none" w:sz="0" w:space="0" w:color="auto"/>
                                                <w:bottom w:val="none" w:sz="0" w:space="0" w:color="auto"/>
                                                <w:right w:val="none" w:sz="0" w:space="0" w:color="auto"/>
                                              </w:divBdr>
                                              <w:divsChild>
                                                <w:div w:id="19611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957575">
      <w:bodyDiv w:val="1"/>
      <w:marLeft w:val="0"/>
      <w:marRight w:val="0"/>
      <w:marTop w:val="0"/>
      <w:marBottom w:val="0"/>
      <w:divBdr>
        <w:top w:val="none" w:sz="0" w:space="0" w:color="auto"/>
        <w:left w:val="none" w:sz="0" w:space="0" w:color="auto"/>
        <w:bottom w:val="none" w:sz="0" w:space="0" w:color="auto"/>
        <w:right w:val="none" w:sz="0" w:space="0" w:color="auto"/>
      </w:divBdr>
    </w:div>
    <w:div w:id="743571910">
      <w:bodyDiv w:val="1"/>
      <w:marLeft w:val="0"/>
      <w:marRight w:val="0"/>
      <w:marTop w:val="0"/>
      <w:marBottom w:val="0"/>
      <w:divBdr>
        <w:top w:val="none" w:sz="0" w:space="0" w:color="auto"/>
        <w:left w:val="none" w:sz="0" w:space="0" w:color="auto"/>
        <w:bottom w:val="none" w:sz="0" w:space="0" w:color="auto"/>
        <w:right w:val="none" w:sz="0" w:space="0" w:color="auto"/>
      </w:divBdr>
    </w:div>
    <w:div w:id="765346896">
      <w:bodyDiv w:val="1"/>
      <w:marLeft w:val="0"/>
      <w:marRight w:val="0"/>
      <w:marTop w:val="0"/>
      <w:marBottom w:val="0"/>
      <w:divBdr>
        <w:top w:val="none" w:sz="0" w:space="0" w:color="auto"/>
        <w:left w:val="none" w:sz="0" w:space="0" w:color="auto"/>
        <w:bottom w:val="none" w:sz="0" w:space="0" w:color="auto"/>
        <w:right w:val="none" w:sz="0" w:space="0" w:color="auto"/>
      </w:divBdr>
    </w:div>
    <w:div w:id="800852352">
      <w:bodyDiv w:val="1"/>
      <w:marLeft w:val="0"/>
      <w:marRight w:val="0"/>
      <w:marTop w:val="0"/>
      <w:marBottom w:val="0"/>
      <w:divBdr>
        <w:top w:val="none" w:sz="0" w:space="0" w:color="auto"/>
        <w:left w:val="none" w:sz="0" w:space="0" w:color="auto"/>
        <w:bottom w:val="none" w:sz="0" w:space="0" w:color="auto"/>
        <w:right w:val="none" w:sz="0" w:space="0" w:color="auto"/>
      </w:divBdr>
    </w:div>
    <w:div w:id="849294365">
      <w:bodyDiv w:val="1"/>
      <w:marLeft w:val="0"/>
      <w:marRight w:val="0"/>
      <w:marTop w:val="0"/>
      <w:marBottom w:val="0"/>
      <w:divBdr>
        <w:top w:val="none" w:sz="0" w:space="0" w:color="auto"/>
        <w:left w:val="none" w:sz="0" w:space="0" w:color="auto"/>
        <w:bottom w:val="none" w:sz="0" w:space="0" w:color="auto"/>
        <w:right w:val="none" w:sz="0" w:space="0" w:color="auto"/>
      </w:divBdr>
    </w:div>
    <w:div w:id="1114254198">
      <w:bodyDiv w:val="1"/>
      <w:marLeft w:val="0"/>
      <w:marRight w:val="0"/>
      <w:marTop w:val="0"/>
      <w:marBottom w:val="0"/>
      <w:divBdr>
        <w:top w:val="none" w:sz="0" w:space="0" w:color="auto"/>
        <w:left w:val="none" w:sz="0" w:space="0" w:color="auto"/>
        <w:bottom w:val="none" w:sz="0" w:space="0" w:color="auto"/>
        <w:right w:val="none" w:sz="0" w:space="0" w:color="auto"/>
      </w:divBdr>
    </w:div>
    <w:div w:id="1182207687">
      <w:bodyDiv w:val="1"/>
      <w:marLeft w:val="0"/>
      <w:marRight w:val="0"/>
      <w:marTop w:val="0"/>
      <w:marBottom w:val="0"/>
      <w:divBdr>
        <w:top w:val="none" w:sz="0" w:space="0" w:color="auto"/>
        <w:left w:val="none" w:sz="0" w:space="0" w:color="auto"/>
        <w:bottom w:val="none" w:sz="0" w:space="0" w:color="auto"/>
        <w:right w:val="none" w:sz="0" w:space="0" w:color="auto"/>
      </w:divBdr>
    </w:div>
    <w:div w:id="1243300567">
      <w:bodyDiv w:val="1"/>
      <w:marLeft w:val="0"/>
      <w:marRight w:val="0"/>
      <w:marTop w:val="0"/>
      <w:marBottom w:val="0"/>
      <w:divBdr>
        <w:top w:val="none" w:sz="0" w:space="0" w:color="auto"/>
        <w:left w:val="none" w:sz="0" w:space="0" w:color="auto"/>
        <w:bottom w:val="none" w:sz="0" w:space="0" w:color="auto"/>
        <w:right w:val="none" w:sz="0" w:space="0" w:color="auto"/>
      </w:divBdr>
    </w:div>
    <w:div w:id="1244409265">
      <w:bodyDiv w:val="1"/>
      <w:marLeft w:val="0"/>
      <w:marRight w:val="0"/>
      <w:marTop w:val="0"/>
      <w:marBottom w:val="0"/>
      <w:divBdr>
        <w:top w:val="none" w:sz="0" w:space="0" w:color="auto"/>
        <w:left w:val="none" w:sz="0" w:space="0" w:color="auto"/>
        <w:bottom w:val="none" w:sz="0" w:space="0" w:color="auto"/>
        <w:right w:val="none" w:sz="0" w:space="0" w:color="auto"/>
      </w:divBdr>
    </w:div>
    <w:div w:id="1529679076">
      <w:bodyDiv w:val="1"/>
      <w:marLeft w:val="0"/>
      <w:marRight w:val="0"/>
      <w:marTop w:val="0"/>
      <w:marBottom w:val="0"/>
      <w:divBdr>
        <w:top w:val="none" w:sz="0" w:space="0" w:color="auto"/>
        <w:left w:val="none" w:sz="0" w:space="0" w:color="auto"/>
        <w:bottom w:val="none" w:sz="0" w:space="0" w:color="auto"/>
        <w:right w:val="none" w:sz="0" w:space="0" w:color="auto"/>
      </w:divBdr>
    </w:div>
    <w:div w:id="1621717833">
      <w:bodyDiv w:val="1"/>
      <w:marLeft w:val="0"/>
      <w:marRight w:val="0"/>
      <w:marTop w:val="0"/>
      <w:marBottom w:val="0"/>
      <w:divBdr>
        <w:top w:val="none" w:sz="0" w:space="0" w:color="auto"/>
        <w:left w:val="none" w:sz="0" w:space="0" w:color="auto"/>
        <w:bottom w:val="none" w:sz="0" w:space="0" w:color="auto"/>
        <w:right w:val="none" w:sz="0" w:space="0" w:color="auto"/>
      </w:divBdr>
    </w:div>
    <w:div w:id="1657372297">
      <w:bodyDiv w:val="1"/>
      <w:marLeft w:val="0"/>
      <w:marRight w:val="0"/>
      <w:marTop w:val="0"/>
      <w:marBottom w:val="0"/>
      <w:divBdr>
        <w:top w:val="none" w:sz="0" w:space="0" w:color="auto"/>
        <w:left w:val="none" w:sz="0" w:space="0" w:color="auto"/>
        <w:bottom w:val="none" w:sz="0" w:space="0" w:color="auto"/>
        <w:right w:val="none" w:sz="0" w:space="0" w:color="auto"/>
      </w:divBdr>
    </w:div>
    <w:div w:id="1801878188">
      <w:bodyDiv w:val="1"/>
      <w:marLeft w:val="0"/>
      <w:marRight w:val="0"/>
      <w:marTop w:val="0"/>
      <w:marBottom w:val="0"/>
      <w:divBdr>
        <w:top w:val="none" w:sz="0" w:space="0" w:color="auto"/>
        <w:left w:val="none" w:sz="0" w:space="0" w:color="auto"/>
        <w:bottom w:val="none" w:sz="0" w:space="0" w:color="auto"/>
        <w:right w:val="none" w:sz="0" w:space="0" w:color="auto"/>
      </w:divBdr>
    </w:div>
    <w:div w:id="1815755129">
      <w:bodyDiv w:val="1"/>
      <w:marLeft w:val="0"/>
      <w:marRight w:val="0"/>
      <w:marTop w:val="0"/>
      <w:marBottom w:val="0"/>
      <w:divBdr>
        <w:top w:val="none" w:sz="0" w:space="0" w:color="auto"/>
        <w:left w:val="none" w:sz="0" w:space="0" w:color="auto"/>
        <w:bottom w:val="none" w:sz="0" w:space="0" w:color="auto"/>
        <w:right w:val="none" w:sz="0" w:space="0" w:color="auto"/>
      </w:divBdr>
    </w:div>
    <w:div w:id="1914511100">
      <w:bodyDiv w:val="1"/>
      <w:marLeft w:val="0"/>
      <w:marRight w:val="0"/>
      <w:marTop w:val="0"/>
      <w:marBottom w:val="0"/>
      <w:divBdr>
        <w:top w:val="none" w:sz="0" w:space="0" w:color="auto"/>
        <w:left w:val="none" w:sz="0" w:space="0" w:color="auto"/>
        <w:bottom w:val="none" w:sz="0" w:space="0" w:color="auto"/>
        <w:right w:val="none" w:sz="0" w:space="0" w:color="auto"/>
      </w:divBdr>
    </w:div>
    <w:div w:id="1925920831">
      <w:bodyDiv w:val="1"/>
      <w:marLeft w:val="0"/>
      <w:marRight w:val="0"/>
      <w:marTop w:val="0"/>
      <w:marBottom w:val="0"/>
      <w:divBdr>
        <w:top w:val="none" w:sz="0" w:space="0" w:color="auto"/>
        <w:left w:val="none" w:sz="0" w:space="0" w:color="auto"/>
        <w:bottom w:val="none" w:sz="0" w:space="0" w:color="auto"/>
        <w:right w:val="none" w:sz="0" w:space="0" w:color="auto"/>
      </w:divBdr>
    </w:div>
    <w:div w:id="21266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117" Type="http://schemas.openxmlformats.org/officeDocument/2006/relationships/oleObject" Target="embeddings/oleObject25.bin"/><Relationship Id="rId21" Type="http://schemas.openxmlformats.org/officeDocument/2006/relationships/image" Target="media/image5.wmf"/><Relationship Id="rId42" Type="http://schemas.openxmlformats.org/officeDocument/2006/relationships/image" Target="media/image24.emf"/><Relationship Id="rId47" Type="http://schemas.openxmlformats.org/officeDocument/2006/relationships/image" Target="media/image29.emf"/><Relationship Id="rId63" Type="http://schemas.openxmlformats.org/officeDocument/2006/relationships/image" Target="media/image45.emf"/><Relationship Id="rId68" Type="http://schemas.openxmlformats.org/officeDocument/2006/relationships/image" Target="media/image50.emf"/><Relationship Id="rId84" Type="http://schemas.openxmlformats.org/officeDocument/2006/relationships/image" Target="media/image63.wmf"/><Relationship Id="rId89" Type="http://schemas.openxmlformats.org/officeDocument/2006/relationships/oleObject" Target="embeddings/oleObject11.bin"/><Relationship Id="rId112" Type="http://schemas.openxmlformats.org/officeDocument/2006/relationships/image" Target="media/image77.wmf"/><Relationship Id="rId133" Type="http://schemas.openxmlformats.org/officeDocument/2006/relationships/image" Target="media/image86.wmf"/><Relationship Id="rId138" Type="http://schemas.openxmlformats.org/officeDocument/2006/relationships/oleObject" Target="embeddings/oleObject37.bin"/><Relationship Id="rId16" Type="http://schemas.openxmlformats.org/officeDocument/2006/relationships/oleObject" Target="embeddings/oleObject1.bin"/><Relationship Id="rId107" Type="http://schemas.openxmlformats.org/officeDocument/2006/relationships/oleObject" Target="embeddings/oleObject20.bin"/><Relationship Id="rId11" Type="http://schemas.openxmlformats.org/officeDocument/2006/relationships/footer" Target="footer2.xml"/><Relationship Id="rId32" Type="http://schemas.openxmlformats.org/officeDocument/2006/relationships/image" Target="media/image14.emf"/><Relationship Id="rId37" Type="http://schemas.openxmlformats.org/officeDocument/2006/relationships/image" Target="media/image19.emf"/><Relationship Id="rId53" Type="http://schemas.openxmlformats.org/officeDocument/2006/relationships/image" Target="media/image35.emf"/><Relationship Id="rId58" Type="http://schemas.openxmlformats.org/officeDocument/2006/relationships/image" Target="media/image40.emf"/><Relationship Id="rId74" Type="http://schemas.openxmlformats.org/officeDocument/2006/relationships/image" Target="media/image56.emf"/><Relationship Id="rId79" Type="http://schemas.openxmlformats.org/officeDocument/2006/relationships/oleObject" Target="embeddings/oleObject6.bin"/><Relationship Id="rId102" Type="http://schemas.openxmlformats.org/officeDocument/2006/relationships/image" Target="media/image72.wmf"/><Relationship Id="rId123" Type="http://schemas.openxmlformats.org/officeDocument/2006/relationships/oleObject" Target="embeddings/oleObject29.bin"/><Relationship Id="rId128" Type="http://schemas.openxmlformats.org/officeDocument/2006/relationships/image" Target="media/image84.wmf"/><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66.wmf"/><Relationship Id="rId95" Type="http://schemas.openxmlformats.org/officeDocument/2006/relationships/oleObject" Target="embeddings/oleObject14.bin"/><Relationship Id="rId22" Type="http://schemas.openxmlformats.org/officeDocument/2006/relationships/oleObject" Target="embeddings/oleObject4.bin"/><Relationship Id="rId27" Type="http://schemas.openxmlformats.org/officeDocument/2006/relationships/image" Target="media/image9.emf"/><Relationship Id="rId43" Type="http://schemas.openxmlformats.org/officeDocument/2006/relationships/image" Target="media/image25.emf"/><Relationship Id="rId48" Type="http://schemas.openxmlformats.org/officeDocument/2006/relationships/image" Target="media/image30.emf"/><Relationship Id="rId64" Type="http://schemas.openxmlformats.org/officeDocument/2006/relationships/image" Target="media/image46.emf"/><Relationship Id="rId69" Type="http://schemas.openxmlformats.org/officeDocument/2006/relationships/image" Target="media/image51.emf"/><Relationship Id="rId113" Type="http://schemas.openxmlformats.org/officeDocument/2006/relationships/oleObject" Target="embeddings/oleObject23.bin"/><Relationship Id="rId118" Type="http://schemas.openxmlformats.org/officeDocument/2006/relationships/oleObject" Target="embeddings/oleObject26.bin"/><Relationship Id="rId134" Type="http://schemas.openxmlformats.org/officeDocument/2006/relationships/oleObject" Target="embeddings/oleObject35.bin"/><Relationship Id="rId139" Type="http://schemas.openxmlformats.org/officeDocument/2006/relationships/image" Target="media/image89.wmf"/><Relationship Id="rId80" Type="http://schemas.openxmlformats.org/officeDocument/2006/relationships/image" Target="media/image61.wmf"/><Relationship Id="rId85" Type="http://schemas.openxmlformats.org/officeDocument/2006/relationships/oleObject" Target="embeddings/oleObject9.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41.emf"/><Relationship Id="rId67" Type="http://schemas.openxmlformats.org/officeDocument/2006/relationships/image" Target="media/image49.emf"/><Relationship Id="rId103" Type="http://schemas.openxmlformats.org/officeDocument/2006/relationships/oleObject" Target="embeddings/oleObject18.bin"/><Relationship Id="rId108" Type="http://schemas.openxmlformats.org/officeDocument/2006/relationships/image" Target="media/image75.wmf"/><Relationship Id="rId116" Type="http://schemas.openxmlformats.org/officeDocument/2006/relationships/image" Target="media/image79.wmf"/><Relationship Id="rId124" Type="http://schemas.openxmlformats.org/officeDocument/2006/relationships/image" Target="media/image82.wmf"/><Relationship Id="rId129" Type="http://schemas.openxmlformats.org/officeDocument/2006/relationships/oleObject" Target="embeddings/oleObject32.bin"/><Relationship Id="rId137" Type="http://schemas.openxmlformats.org/officeDocument/2006/relationships/image" Target="media/image88.wmf"/><Relationship Id="rId20" Type="http://schemas.openxmlformats.org/officeDocument/2006/relationships/oleObject" Target="embeddings/oleObject3.bin"/><Relationship Id="rId41" Type="http://schemas.openxmlformats.org/officeDocument/2006/relationships/image" Target="media/image23.emf"/><Relationship Id="rId54" Type="http://schemas.openxmlformats.org/officeDocument/2006/relationships/image" Target="media/image36.emf"/><Relationship Id="rId62" Type="http://schemas.openxmlformats.org/officeDocument/2006/relationships/image" Target="media/image44.em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oleObject" Target="embeddings/oleObject8.bin"/><Relationship Id="rId88" Type="http://schemas.openxmlformats.org/officeDocument/2006/relationships/image" Target="media/image65.wmf"/><Relationship Id="rId91" Type="http://schemas.openxmlformats.org/officeDocument/2006/relationships/oleObject" Target="embeddings/oleObject12.bin"/><Relationship Id="rId96" Type="http://schemas.openxmlformats.org/officeDocument/2006/relationships/image" Target="media/image69.wmf"/><Relationship Id="rId111" Type="http://schemas.openxmlformats.org/officeDocument/2006/relationships/oleObject" Target="embeddings/oleObject22.bin"/><Relationship Id="rId132" Type="http://schemas.openxmlformats.org/officeDocument/2006/relationships/oleObject" Target="embeddings/oleObject34.bin"/><Relationship Id="rId140" Type="http://schemas.openxmlformats.org/officeDocument/2006/relationships/oleObject" Target="embeddings/oleObject38.bin"/><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image" Target="media/image39.emf"/><Relationship Id="rId106" Type="http://schemas.openxmlformats.org/officeDocument/2006/relationships/image" Target="media/image74.wmf"/><Relationship Id="rId114" Type="http://schemas.openxmlformats.org/officeDocument/2006/relationships/image" Target="media/image78.wmf"/><Relationship Id="rId119" Type="http://schemas.openxmlformats.org/officeDocument/2006/relationships/oleObject" Target="embeddings/oleObject27.bin"/><Relationship Id="rId127" Type="http://schemas.openxmlformats.org/officeDocument/2006/relationships/oleObject" Target="embeddings/oleObject31.bin"/><Relationship Id="rId10" Type="http://schemas.openxmlformats.org/officeDocument/2006/relationships/footer" Target="footer1.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image" Target="media/image42.emf"/><Relationship Id="rId65" Type="http://schemas.openxmlformats.org/officeDocument/2006/relationships/image" Target="media/image47.emf"/><Relationship Id="rId73" Type="http://schemas.openxmlformats.org/officeDocument/2006/relationships/image" Target="media/image55.emf"/><Relationship Id="rId78" Type="http://schemas.openxmlformats.org/officeDocument/2006/relationships/image" Target="media/image60.wmf"/><Relationship Id="rId81" Type="http://schemas.openxmlformats.org/officeDocument/2006/relationships/oleObject" Target="embeddings/oleObject7.bin"/><Relationship Id="rId86" Type="http://schemas.openxmlformats.org/officeDocument/2006/relationships/image" Target="media/image64.wmf"/><Relationship Id="rId94" Type="http://schemas.openxmlformats.org/officeDocument/2006/relationships/image" Target="media/image68.wmf"/><Relationship Id="rId99" Type="http://schemas.openxmlformats.org/officeDocument/2006/relationships/oleObject" Target="embeddings/oleObject16.bin"/><Relationship Id="rId101" Type="http://schemas.openxmlformats.org/officeDocument/2006/relationships/oleObject" Target="embeddings/oleObject17.bin"/><Relationship Id="rId122" Type="http://schemas.openxmlformats.org/officeDocument/2006/relationships/image" Target="media/image81.wmf"/><Relationship Id="rId130" Type="http://schemas.openxmlformats.org/officeDocument/2006/relationships/image" Target="media/image85.wmf"/><Relationship Id="rId135" Type="http://schemas.openxmlformats.org/officeDocument/2006/relationships/image" Target="media/image87.wmf"/><Relationship Id="rId143"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21.emf"/><Relationship Id="rId109" Type="http://schemas.openxmlformats.org/officeDocument/2006/relationships/oleObject" Target="embeddings/oleObject21.bin"/><Relationship Id="rId34" Type="http://schemas.openxmlformats.org/officeDocument/2006/relationships/image" Target="media/image16.emf"/><Relationship Id="rId50" Type="http://schemas.openxmlformats.org/officeDocument/2006/relationships/image" Target="media/image32.emf"/><Relationship Id="rId55" Type="http://schemas.openxmlformats.org/officeDocument/2006/relationships/image" Target="media/image37.emf"/><Relationship Id="rId76" Type="http://schemas.openxmlformats.org/officeDocument/2006/relationships/image" Target="media/image58.emf"/><Relationship Id="rId97" Type="http://schemas.openxmlformats.org/officeDocument/2006/relationships/oleObject" Target="embeddings/oleObject15.bin"/><Relationship Id="rId104" Type="http://schemas.openxmlformats.org/officeDocument/2006/relationships/image" Target="media/image73.wmf"/><Relationship Id="rId120" Type="http://schemas.openxmlformats.org/officeDocument/2006/relationships/image" Target="media/image80.wmf"/><Relationship Id="rId125" Type="http://schemas.openxmlformats.org/officeDocument/2006/relationships/oleObject" Target="embeddings/oleObject30.bin"/><Relationship Id="rId141"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image" Target="media/image53.emf"/><Relationship Id="rId92" Type="http://schemas.openxmlformats.org/officeDocument/2006/relationships/image" Target="media/image67.wmf"/><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oleObject" Target="embeddings/oleObject5.bin"/><Relationship Id="rId40" Type="http://schemas.openxmlformats.org/officeDocument/2006/relationships/image" Target="media/image22.emf"/><Relationship Id="rId45" Type="http://schemas.openxmlformats.org/officeDocument/2006/relationships/image" Target="media/image27.emf"/><Relationship Id="rId66" Type="http://schemas.openxmlformats.org/officeDocument/2006/relationships/image" Target="media/image48.emf"/><Relationship Id="rId87" Type="http://schemas.openxmlformats.org/officeDocument/2006/relationships/oleObject" Target="embeddings/oleObject10.bin"/><Relationship Id="rId110" Type="http://schemas.openxmlformats.org/officeDocument/2006/relationships/image" Target="media/image76.wmf"/><Relationship Id="rId115" Type="http://schemas.openxmlformats.org/officeDocument/2006/relationships/oleObject" Target="embeddings/oleObject24.bin"/><Relationship Id="rId131" Type="http://schemas.openxmlformats.org/officeDocument/2006/relationships/oleObject" Target="embeddings/oleObject33.bin"/><Relationship Id="rId136" Type="http://schemas.openxmlformats.org/officeDocument/2006/relationships/oleObject" Target="embeddings/oleObject36.bin"/><Relationship Id="rId61" Type="http://schemas.openxmlformats.org/officeDocument/2006/relationships/image" Target="media/image43.emf"/><Relationship Id="rId82" Type="http://schemas.openxmlformats.org/officeDocument/2006/relationships/image" Target="media/image62.wmf"/><Relationship Id="rId19" Type="http://schemas.openxmlformats.org/officeDocument/2006/relationships/image" Target="media/image4.wmf"/><Relationship Id="rId14" Type="http://schemas.openxmlformats.org/officeDocument/2006/relationships/header" Target="header4.xml"/><Relationship Id="rId30" Type="http://schemas.openxmlformats.org/officeDocument/2006/relationships/image" Target="media/image12.emf"/><Relationship Id="rId35" Type="http://schemas.openxmlformats.org/officeDocument/2006/relationships/image" Target="media/image17.emf"/><Relationship Id="rId56" Type="http://schemas.openxmlformats.org/officeDocument/2006/relationships/image" Target="media/image38.emf"/><Relationship Id="rId77" Type="http://schemas.openxmlformats.org/officeDocument/2006/relationships/image" Target="media/image59.emf"/><Relationship Id="rId100" Type="http://schemas.openxmlformats.org/officeDocument/2006/relationships/image" Target="media/image71.wmf"/><Relationship Id="rId105" Type="http://schemas.openxmlformats.org/officeDocument/2006/relationships/oleObject" Target="embeddings/oleObject19.bin"/><Relationship Id="rId126" Type="http://schemas.openxmlformats.org/officeDocument/2006/relationships/image" Target="media/image83.wmf"/><Relationship Id="rId8" Type="http://schemas.openxmlformats.org/officeDocument/2006/relationships/header" Target="header1.xml"/><Relationship Id="rId51" Type="http://schemas.openxmlformats.org/officeDocument/2006/relationships/image" Target="media/image33.emf"/><Relationship Id="rId72" Type="http://schemas.openxmlformats.org/officeDocument/2006/relationships/image" Target="media/image54.emf"/><Relationship Id="rId93" Type="http://schemas.openxmlformats.org/officeDocument/2006/relationships/oleObject" Target="embeddings/oleObject13.bin"/><Relationship Id="rId98" Type="http://schemas.openxmlformats.org/officeDocument/2006/relationships/image" Target="media/image70.wmf"/><Relationship Id="rId121" Type="http://schemas.openxmlformats.org/officeDocument/2006/relationships/oleObject" Target="embeddings/oleObject28.bin"/><Relationship Id="rId142" Type="http://schemas.openxmlformats.org/officeDocument/2006/relationships/oleObject" Target="embeddings/oleObject39.bin"/></Relationships>
</file>

<file path=word/_rels/footnotes.xml.rels><?xml version="1.0" encoding="UTF-8" standalone="yes"?>
<Relationships xmlns="http://schemas.openxmlformats.org/package/2006/relationships"><Relationship Id="rId1" Type="http://schemas.openxmlformats.org/officeDocument/2006/relationships/hyperlink" Target="http://www.comcom.govt.nz/2012-default-price-quality-pat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4896-6011-444A-9FF2-F8F62B2D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25724</Words>
  <Characters>146444</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Commerce Commission</Company>
  <LinksUpToDate>false</LinksUpToDate>
  <CharactersWithSpaces>171825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Johnson</dc:creator>
  <cp:keywords/>
  <dc:description/>
  <cp:lastModifiedBy>Anna McKinlay</cp:lastModifiedBy>
  <cp:revision>2</cp:revision>
  <cp:lastPrinted>2012-07-05T12:05:00Z</cp:lastPrinted>
  <dcterms:created xsi:type="dcterms:W3CDTF">2012-07-05T13:26:00Z</dcterms:created>
  <dcterms:modified xsi:type="dcterms:W3CDTF">2012-07-05T13:26:00Z</dcterms:modified>
</cp:coreProperties>
</file>