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00F7" w:rsidRPr="00301B40" w:rsidRDefault="00B200F7" w:rsidP="00B200F7">
      <w:pPr>
        <w:rPr>
          <w:rFonts w:asciiTheme="minorHAnsi" w:hAnsiTheme="minorHAnsi"/>
        </w:rPr>
      </w:pPr>
    </w:p>
    <w:p w:rsidR="00B200F7" w:rsidRPr="00301B40" w:rsidRDefault="00B200F7" w:rsidP="00B200F7">
      <w:pPr>
        <w:rPr>
          <w:rFonts w:asciiTheme="minorHAnsi" w:hAnsiTheme="minorHAnsi"/>
        </w:rPr>
      </w:pPr>
    </w:p>
    <w:p w:rsidR="00B200F7" w:rsidRPr="00301B40" w:rsidRDefault="00B200F7" w:rsidP="00B200F7">
      <w:pPr>
        <w:rPr>
          <w:rFonts w:asciiTheme="minorHAnsi" w:hAnsiTheme="minorHAnsi"/>
        </w:rPr>
      </w:pPr>
    </w:p>
    <w:p w:rsidR="00B200F7" w:rsidRPr="00301B40" w:rsidRDefault="00B200F7" w:rsidP="00B200F7">
      <w:pPr>
        <w:rPr>
          <w:rFonts w:asciiTheme="minorHAnsi" w:hAnsiTheme="minorHAnsi"/>
        </w:rPr>
      </w:pPr>
    </w:p>
    <w:p w:rsidR="00B200F7" w:rsidRPr="00301B40" w:rsidRDefault="00B200F7" w:rsidP="000E0ED7">
      <w:pPr>
        <w:rPr>
          <w:rFonts w:asciiTheme="minorHAnsi" w:hAnsiTheme="minorHAnsi"/>
          <w:b/>
          <w:iCs/>
          <w:sz w:val="32"/>
        </w:rPr>
      </w:pPr>
    </w:p>
    <w:p w:rsidR="00B200F7" w:rsidRPr="00301B40" w:rsidRDefault="00B200F7" w:rsidP="000E0ED7">
      <w:pPr>
        <w:rPr>
          <w:rFonts w:asciiTheme="minorHAnsi" w:hAnsiTheme="minorHAnsi"/>
          <w:b/>
          <w:iCs/>
          <w:sz w:val="32"/>
        </w:rPr>
      </w:pPr>
    </w:p>
    <w:p w:rsidR="00B200F7" w:rsidRPr="00301B40" w:rsidRDefault="00B200F7" w:rsidP="000E0ED7">
      <w:pPr>
        <w:rPr>
          <w:rFonts w:asciiTheme="minorHAnsi" w:hAnsiTheme="minorHAnsi"/>
          <w:b/>
          <w:iCs/>
          <w:sz w:val="32"/>
        </w:rPr>
      </w:pPr>
    </w:p>
    <w:p w:rsidR="00B200F7" w:rsidRPr="002F2828" w:rsidRDefault="00B200F7" w:rsidP="000E0ED7">
      <w:pPr>
        <w:pStyle w:val="Title"/>
        <w:rPr>
          <w:rFonts w:asciiTheme="minorHAnsi" w:hAnsiTheme="minorHAnsi"/>
          <w:szCs w:val="20"/>
          <w:lang w:eastAsia="en-GB"/>
        </w:rPr>
      </w:pPr>
      <w:r w:rsidRPr="002F2828">
        <w:rPr>
          <w:rFonts w:asciiTheme="minorHAnsi" w:hAnsiTheme="minorHAnsi"/>
          <w:szCs w:val="20"/>
          <w:lang w:eastAsia="en-GB"/>
        </w:rPr>
        <w:t>Decision No. [XXX]</w:t>
      </w:r>
    </w:p>
    <w:p w:rsidR="008F5D7B" w:rsidRDefault="00916ED6" w:rsidP="006927B6">
      <w:pPr>
        <w:pStyle w:val="Heading2"/>
        <w:rPr>
          <w:sz w:val="28"/>
          <w:szCs w:val="28"/>
          <w:lang w:eastAsia="en-GB"/>
        </w:rPr>
      </w:pPr>
      <w:bookmarkStart w:id="0" w:name="_Toc314479877"/>
      <w:r w:rsidRPr="006927B6">
        <w:rPr>
          <w:sz w:val="28"/>
          <w:szCs w:val="28"/>
          <w:lang w:eastAsia="en-GB"/>
        </w:rPr>
        <w:t>Draft Commerce Act (Gas Distribution Services Information Disclosure) Determination 2012</w:t>
      </w:r>
      <w:bookmarkEnd w:id="0"/>
    </w:p>
    <w:p w:rsidR="008D6BAA" w:rsidRPr="00604256" w:rsidRDefault="008D6BAA" w:rsidP="008D6BAA">
      <w:pPr>
        <w:rPr>
          <w:rFonts w:asciiTheme="minorHAnsi" w:hAnsiTheme="minorHAnsi"/>
          <w:b/>
          <w:sz w:val="32"/>
          <w:szCs w:val="32"/>
        </w:rPr>
      </w:pPr>
    </w:p>
    <w:p w:rsidR="008D6BAA" w:rsidRPr="00604256" w:rsidRDefault="008D6BAA" w:rsidP="008D6BAA">
      <w:pPr>
        <w:rPr>
          <w:rFonts w:asciiTheme="minorHAnsi" w:hAnsiTheme="minorHAnsi"/>
          <w:b/>
          <w:sz w:val="32"/>
          <w:szCs w:val="32"/>
        </w:rPr>
      </w:pPr>
    </w:p>
    <w:p w:rsidR="00B200F7" w:rsidRPr="002F2828" w:rsidRDefault="00B200F7" w:rsidP="00B200F7">
      <w:pPr>
        <w:rPr>
          <w:rFonts w:asciiTheme="minorHAnsi" w:hAnsiTheme="minorHAnsi"/>
        </w:rPr>
      </w:pPr>
    </w:p>
    <w:p w:rsidR="008D6BAA" w:rsidRPr="00604256" w:rsidRDefault="008D6BAA" w:rsidP="008D6BAA">
      <w:pPr>
        <w:spacing w:line="264" w:lineRule="auto"/>
        <w:rPr>
          <w:rFonts w:asciiTheme="minorHAnsi" w:hAnsiTheme="minorHAnsi"/>
          <w:szCs w:val="20"/>
          <w:lang w:eastAsia="en-GB"/>
        </w:rPr>
      </w:pPr>
      <w:r w:rsidRPr="00604256">
        <w:rPr>
          <w:rFonts w:asciiTheme="minorHAnsi" w:hAnsiTheme="minorHAnsi"/>
          <w:szCs w:val="20"/>
          <w:lang w:eastAsia="en-GB"/>
        </w:rPr>
        <w:t xml:space="preserve">Draft </w:t>
      </w:r>
      <w:r>
        <w:rPr>
          <w:rFonts w:asciiTheme="minorHAnsi" w:hAnsiTheme="minorHAnsi"/>
          <w:szCs w:val="20"/>
          <w:lang w:eastAsia="en-GB"/>
        </w:rPr>
        <w:t>Gas</w:t>
      </w:r>
      <w:r w:rsidRPr="00604256">
        <w:rPr>
          <w:rFonts w:asciiTheme="minorHAnsi" w:hAnsiTheme="minorHAnsi"/>
          <w:szCs w:val="20"/>
          <w:lang w:eastAsia="en-GB"/>
        </w:rPr>
        <w:t xml:space="preserve"> Distribution Services Information Disclosure Determination under Part 4 of the Commerce Act 1986.</w:t>
      </w:r>
    </w:p>
    <w:p w:rsidR="000E0ED7" w:rsidRPr="002F2828" w:rsidRDefault="000E0ED7" w:rsidP="0084688E">
      <w:pPr>
        <w:spacing w:line="264" w:lineRule="auto"/>
        <w:rPr>
          <w:rFonts w:asciiTheme="minorHAnsi" w:hAnsiTheme="minorHAnsi"/>
          <w:szCs w:val="20"/>
          <w:lang w:eastAsia="en-GB"/>
        </w:rPr>
      </w:pPr>
    </w:p>
    <w:p w:rsidR="00B200F7" w:rsidRPr="002F2828" w:rsidRDefault="00916ED6" w:rsidP="0084688E">
      <w:pPr>
        <w:tabs>
          <w:tab w:val="left" w:pos="1134"/>
          <w:tab w:val="left" w:pos="2835"/>
        </w:tabs>
        <w:spacing w:line="264" w:lineRule="auto"/>
        <w:rPr>
          <w:rFonts w:asciiTheme="minorHAnsi" w:hAnsiTheme="minorHAnsi"/>
          <w:b/>
        </w:rPr>
      </w:pPr>
      <w:r w:rsidRPr="00916ED6">
        <w:rPr>
          <w:rFonts w:asciiTheme="minorHAnsi" w:hAnsiTheme="minorHAnsi"/>
        </w:rPr>
        <w:br/>
      </w:r>
      <w:r w:rsidR="00B200F7" w:rsidRPr="002F2828">
        <w:rPr>
          <w:rFonts w:asciiTheme="minorHAnsi" w:hAnsiTheme="minorHAnsi"/>
          <w:b/>
        </w:rPr>
        <w:t xml:space="preserve">The Commerce Commission: </w:t>
      </w:r>
      <w:r w:rsidR="00B200F7" w:rsidRPr="002F2828">
        <w:rPr>
          <w:rFonts w:asciiTheme="minorHAnsi" w:hAnsiTheme="minorHAnsi"/>
          <w:b/>
        </w:rPr>
        <w:tab/>
        <w:t>Dr M Berry</w:t>
      </w:r>
    </w:p>
    <w:p w:rsidR="00B200F7" w:rsidRPr="002F2828" w:rsidRDefault="00B200F7" w:rsidP="0084688E">
      <w:pPr>
        <w:tabs>
          <w:tab w:val="left" w:pos="1134"/>
          <w:tab w:val="left" w:pos="2835"/>
        </w:tabs>
        <w:spacing w:line="264" w:lineRule="auto"/>
        <w:rPr>
          <w:rFonts w:asciiTheme="minorHAnsi" w:hAnsiTheme="minorHAnsi"/>
          <w:b/>
        </w:rPr>
      </w:pPr>
      <w:r w:rsidRPr="002F2828">
        <w:rPr>
          <w:rFonts w:asciiTheme="minorHAnsi" w:hAnsiTheme="minorHAnsi"/>
          <w:b/>
        </w:rPr>
        <w:tab/>
      </w:r>
      <w:r w:rsidRPr="002F2828">
        <w:rPr>
          <w:rFonts w:asciiTheme="minorHAnsi" w:hAnsiTheme="minorHAnsi"/>
          <w:b/>
        </w:rPr>
        <w:tab/>
      </w:r>
      <w:r w:rsidRPr="002F2828">
        <w:rPr>
          <w:rFonts w:asciiTheme="minorHAnsi" w:hAnsiTheme="minorHAnsi"/>
          <w:b/>
        </w:rPr>
        <w:tab/>
      </w:r>
      <w:r w:rsidRPr="002F2828">
        <w:rPr>
          <w:rFonts w:asciiTheme="minorHAnsi" w:hAnsiTheme="minorHAnsi"/>
          <w:b/>
        </w:rPr>
        <w:tab/>
        <w:t>S Begg</w:t>
      </w:r>
    </w:p>
    <w:p w:rsidR="00B200F7" w:rsidRPr="002F2828" w:rsidRDefault="00B200F7" w:rsidP="0084688E">
      <w:pPr>
        <w:tabs>
          <w:tab w:val="left" w:pos="1134"/>
          <w:tab w:val="left" w:pos="2835"/>
        </w:tabs>
        <w:spacing w:line="264" w:lineRule="auto"/>
        <w:rPr>
          <w:rFonts w:asciiTheme="minorHAnsi" w:hAnsiTheme="minorHAnsi"/>
          <w:b/>
        </w:rPr>
      </w:pPr>
      <w:r w:rsidRPr="002F2828">
        <w:rPr>
          <w:rFonts w:asciiTheme="minorHAnsi" w:hAnsiTheme="minorHAnsi"/>
          <w:b/>
        </w:rPr>
        <w:tab/>
      </w:r>
      <w:r w:rsidRPr="002F2828">
        <w:rPr>
          <w:rFonts w:asciiTheme="minorHAnsi" w:hAnsiTheme="minorHAnsi"/>
          <w:b/>
        </w:rPr>
        <w:tab/>
      </w:r>
      <w:r w:rsidRPr="002F2828">
        <w:rPr>
          <w:rFonts w:asciiTheme="minorHAnsi" w:hAnsiTheme="minorHAnsi"/>
          <w:b/>
        </w:rPr>
        <w:tab/>
      </w:r>
      <w:r w:rsidRPr="002F2828">
        <w:rPr>
          <w:rFonts w:asciiTheme="minorHAnsi" w:hAnsiTheme="minorHAnsi"/>
          <w:b/>
        </w:rPr>
        <w:tab/>
        <w:t>P Duignan</w:t>
      </w:r>
    </w:p>
    <w:p w:rsidR="00B200F7" w:rsidRPr="002F2828" w:rsidRDefault="00B200F7" w:rsidP="0084688E">
      <w:pPr>
        <w:tabs>
          <w:tab w:val="left" w:pos="1134"/>
          <w:tab w:val="left" w:pos="2835"/>
        </w:tabs>
        <w:spacing w:line="264" w:lineRule="auto"/>
        <w:rPr>
          <w:rFonts w:asciiTheme="minorHAnsi" w:hAnsiTheme="minorHAnsi"/>
          <w:b/>
        </w:rPr>
      </w:pPr>
      <w:r w:rsidRPr="002F2828">
        <w:rPr>
          <w:rFonts w:asciiTheme="minorHAnsi" w:hAnsiTheme="minorHAnsi"/>
          <w:b/>
        </w:rPr>
        <w:tab/>
      </w:r>
      <w:r w:rsidRPr="002F2828">
        <w:rPr>
          <w:rFonts w:asciiTheme="minorHAnsi" w:hAnsiTheme="minorHAnsi"/>
          <w:b/>
        </w:rPr>
        <w:tab/>
      </w:r>
      <w:r w:rsidRPr="002F2828">
        <w:rPr>
          <w:rFonts w:asciiTheme="minorHAnsi" w:hAnsiTheme="minorHAnsi"/>
          <w:b/>
        </w:rPr>
        <w:tab/>
      </w:r>
      <w:r w:rsidRPr="002F2828">
        <w:rPr>
          <w:rFonts w:asciiTheme="minorHAnsi" w:hAnsiTheme="minorHAnsi"/>
          <w:b/>
        </w:rPr>
        <w:tab/>
        <w:t>S Gale</w:t>
      </w:r>
    </w:p>
    <w:p w:rsidR="00B200F7" w:rsidRPr="002F2828" w:rsidRDefault="00B200F7" w:rsidP="0084688E">
      <w:pPr>
        <w:tabs>
          <w:tab w:val="left" w:pos="1134"/>
          <w:tab w:val="left" w:pos="2835"/>
        </w:tabs>
        <w:spacing w:line="264" w:lineRule="auto"/>
        <w:rPr>
          <w:rFonts w:asciiTheme="minorHAnsi" w:hAnsiTheme="minorHAnsi"/>
          <w:b/>
        </w:rPr>
      </w:pPr>
      <w:r w:rsidRPr="002F2828">
        <w:rPr>
          <w:rFonts w:asciiTheme="minorHAnsi" w:hAnsiTheme="minorHAnsi"/>
          <w:b/>
        </w:rPr>
        <w:tab/>
      </w:r>
      <w:r w:rsidRPr="002F2828">
        <w:rPr>
          <w:rFonts w:asciiTheme="minorHAnsi" w:hAnsiTheme="minorHAnsi"/>
          <w:b/>
        </w:rPr>
        <w:tab/>
      </w:r>
    </w:p>
    <w:p w:rsidR="00B200F7" w:rsidRPr="002F2828" w:rsidRDefault="00B200F7" w:rsidP="00B200F7">
      <w:pPr>
        <w:tabs>
          <w:tab w:val="left" w:pos="1134"/>
          <w:tab w:val="left" w:pos="2835"/>
        </w:tabs>
        <w:rPr>
          <w:rFonts w:asciiTheme="minorHAnsi" w:hAnsiTheme="minorHAnsi"/>
          <w:b/>
        </w:rPr>
      </w:pPr>
    </w:p>
    <w:p w:rsidR="008F5D7B" w:rsidRDefault="00B200F7" w:rsidP="0084688E">
      <w:pPr>
        <w:spacing w:line="264" w:lineRule="auto"/>
        <w:rPr>
          <w:rFonts w:asciiTheme="minorHAnsi" w:hAnsiTheme="minorHAnsi"/>
          <w:szCs w:val="20"/>
          <w:lang w:eastAsia="en-GB"/>
        </w:rPr>
      </w:pPr>
      <w:r w:rsidRPr="002F2828">
        <w:rPr>
          <w:rFonts w:asciiTheme="minorHAnsi" w:hAnsiTheme="minorHAnsi"/>
          <w:b/>
          <w:szCs w:val="20"/>
          <w:lang w:eastAsia="en-GB"/>
        </w:rPr>
        <w:t>Summary of the determination</w:t>
      </w:r>
      <w:r w:rsidRPr="002F2828">
        <w:rPr>
          <w:rFonts w:asciiTheme="minorHAnsi" w:hAnsiTheme="minorHAnsi"/>
          <w:szCs w:val="20"/>
          <w:lang w:eastAsia="en-GB"/>
        </w:rPr>
        <w:t xml:space="preserve">:  Pursuant to Part 4 of the </w:t>
      </w:r>
      <w:r w:rsidR="00A40BE3" w:rsidRPr="002F2828">
        <w:rPr>
          <w:rFonts w:asciiTheme="minorHAnsi" w:hAnsiTheme="minorHAnsi"/>
          <w:szCs w:val="20"/>
          <w:lang w:eastAsia="en-GB"/>
        </w:rPr>
        <w:t xml:space="preserve">Commerce </w:t>
      </w:r>
      <w:r w:rsidRPr="002F2828">
        <w:rPr>
          <w:rFonts w:asciiTheme="minorHAnsi" w:hAnsiTheme="minorHAnsi"/>
          <w:szCs w:val="20"/>
          <w:lang w:eastAsia="en-GB"/>
        </w:rPr>
        <w:t>Act</w:t>
      </w:r>
      <w:r w:rsidR="00A40BE3" w:rsidRPr="002F2828">
        <w:rPr>
          <w:rFonts w:asciiTheme="minorHAnsi" w:hAnsiTheme="minorHAnsi"/>
          <w:szCs w:val="20"/>
          <w:lang w:eastAsia="en-GB"/>
        </w:rPr>
        <w:t xml:space="preserve"> 1986</w:t>
      </w:r>
      <w:r w:rsidRPr="002F2828">
        <w:rPr>
          <w:rFonts w:asciiTheme="minorHAnsi" w:hAnsiTheme="minorHAnsi"/>
          <w:szCs w:val="20"/>
          <w:lang w:eastAsia="en-GB"/>
        </w:rPr>
        <w:t>, the Commerce Commission has determined information disclosure requirements that apply to gas distribution</w:t>
      </w:r>
      <w:r w:rsidR="00534BCF" w:rsidRPr="002F2828">
        <w:rPr>
          <w:rFonts w:asciiTheme="minorHAnsi" w:hAnsiTheme="minorHAnsi"/>
          <w:szCs w:val="20"/>
          <w:lang w:eastAsia="en-GB"/>
        </w:rPr>
        <w:t xml:space="preserve"> b</w:t>
      </w:r>
      <w:r w:rsidRPr="002F2828">
        <w:rPr>
          <w:rFonts w:asciiTheme="minorHAnsi" w:hAnsiTheme="minorHAnsi"/>
          <w:szCs w:val="20"/>
          <w:lang w:eastAsia="en-GB"/>
        </w:rPr>
        <w:t>usinesses</w:t>
      </w:r>
      <w:r w:rsidR="00534BCF" w:rsidRPr="002F2828">
        <w:rPr>
          <w:rFonts w:asciiTheme="minorHAnsi" w:hAnsiTheme="minorHAnsi"/>
          <w:szCs w:val="20"/>
          <w:lang w:eastAsia="en-GB"/>
        </w:rPr>
        <w:t>.</w:t>
      </w:r>
    </w:p>
    <w:p w:rsidR="00B200F7" w:rsidRPr="002F2828" w:rsidRDefault="00B200F7" w:rsidP="0084688E">
      <w:pPr>
        <w:tabs>
          <w:tab w:val="left" w:pos="1134"/>
          <w:tab w:val="left" w:pos="2835"/>
        </w:tabs>
        <w:spacing w:line="264" w:lineRule="auto"/>
        <w:rPr>
          <w:rFonts w:asciiTheme="minorHAnsi" w:hAnsiTheme="minorHAnsi"/>
        </w:rPr>
      </w:pPr>
    </w:p>
    <w:p w:rsidR="00B200F7" w:rsidRPr="002F2828" w:rsidRDefault="00B200F7" w:rsidP="0084688E">
      <w:pPr>
        <w:tabs>
          <w:tab w:val="left" w:pos="1134"/>
          <w:tab w:val="left" w:pos="2835"/>
        </w:tabs>
        <w:spacing w:line="264" w:lineRule="auto"/>
        <w:rPr>
          <w:rFonts w:asciiTheme="minorHAnsi" w:hAnsiTheme="minorHAnsi"/>
          <w:b/>
        </w:rPr>
      </w:pPr>
      <w:r w:rsidRPr="002F2828">
        <w:rPr>
          <w:rFonts w:asciiTheme="minorHAnsi" w:hAnsiTheme="minorHAnsi"/>
          <w:b/>
        </w:rPr>
        <w:t xml:space="preserve">This determination is currently in draft form and is intended for </w:t>
      </w:r>
      <w:r w:rsidR="0005720D">
        <w:rPr>
          <w:rFonts w:asciiTheme="minorHAnsi" w:hAnsiTheme="minorHAnsi"/>
          <w:b/>
        </w:rPr>
        <w:t xml:space="preserve">technical </w:t>
      </w:r>
      <w:r w:rsidRPr="002F2828">
        <w:rPr>
          <w:rFonts w:asciiTheme="minorHAnsi" w:hAnsiTheme="minorHAnsi"/>
          <w:b/>
        </w:rPr>
        <w:t>consultation purposes only</w:t>
      </w:r>
      <w:r w:rsidR="008F5D7B">
        <w:rPr>
          <w:rFonts w:asciiTheme="minorHAnsi" w:hAnsiTheme="minorHAnsi"/>
          <w:b/>
        </w:rPr>
        <w:t xml:space="preserve">. </w:t>
      </w:r>
      <w:r w:rsidRPr="002F2828">
        <w:rPr>
          <w:rFonts w:asciiTheme="minorHAnsi" w:hAnsiTheme="minorHAnsi"/>
          <w:b/>
        </w:rPr>
        <w:t>Following submissions on this draft determination</w:t>
      </w:r>
      <w:r w:rsidR="00866BD4" w:rsidRPr="00866BD4">
        <w:rPr>
          <w:rFonts w:asciiTheme="minorHAnsi" w:hAnsiTheme="minorHAnsi"/>
        </w:rPr>
        <w:t>,</w:t>
      </w:r>
      <w:r w:rsidRPr="002F2828">
        <w:rPr>
          <w:rFonts w:asciiTheme="minorHAnsi" w:hAnsiTheme="minorHAnsi"/>
          <w:b/>
        </w:rPr>
        <w:t xml:space="preserve"> a final determination </w:t>
      </w:r>
      <w:r w:rsidR="007265AE" w:rsidRPr="002F2828">
        <w:rPr>
          <w:rFonts w:asciiTheme="minorHAnsi" w:hAnsiTheme="minorHAnsi"/>
          <w:b/>
        </w:rPr>
        <w:t>will</w:t>
      </w:r>
      <w:r w:rsidRPr="002F2828">
        <w:rPr>
          <w:rFonts w:asciiTheme="minorHAnsi" w:hAnsiTheme="minorHAnsi"/>
          <w:b/>
        </w:rPr>
        <w:t xml:space="preserve"> be made</w:t>
      </w:r>
      <w:r w:rsidR="008F5D7B">
        <w:rPr>
          <w:rFonts w:asciiTheme="minorHAnsi" w:hAnsiTheme="minorHAnsi"/>
          <w:b/>
        </w:rPr>
        <w:t xml:space="preserve">. </w:t>
      </w:r>
      <w:r w:rsidR="007265AE" w:rsidRPr="002F2828">
        <w:rPr>
          <w:rFonts w:asciiTheme="minorHAnsi" w:hAnsiTheme="minorHAnsi"/>
          <w:b/>
        </w:rPr>
        <w:t xml:space="preserve">This is expected to occur by the end of </w:t>
      </w:r>
      <w:r w:rsidR="0005720D">
        <w:rPr>
          <w:rFonts w:asciiTheme="minorHAnsi" w:hAnsiTheme="minorHAnsi"/>
          <w:b/>
        </w:rPr>
        <w:t>August</w:t>
      </w:r>
      <w:r w:rsidR="0005720D" w:rsidRPr="002F2828">
        <w:rPr>
          <w:rFonts w:asciiTheme="minorHAnsi" w:hAnsiTheme="minorHAnsi"/>
          <w:b/>
        </w:rPr>
        <w:t xml:space="preserve"> </w:t>
      </w:r>
      <w:r w:rsidR="007265AE" w:rsidRPr="002F2828">
        <w:rPr>
          <w:rFonts w:asciiTheme="minorHAnsi" w:hAnsiTheme="minorHAnsi"/>
          <w:b/>
        </w:rPr>
        <w:t>2012.</w:t>
      </w:r>
    </w:p>
    <w:p w:rsidR="00B200F7" w:rsidRPr="002F2828" w:rsidRDefault="00B200F7" w:rsidP="0084688E">
      <w:pPr>
        <w:tabs>
          <w:tab w:val="left" w:pos="1134"/>
          <w:tab w:val="left" w:pos="2835"/>
        </w:tabs>
        <w:spacing w:line="264" w:lineRule="auto"/>
        <w:rPr>
          <w:rFonts w:asciiTheme="minorHAnsi" w:hAnsiTheme="minorHAnsi"/>
        </w:rPr>
      </w:pPr>
    </w:p>
    <w:p w:rsidR="00B200F7" w:rsidRPr="002F2828" w:rsidRDefault="00B200F7" w:rsidP="00B200F7">
      <w:pPr>
        <w:tabs>
          <w:tab w:val="left" w:pos="1134"/>
          <w:tab w:val="left" w:pos="2835"/>
        </w:tabs>
        <w:rPr>
          <w:rFonts w:asciiTheme="minorHAnsi" w:hAnsiTheme="minorHAnsi"/>
        </w:rPr>
      </w:pPr>
    </w:p>
    <w:p w:rsidR="006112C5" w:rsidRPr="002F2828" w:rsidRDefault="00B200F7" w:rsidP="00B200F7">
      <w:pPr>
        <w:rPr>
          <w:rFonts w:asciiTheme="minorHAnsi" w:hAnsiTheme="minorHAnsi"/>
        </w:rPr>
      </w:pPr>
      <w:r w:rsidRPr="002F2828">
        <w:rPr>
          <w:rFonts w:asciiTheme="minorHAnsi" w:hAnsiTheme="minorHAnsi"/>
        </w:rPr>
        <w:t xml:space="preserve">Date of Decision:  [xx </w:t>
      </w:r>
      <w:proofErr w:type="spellStart"/>
      <w:r w:rsidRPr="002F2828">
        <w:rPr>
          <w:rFonts w:asciiTheme="minorHAnsi" w:hAnsiTheme="minorHAnsi"/>
        </w:rPr>
        <w:t>xxxxxxx</w:t>
      </w:r>
      <w:proofErr w:type="spellEnd"/>
      <w:r w:rsidRPr="002F2828">
        <w:rPr>
          <w:rFonts w:asciiTheme="minorHAnsi" w:hAnsiTheme="minorHAnsi"/>
        </w:rPr>
        <w:t xml:space="preserve"> 2012]</w:t>
      </w:r>
    </w:p>
    <w:p w:rsidR="00B200F7" w:rsidRPr="002F2828" w:rsidRDefault="00B200F7" w:rsidP="00B200F7">
      <w:pPr>
        <w:rPr>
          <w:rFonts w:asciiTheme="minorHAnsi" w:hAnsiTheme="minorHAnsi"/>
        </w:rPr>
      </w:pPr>
    </w:p>
    <w:p w:rsidR="000E0ED7" w:rsidRPr="002F2828" w:rsidRDefault="000E0ED7">
      <w:pPr>
        <w:rPr>
          <w:rFonts w:asciiTheme="minorHAnsi" w:hAnsiTheme="minorHAnsi"/>
        </w:rPr>
        <w:sectPr w:rsidR="000E0ED7" w:rsidRPr="002F2828" w:rsidSect="00223E26">
          <w:headerReference w:type="even" r:id="rId8"/>
          <w:headerReference w:type="default" r:id="rId9"/>
          <w:footerReference w:type="even" r:id="rId10"/>
          <w:footerReference w:type="default" r:id="rId11"/>
          <w:headerReference w:type="first" r:id="rId12"/>
          <w:footerReference w:type="first" r:id="rId13"/>
          <w:pgSz w:w="11907" w:h="16840" w:code="9"/>
          <w:pgMar w:top="1440" w:right="1440" w:bottom="1440" w:left="1440" w:header="1134" w:footer="431" w:gutter="0"/>
          <w:cols w:space="720"/>
          <w:titlePg/>
        </w:sectPr>
      </w:pPr>
    </w:p>
    <w:p w:rsidR="00B200F7" w:rsidRPr="002F2828" w:rsidRDefault="00B200F7" w:rsidP="006927B6">
      <w:pPr>
        <w:pStyle w:val="Heading2"/>
        <w:rPr>
          <w:lang w:eastAsia="en-GB"/>
        </w:rPr>
      </w:pPr>
      <w:bookmarkStart w:id="1" w:name="_Toc314479878"/>
      <w:r w:rsidRPr="002F2828">
        <w:rPr>
          <w:lang w:eastAsia="en-GB"/>
        </w:rPr>
        <w:lastRenderedPageBreak/>
        <w:t>COMMERCE ACT (GAS DISTRIBUTION SERVICES</w:t>
      </w:r>
      <w:r w:rsidR="00621AB7" w:rsidRPr="002F2828">
        <w:rPr>
          <w:lang w:eastAsia="en-GB"/>
        </w:rPr>
        <w:t xml:space="preserve"> </w:t>
      </w:r>
      <w:r w:rsidRPr="002F2828">
        <w:rPr>
          <w:lang w:eastAsia="en-GB"/>
        </w:rPr>
        <w:t>INFORMATION DISCLOSURE) DETERMINATION 2012</w:t>
      </w:r>
      <w:bookmarkEnd w:id="1"/>
    </w:p>
    <w:p w:rsidR="00B200F7" w:rsidRPr="002F2828" w:rsidRDefault="00B200F7" w:rsidP="00C80BBC">
      <w:pPr>
        <w:pStyle w:val="ChapterHeading"/>
        <w:numPr>
          <w:ilvl w:val="0"/>
          <w:numId w:val="0"/>
        </w:numPr>
        <w:tabs>
          <w:tab w:val="left" w:pos="720"/>
        </w:tabs>
        <w:spacing w:before="0" w:after="0"/>
        <w:rPr>
          <w:rFonts w:asciiTheme="minorHAnsi" w:hAnsiTheme="minorHAnsi"/>
          <w:b w:val="0"/>
          <w:sz w:val="24"/>
          <w:szCs w:val="24"/>
          <w:lang w:eastAsia="en-GB"/>
        </w:rPr>
      </w:pPr>
    </w:p>
    <w:p w:rsidR="00C80BBC" w:rsidRPr="002F2828" w:rsidRDefault="00C80BBC" w:rsidP="00C80BBC">
      <w:pPr>
        <w:pStyle w:val="ChapterHeading"/>
        <w:numPr>
          <w:ilvl w:val="0"/>
          <w:numId w:val="0"/>
        </w:numPr>
        <w:tabs>
          <w:tab w:val="left" w:pos="720"/>
        </w:tabs>
        <w:spacing w:before="0" w:after="0"/>
        <w:rPr>
          <w:rFonts w:asciiTheme="minorHAnsi" w:hAnsiTheme="minorHAnsi"/>
          <w:b w:val="0"/>
          <w:sz w:val="24"/>
          <w:szCs w:val="24"/>
          <w:lang w:eastAsia="en-GB"/>
        </w:rPr>
      </w:pPr>
    </w:p>
    <w:p w:rsidR="00A84D28" w:rsidRDefault="00004445">
      <w:pPr>
        <w:pStyle w:val="TOC1"/>
        <w:rPr>
          <w:rFonts w:eastAsiaTheme="minorEastAsia" w:cstheme="minorBidi"/>
          <w:b w:val="0"/>
          <w:sz w:val="22"/>
          <w:szCs w:val="22"/>
          <w:lang w:eastAsia="en-NZ"/>
        </w:rPr>
      </w:pPr>
      <w:r w:rsidRPr="00004445">
        <w:fldChar w:fldCharType="begin"/>
      </w:r>
      <w:r w:rsidR="006927B6">
        <w:instrText xml:space="preserve"> TOC \h \z \t "Heading 1,1,Heading H2,1,Heading H3: Section Heading,1,Style Heading 3 + +Body,3" </w:instrText>
      </w:r>
      <w:r w:rsidRPr="00004445">
        <w:fldChar w:fldCharType="separate"/>
      </w:r>
      <w:hyperlink w:anchor="_Toc329301616" w:history="1">
        <w:r w:rsidR="00A84D28" w:rsidRPr="00016158">
          <w:rPr>
            <w:rStyle w:val="Hyperlink"/>
            <w:rFonts w:ascii="Calibri Bold" w:hAnsi="Calibri Bold"/>
          </w:rPr>
          <w:t>PART 1</w:t>
        </w:r>
        <w:r w:rsidR="00A84D28">
          <w:rPr>
            <w:rFonts w:eastAsiaTheme="minorEastAsia" w:cstheme="minorBidi"/>
            <w:b w:val="0"/>
            <w:sz w:val="22"/>
            <w:szCs w:val="22"/>
            <w:lang w:eastAsia="en-NZ"/>
          </w:rPr>
          <w:tab/>
        </w:r>
        <w:r w:rsidR="00A84D28" w:rsidRPr="00016158">
          <w:rPr>
            <w:rStyle w:val="Hyperlink"/>
          </w:rPr>
          <w:t>GENERAL PROVISIONS</w:t>
        </w:r>
        <w:r w:rsidR="00A84D28">
          <w:rPr>
            <w:webHidden/>
          </w:rPr>
          <w:tab/>
        </w:r>
        <w:r w:rsidR="00A84D28">
          <w:rPr>
            <w:webHidden/>
          </w:rPr>
          <w:fldChar w:fldCharType="begin"/>
        </w:r>
        <w:r w:rsidR="00A84D28">
          <w:rPr>
            <w:webHidden/>
          </w:rPr>
          <w:instrText xml:space="preserve"> PAGEREF _Toc329301616 \h </w:instrText>
        </w:r>
        <w:r w:rsidR="00A84D28">
          <w:rPr>
            <w:webHidden/>
          </w:rPr>
        </w:r>
        <w:r w:rsidR="00A84D28">
          <w:rPr>
            <w:webHidden/>
          </w:rPr>
          <w:fldChar w:fldCharType="separate"/>
        </w:r>
        <w:r w:rsidR="00A84D28">
          <w:rPr>
            <w:webHidden/>
          </w:rPr>
          <w:t>5</w:t>
        </w:r>
        <w:r w:rsidR="00A84D28">
          <w:rPr>
            <w:webHidden/>
          </w:rPr>
          <w:fldChar w:fldCharType="end"/>
        </w:r>
      </w:hyperlink>
    </w:p>
    <w:p w:rsidR="00A84D28" w:rsidRDefault="00A84D28">
      <w:pPr>
        <w:pStyle w:val="TOC1"/>
        <w:rPr>
          <w:rFonts w:eastAsiaTheme="minorEastAsia" w:cstheme="minorBidi"/>
          <w:b w:val="0"/>
          <w:sz w:val="22"/>
          <w:szCs w:val="22"/>
          <w:lang w:eastAsia="en-NZ"/>
        </w:rPr>
      </w:pPr>
      <w:hyperlink w:anchor="_Toc329301617" w:history="1">
        <w:r w:rsidRPr="00016158">
          <w:rPr>
            <w:rStyle w:val="Hyperlink"/>
            <w:rFonts w:ascii="Calibri Bold" w:hAnsi="Calibri Bold"/>
          </w:rPr>
          <w:t>1.1</w:t>
        </w:r>
        <w:r>
          <w:rPr>
            <w:rFonts w:eastAsiaTheme="minorEastAsia" w:cstheme="minorBidi"/>
            <w:b w:val="0"/>
            <w:sz w:val="22"/>
            <w:szCs w:val="22"/>
            <w:lang w:eastAsia="en-NZ"/>
          </w:rPr>
          <w:tab/>
        </w:r>
        <w:r w:rsidRPr="00016158">
          <w:rPr>
            <w:rStyle w:val="Hyperlink"/>
          </w:rPr>
          <w:t>TITLE</w:t>
        </w:r>
        <w:r>
          <w:rPr>
            <w:webHidden/>
          </w:rPr>
          <w:tab/>
        </w:r>
        <w:r>
          <w:rPr>
            <w:webHidden/>
          </w:rPr>
          <w:fldChar w:fldCharType="begin"/>
        </w:r>
        <w:r>
          <w:rPr>
            <w:webHidden/>
          </w:rPr>
          <w:instrText xml:space="preserve"> PAGEREF _Toc329301617 \h </w:instrText>
        </w:r>
        <w:r>
          <w:rPr>
            <w:webHidden/>
          </w:rPr>
        </w:r>
        <w:r>
          <w:rPr>
            <w:webHidden/>
          </w:rPr>
          <w:fldChar w:fldCharType="separate"/>
        </w:r>
        <w:r>
          <w:rPr>
            <w:webHidden/>
          </w:rPr>
          <w:t>5</w:t>
        </w:r>
        <w:r>
          <w:rPr>
            <w:webHidden/>
          </w:rPr>
          <w:fldChar w:fldCharType="end"/>
        </w:r>
      </w:hyperlink>
    </w:p>
    <w:p w:rsidR="00A84D28" w:rsidRDefault="00A84D28">
      <w:pPr>
        <w:pStyle w:val="TOC1"/>
        <w:rPr>
          <w:rFonts w:eastAsiaTheme="minorEastAsia" w:cstheme="minorBidi"/>
          <w:b w:val="0"/>
          <w:sz w:val="22"/>
          <w:szCs w:val="22"/>
          <w:lang w:eastAsia="en-NZ"/>
        </w:rPr>
      </w:pPr>
      <w:hyperlink w:anchor="_Toc329301618" w:history="1">
        <w:r w:rsidRPr="00016158">
          <w:rPr>
            <w:rStyle w:val="Hyperlink"/>
            <w:rFonts w:ascii="Calibri Bold" w:hAnsi="Calibri Bold"/>
          </w:rPr>
          <w:t>1.2</w:t>
        </w:r>
        <w:r>
          <w:rPr>
            <w:rFonts w:eastAsiaTheme="minorEastAsia" w:cstheme="minorBidi"/>
            <w:b w:val="0"/>
            <w:sz w:val="22"/>
            <w:szCs w:val="22"/>
            <w:lang w:eastAsia="en-NZ"/>
          </w:rPr>
          <w:tab/>
        </w:r>
        <w:r w:rsidRPr="00016158">
          <w:rPr>
            <w:rStyle w:val="Hyperlink"/>
          </w:rPr>
          <w:t>COMMENCEMENT DATE</w:t>
        </w:r>
        <w:r>
          <w:rPr>
            <w:webHidden/>
          </w:rPr>
          <w:tab/>
        </w:r>
        <w:r>
          <w:rPr>
            <w:webHidden/>
          </w:rPr>
          <w:fldChar w:fldCharType="begin"/>
        </w:r>
        <w:r>
          <w:rPr>
            <w:webHidden/>
          </w:rPr>
          <w:instrText xml:space="preserve"> PAGEREF _Toc329301618 \h </w:instrText>
        </w:r>
        <w:r>
          <w:rPr>
            <w:webHidden/>
          </w:rPr>
        </w:r>
        <w:r>
          <w:rPr>
            <w:webHidden/>
          </w:rPr>
          <w:fldChar w:fldCharType="separate"/>
        </w:r>
        <w:r>
          <w:rPr>
            <w:webHidden/>
          </w:rPr>
          <w:t>5</w:t>
        </w:r>
        <w:r>
          <w:rPr>
            <w:webHidden/>
          </w:rPr>
          <w:fldChar w:fldCharType="end"/>
        </w:r>
      </w:hyperlink>
    </w:p>
    <w:p w:rsidR="00A84D28" w:rsidRDefault="00A84D28">
      <w:pPr>
        <w:pStyle w:val="TOC1"/>
        <w:rPr>
          <w:rFonts w:eastAsiaTheme="minorEastAsia" w:cstheme="minorBidi"/>
          <w:b w:val="0"/>
          <w:sz w:val="22"/>
          <w:szCs w:val="22"/>
          <w:lang w:eastAsia="en-NZ"/>
        </w:rPr>
      </w:pPr>
      <w:hyperlink w:anchor="_Toc329301619" w:history="1">
        <w:r w:rsidRPr="00016158">
          <w:rPr>
            <w:rStyle w:val="Hyperlink"/>
            <w:rFonts w:ascii="Calibri Bold" w:hAnsi="Calibri Bold"/>
          </w:rPr>
          <w:t>1.3</w:t>
        </w:r>
        <w:r>
          <w:rPr>
            <w:rFonts w:eastAsiaTheme="minorEastAsia" w:cstheme="minorBidi"/>
            <w:b w:val="0"/>
            <w:sz w:val="22"/>
            <w:szCs w:val="22"/>
            <w:lang w:eastAsia="en-NZ"/>
          </w:rPr>
          <w:tab/>
        </w:r>
        <w:r w:rsidRPr="00016158">
          <w:rPr>
            <w:rStyle w:val="Hyperlink"/>
          </w:rPr>
          <w:t>APPLICATION</w:t>
        </w:r>
        <w:r>
          <w:rPr>
            <w:webHidden/>
          </w:rPr>
          <w:tab/>
        </w:r>
        <w:r>
          <w:rPr>
            <w:webHidden/>
          </w:rPr>
          <w:fldChar w:fldCharType="begin"/>
        </w:r>
        <w:r>
          <w:rPr>
            <w:webHidden/>
          </w:rPr>
          <w:instrText xml:space="preserve"> PAGEREF _Toc329301619 \h </w:instrText>
        </w:r>
        <w:r>
          <w:rPr>
            <w:webHidden/>
          </w:rPr>
        </w:r>
        <w:r>
          <w:rPr>
            <w:webHidden/>
          </w:rPr>
          <w:fldChar w:fldCharType="separate"/>
        </w:r>
        <w:r>
          <w:rPr>
            <w:webHidden/>
          </w:rPr>
          <w:t>5</w:t>
        </w:r>
        <w:r>
          <w:rPr>
            <w:webHidden/>
          </w:rPr>
          <w:fldChar w:fldCharType="end"/>
        </w:r>
      </w:hyperlink>
    </w:p>
    <w:p w:rsidR="00A84D28" w:rsidRDefault="00A84D28">
      <w:pPr>
        <w:pStyle w:val="TOC1"/>
        <w:rPr>
          <w:rFonts w:eastAsiaTheme="minorEastAsia" w:cstheme="minorBidi"/>
          <w:b w:val="0"/>
          <w:sz w:val="22"/>
          <w:szCs w:val="22"/>
          <w:lang w:eastAsia="en-NZ"/>
        </w:rPr>
      </w:pPr>
      <w:hyperlink w:anchor="_Toc329301620" w:history="1">
        <w:r w:rsidRPr="00016158">
          <w:rPr>
            <w:rStyle w:val="Hyperlink"/>
            <w:rFonts w:ascii="Calibri Bold" w:hAnsi="Calibri Bold" w:cs="Arial"/>
          </w:rPr>
          <w:t>1.4</w:t>
        </w:r>
        <w:r>
          <w:rPr>
            <w:rFonts w:eastAsiaTheme="minorEastAsia" w:cstheme="minorBidi"/>
            <w:b w:val="0"/>
            <w:sz w:val="22"/>
            <w:szCs w:val="22"/>
            <w:lang w:eastAsia="en-NZ"/>
          </w:rPr>
          <w:tab/>
        </w:r>
        <w:r w:rsidRPr="00016158">
          <w:rPr>
            <w:rStyle w:val="Hyperlink"/>
          </w:rPr>
          <w:t>INTERPRETATION</w:t>
        </w:r>
        <w:r>
          <w:rPr>
            <w:webHidden/>
          </w:rPr>
          <w:tab/>
        </w:r>
        <w:r>
          <w:rPr>
            <w:webHidden/>
          </w:rPr>
          <w:fldChar w:fldCharType="begin"/>
        </w:r>
        <w:r>
          <w:rPr>
            <w:webHidden/>
          </w:rPr>
          <w:instrText xml:space="preserve"> PAGEREF _Toc329301620 \h </w:instrText>
        </w:r>
        <w:r>
          <w:rPr>
            <w:webHidden/>
          </w:rPr>
        </w:r>
        <w:r>
          <w:rPr>
            <w:webHidden/>
          </w:rPr>
          <w:fldChar w:fldCharType="separate"/>
        </w:r>
        <w:r>
          <w:rPr>
            <w:webHidden/>
          </w:rPr>
          <w:t>5</w:t>
        </w:r>
        <w:r>
          <w:rPr>
            <w:webHidden/>
          </w:rPr>
          <w:fldChar w:fldCharType="end"/>
        </w:r>
      </w:hyperlink>
    </w:p>
    <w:p w:rsidR="00A84D28" w:rsidRDefault="00A84D28">
      <w:pPr>
        <w:pStyle w:val="TOC1"/>
        <w:rPr>
          <w:rFonts w:eastAsiaTheme="minorEastAsia" w:cstheme="minorBidi"/>
          <w:b w:val="0"/>
          <w:sz w:val="22"/>
          <w:szCs w:val="22"/>
          <w:lang w:eastAsia="en-NZ"/>
        </w:rPr>
      </w:pPr>
      <w:hyperlink w:anchor="_Toc329301621" w:history="1">
        <w:r w:rsidRPr="00016158">
          <w:rPr>
            <w:rStyle w:val="Hyperlink"/>
            <w:rFonts w:ascii="Calibri Bold" w:hAnsi="Calibri Bold"/>
          </w:rPr>
          <w:t>PART 2</w:t>
        </w:r>
        <w:r>
          <w:rPr>
            <w:rFonts w:eastAsiaTheme="minorEastAsia" w:cstheme="minorBidi"/>
            <w:b w:val="0"/>
            <w:sz w:val="22"/>
            <w:szCs w:val="22"/>
            <w:lang w:eastAsia="en-NZ"/>
          </w:rPr>
          <w:tab/>
        </w:r>
        <w:r w:rsidRPr="00016158">
          <w:rPr>
            <w:rStyle w:val="Hyperlink"/>
          </w:rPr>
          <w:t>DISCLOSURE REQUIREMENTS</w:t>
        </w:r>
        <w:r>
          <w:rPr>
            <w:webHidden/>
          </w:rPr>
          <w:tab/>
        </w:r>
        <w:r>
          <w:rPr>
            <w:webHidden/>
          </w:rPr>
          <w:fldChar w:fldCharType="begin"/>
        </w:r>
        <w:r>
          <w:rPr>
            <w:webHidden/>
          </w:rPr>
          <w:instrText xml:space="preserve"> PAGEREF _Toc329301621 \h </w:instrText>
        </w:r>
        <w:r>
          <w:rPr>
            <w:webHidden/>
          </w:rPr>
        </w:r>
        <w:r>
          <w:rPr>
            <w:webHidden/>
          </w:rPr>
          <w:fldChar w:fldCharType="separate"/>
        </w:r>
        <w:r>
          <w:rPr>
            <w:webHidden/>
          </w:rPr>
          <w:t>22</w:t>
        </w:r>
        <w:r>
          <w:rPr>
            <w:webHidden/>
          </w:rPr>
          <w:fldChar w:fldCharType="end"/>
        </w:r>
      </w:hyperlink>
    </w:p>
    <w:p w:rsidR="00A84D28" w:rsidRDefault="00A84D28">
      <w:pPr>
        <w:pStyle w:val="TOC1"/>
        <w:rPr>
          <w:rFonts w:eastAsiaTheme="minorEastAsia" w:cstheme="minorBidi"/>
          <w:b w:val="0"/>
          <w:sz w:val="22"/>
          <w:szCs w:val="22"/>
          <w:lang w:eastAsia="en-NZ"/>
        </w:rPr>
      </w:pPr>
      <w:hyperlink w:anchor="_Toc329301622" w:history="1">
        <w:r w:rsidRPr="00016158">
          <w:rPr>
            <w:rStyle w:val="Hyperlink"/>
            <w:rFonts w:ascii="Calibri Bold" w:hAnsi="Calibri Bold"/>
          </w:rPr>
          <w:t>2.1</w:t>
        </w:r>
        <w:r>
          <w:rPr>
            <w:rFonts w:eastAsiaTheme="minorEastAsia" w:cstheme="minorBidi"/>
            <w:b w:val="0"/>
            <w:sz w:val="22"/>
            <w:szCs w:val="22"/>
            <w:lang w:eastAsia="en-NZ"/>
          </w:rPr>
          <w:tab/>
        </w:r>
        <w:r w:rsidRPr="00016158">
          <w:rPr>
            <w:rStyle w:val="Hyperlink"/>
          </w:rPr>
          <w:t>INFORMATION DISCLOSURE</w:t>
        </w:r>
        <w:r>
          <w:rPr>
            <w:webHidden/>
          </w:rPr>
          <w:tab/>
        </w:r>
        <w:r>
          <w:rPr>
            <w:webHidden/>
          </w:rPr>
          <w:fldChar w:fldCharType="begin"/>
        </w:r>
        <w:r>
          <w:rPr>
            <w:webHidden/>
          </w:rPr>
          <w:instrText xml:space="preserve"> PAGEREF _Toc329301622 \h </w:instrText>
        </w:r>
        <w:r>
          <w:rPr>
            <w:webHidden/>
          </w:rPr>
        </w:r>
        <w:r>
          <w:rPr>
            <w:webHidden/>
          </w:rPr>
          <w:fldChar w:fldCharType="separate"/>
        </w:r>
        <w:r>
          <w:rPr>
            <w:webHidden/>
          </w:rPr>
          <w:t>22</w:t>
        </w:r>
        <w:r>
          <w:rPr>
            <w:webHidden/>
          </w:rPr>
          <w:fldChar w:fldCharType="end"/>
        </w:r>
      </w:hyperlink>
    </w:p>
    <w:p w:rsidR="00A84D28" w:rsidRDefault="00A84D28">
      <w:pPr>
        <w:pStyle w:val="TOC1"/>
        <w:rPr>
          <w:rFonts w:eastAsiaTheme="minorEastAsia" w:cstheme="minorBidi"/>
          <w:b w:val="0"/>
          <w:sz w:val="22"/>
          <w:szCs w:val="22"/>
          <w:lang w:eastAsia="en-NZ"/>
        </w:rPr>
      </w:pPr>
      <w:hyperlink w:anchor="_Toc329301623" w:history="1">
        <w:r w:rsidRPr="00016158">
          <w:rPr>
            <w:rStyle w:val="Hyperlink"/>
            <w:rFonts w:ascii="Calibri Bold" w:hAnsi="Calibri Bold"/>
          </w:rPr>
          <w:t>2.2</w:t>
        </w:r>
        <w:r>
          <w:rPr>
            <w:rFonts w:eastAsiaTheme="minorEastAsia" w:cstheme="minorBidi"/>
            <w:b w:val="0"/>
            <w:sz w:val="22"/>
            <w:szCs w:val="22"/>
            <w:lang w:eastAsia="en-NZ"/>
          </w:rPr>
          <w:tab/>
        </w:r>
        <w:r w:rsidRPr="00016158">
          <w:rPr>
            <w:rStyle w:val="Hyperlink"/>
          </w:rPr>
          <w:t>APPLICABLE INPUT METHODOLOGIES</w:t>
        </w:r>
        <w:r>
          <w:rPr>
            <w:webHidden/>
          </w:rPr>
          <w:tab/>
        </w:r>
        <w:r>
          <w:rPr>
            <w:webHidden/>
          </w:rPr>
          <w:fldChar w:fldCharType="begin"/>
        </w:r>
        <w:r>
          <w:rPr>
            <w:webHidden/>
          </w:rPr>
          <w:instrText xml:space="preserve"> PAGEREF _Toc329301623 \h </w:instrText>
        </w:r>
        <w:r>
          <w:rPr>
            <w:webHidden/>
          </w:rPr>
        </w:r>
        <w:r>
          <w:rPr>
            <w:webHidden/>
          </w:rPr>
          <w:fldChar w:fldCharType="separate"/>
        </w:r>
        <w:r>
          <w:rPr>
            <w:webHidden/>
          </w:rPr>
          <w:t>22</w:t>
        </w:r>
        <w:r>
          <w:rPr>
            <w:webHidden/>
          </w:rPr>
          <w:fldChar w:fldCharType="end"/>
        </w:r>
      </w:hyperlink>
    </w:p>
    <w:p w:rsidR="00A84D28" w:rsidRDefault="00A84D28">
      <w:pPr>
        <w:pStyle w:val="TOC1"/>
        <w:rPr>
          <w:rFonts w:eastAsiaTheme="minorEastAsia" w:cstheme="minorBidi"/>
          <w:b w:val="0"/>
          <w:sz w:val="22"/>
          <w:szCs w:val="22"/>
          <w:lang w:eastAsia="en-NZ"/>
        </w:rPr>
      </w:pPr>
      <w:hyperlink w:anchor="_Toc329301624" w:history="1">
        <w:r w:rsidRPr="00016158">
          <w:rPr>
            <w:rStyle w:val="Hyperlink"/>
            <w:rFonts w:ascii="Calibri Bold" w:hAnsi="Calibri Bold"/>
          </w:rPr>
          <w:t>2.3</w:t>
        </w:r>
        <w:r>
          <w:rPr>
            <w:rFonts w:eastAsiaTheme="minorEastAsia" w:cstheme="minorBidi"/>
            <w:b w:val="0"/>
            <w:sz w:val="22"/>
            <w:szCs w:val="22"/>
            <w:lang w:eastAsia="en-NZ"/>
          </w:rPr>
          <w:tab/>
        </w:r>
        <w:r w:rsidRPr="00016158">
          <w:rPr>
            <w:rStyle w:val="Hyperlink"/>
          </w:rPr>
          <w:t>FINANCIAL INFORMATION FOR THE DISCLOSURE YEAR</w:t>
        </w:r>
        <w:r>
          <w:rPr>
            <w:webHidden/>
          </w:rPr>
          <w:tab/>
        </w:r>
        <w:r>
          <w:rPr>
            <w:webHidden/>
          </w:rPr>
          <w:fldChar w:fldCharType="begin"/>
        </w:r>
        <w:r>
          <w:rPr>
            <w:webHidden/>
          </w:rPr>
          <w:instrText xml:space="preserve"> PAGEREF _Toc329301624 \h </w:instrText>
        </w:r>
        <w:r>
          <w:rPr>
            <w:webHidden/>
          </w:rPr>
        </w:r>
        <w:r>
          <w:rPr>
            <w:webHidden/>
          </w:rPr>
          <w:fldChar w:fldCharType="separate"/>
        </w:r>
        <w:r>
          <w:rPr>
            <w:webHidden/>
          </w:rPr>
          <w:t>23</w:t>
        </w:r>
        <w:r>
          <w:rPr>
            <w:webHidden/>
          </w:rPr>
          <w:fldChar w:fldCharType="end"/>
        </w:r>
      </w:hyperlink>
    </w:p>
    <w:p w:rsidR="00A84D28" w:rsidRDefault="00A84D28">
      <w:pPr>
        <w:pStyle w:val="TOC1"/>
        <w:rPr>
          <w:rFonts w:eastAsiaTheme="minorEastAsia" w:cstheme="minorBidi"/>
          <w:b w:val="0"/>
          <w:sz w:val="22"/>
          <w:szCs w:val="22"/>
          <w:lang w:eastAsia="en-NZ"/>
        </w:rPr>
      </w:pPr>
      <w:hyperlink w:anchor="_Toc329301625" w:history="1">
        <w:r w:rsidRPr="00016158">
          <w:rPr>
            <w:rStyle w:val="Hyperlink"/>
            <w:rFonts w:ascii="Calibri Bold" w:hAnsi="Calibri Bold"/>
          </w:rPr>
          <w:t>2.4</w:t>
        </w:r>
        <w:r>
          <w:rPr>
            <w:rFonts w:eastAsiaTheme="minorEastAsia" w:cstheme="minorBidi"/>
            <w:b w:val="0"/>
            <w:sz w:val="22"/>
            <w:szCs w:val="22"/>
            <w:lang w:eastAsia="en-NZ"/>
          </w:rPr>
          <w:tab/>
        </w:r>
        <w:r w:rsidRPr="00016158">
          <w:rPr>
            <w:rStyle w:val="Hyperlink"/>
          </w:rPr>
          <w:t>PRICING AND RELATED INFORMATION</w:t>
        </w:r>
        <w:r>
          <w:rPr>
            <w:webHidden/>
          </w:rPr>
          <w:tab/>
        </w:r>
        <w:r>
          <w:rPr>
            <w:webHidden/>
          </w:rPr>
          <w:fldChar w:fldCharType="begin"/>
        </w:r>
        <w:r>
          <w:rPr>
            <w:webHidden/>
          </w:rPr>
          <w:instrText xml:space="preserve"> PAGEREF _Toc329301625 \h </w:instrText>
        </w:r>
        <w:r>
          <w:rPr>
            <w:webHidden/>
          </w:rPr>
        </w:r>
        <w:r>
          <w:rPr>
            <w:webHidden/>
          </w:rPr>
          <w:fldChar w:fldCharType="separate"/>
        </w:r>
        <w:r>
          <w:rPr>
            <w:webHidden/>
          </w:rPr>
          <w:t>28</w:t>
        </w:r>
        <w:r>
          <w:rPr>
            <w:webHidden/>
          </w:rPr>
          <w:fldChar w:fldCharType="end"/>
        </w:r>
      </w:hyperlink>
    </w:p>
    <w:p w:rsidR="00A84D28" w:rsidRDefault="00A84D28">
      <w:pPr>
        <w:pStyle w:val="TOC1"/>
        <w:rPr>
          <w:rFonts w:eastAsiaTheme="minorEastAsia" w:cstheme="minorBidi"/>
          <w:b w:val="0"/>
          <w:sz w:val="22"/>
          <w:szCs w:val="22"/>
          <w:lang w:eastAsia="en-NZ"/>
        </w:rPr>
      </w:pPr>
      <w:hyperlink w:anchor="_Toc329301626" w:history="1">
        <w:r w:rsidRPr="00016158">
          <w:rPr>
            <w:rStyle w:val="Hyperlink"/>
            <w:rFonts w:ascii="Calibri Bold" w:hAnsi="Calibri Bold"/>
          </w:rPr>
          <w:t>2.5</w:t>
        </w:r>
        <w:r>
          <w:rPr>
            <w:rFonts w:eastAsiaTheme="minorEastAsia" w:cstheme="minorBidi"/>
            <w:b w:val="0"/>
            <w:sz w:val="22"/>
            <w:szCs w:val="22"/>
            <w:lang w:eastAsia="en-NZ"/>
          </w:rPr>
          <w:tab/>
        </w:r>
        <w:r w:rsidRPr="00016158">
          <w:rPr>
            <w:rStyle w:val="Hyperlink"/>
          </w:rPr>
          <w:t>NON-FINANCIAL INFORMATION RELATED TO NETWORK ASSETS</w:t>
        </w:r>
        <w:r>
          <w:rPr>
            <w:webHidden/>
          </w:rPr>
          <w:tab/>
        </w:r>
        <w:r>
          <w:rPr>
            <w:webHidden/>
          </w:rPr>
          <w:fldChar w:fldCharType="begin"/>
        </w:r>
        <w:r>
          <w:rPr>
            <w:webHidden/>
          </w:rPr>
          <w:instrText xml:space="preserve"> PAGEREF _Toc329301626 \h </w:instrText>
        </w:r>
        <w:r>
          <w:rPr>
            <w:webHidden/>
          </w:rPr>
        </w:r>
        <w:r>
          <w:rPr>
            <w:webHidden/>
          </w:rPr>
          <w:fldChar w:fldCharType="separate"/>
        </w:r>
        <w:r>
          <w:rPr>
            <w:webHidden/>
          </w:rPr>
          <w:t>35</w:t>
        </w:r>
        <w:r>
          <w:rPr>
            <w:webHidden/>
          </w:rPr>
          <w:fldChar w:fldCharType="end"/>
        </w:r>
      </w:hyperlink>
    </w:p>
    <w:p w:rsidR="00A84D28" w:rsidRDefault="00A84D28">
      <w:pPr>
        <w:pStyle w:val="TOC1"/>
        <w:rPr>
          <w:rFonts w:eastAsiaTheme="minorEastAsia" w:cstheme="minorBidi"/>
          <w:b w:val="0"/>
          <w:sz w:val="22"/>
          <w:szCs w:val="22"/>
          <w:lang w:eastAsia="en-NZ"/>
        </w:rPr>
      </w:pPr>
      <w:hyperlink w:anchor="_Toc329301627" w:history="1">
        <w:r w:rsidRPr="00016158">
          <w:rPr>
            <w:rStyle w:val="Hyperlink"/>
            <w:rFonts w:ascii="Calibri Bold" w:hAnsi="Calibri Bold"/>
          </w:rPr>
          <w:t>2.6</w:t>
        </w:r>
        <w:r>
          <w:rPr>
            <w:rFonts w:eastAsiaTheme="minorEastAsia" w:cstheme="minorBidi"/>
            <w:b w:val="0"/>
            <w:sz w:val="22"/>
            <w:szCs w:val="22"/>
            <w:lang w:eastAsia="en-NZ"/>
          </w:rPr>
          <w:tab/>
        </w:r>
        <w:r w:rsidRPr="00016158">
          <w:rPr>
            <w:rStyle w:val="Hyperlink"/>
          </w:rPr>
          <w:t>ASSET MANAGEMENT PLANS AND FORECAST INFORMATION</w:t>
        </w:r>
        <w:r>
          <w:rPr>
            <w:webHidden/>
          </w:rPr>
          <w:tab/>
        </w:r>
        <w:r>
          <w:rPr>
            <w:webHidden/>
          </w:rPr>
          <w:fldChar w:fldCharType="begin"/>
        </w:r>
        <w:r>
          <w:rPr>
            <w:webHidden/>
          </w:rPr>
          <w:instrText xml:space="preserve"> PAGEREF _Toc329301627 \h </w:instrText>
        </w:r>
        <w:r>
          <w:rPr>
            <w:webHidden/>
          </w:rPr>
        </w:r>
        <w:r>
          <w:rPr>
            <w:webHidden/>
          </w:rPr>
          <w:fldChar w:fldCharType="separate"/>
        </w:r>
        <w:r>
          <w:rPr>
            <w:webHidden/>
          </w:rPr>
          <w:t>36</w:t>
        </w:r>
        <w:r>
          <w:rPr>
            <w:webHidden/>
          </w:rPr>
          <w:fldChar w:fldCharType="end"/>
        </w:r>
      </w:hyperlink>
    </w:p>
    <w:p w:rsidR="00A84D28" w:rsidRDefault="00A84D28">
      <w:pPr>
        <w:pStyle w:val="TOC1"/>
        <w:rPr>
          <w:rFonts w:eastAsiaTheme="minorEastAsia" w:cstheme="minorBidi"/>
          <w:b w:val="0"/>
          <w:sz w:val="22"/>
          <w:szCs w:val="22"/>
          <w:lang w:eastAsia="en-NZ"/>
        </w:rPr>
      </w:pPr>
      <w:hyperlink w:anchor="_Toc329301628" w:history="1">
        <w:r w:rsidRPr="00016158">
          <w:rPr>
            <w:rStyle w:val="Hyperlink"/>
            <w:rFonts w:ascii="Calibri Bold" w:hAnsi="Calibri Bold"/>
          </w:rPr>
          <w:t>2.7</w:t>
        </w:r>
        <w:r>
          <w:rPr>
            <w:rFonts w:eastAsiaTheme="minorEastAsia" w:cstheme="minorBidi"/>
            <w:b w:val="0"/>
            <w:sz w:val="22"/>
            <w:szCs w:val="22"/>
            <w:lang w:eastAsia="en-NZ"/>
          </w:rPr>
          <w:tab/>
        </w:r>
        <w:r w:rsidRPr="00016158">
          <w:rPr>
            <w:rStyle w:val="Hyperlink"/>
          </w:rPr>
          <w:t>EXPLANATORY NOTES TO DISCLOSED INFORMATION</w:t>
        </w:r>
        <w:r>
          <w:rPr>
            <w:webHidden/>
          </w:rPr>
          <w:tab/>
        </w:r>
        <w:r>
          <w:rPr>
            <w:webHidden/>
          </w:rPr>
          <w:fldChar w:fldCharType="begin"/>
        </w:r>
        <w:r>
          <w:rPr>
            <w:webHidden/>
          </w:rPr>
          <w:instrText xml:space="preserve"> PAGEREF _Toc329301628 \h </w:instrText>
        </w:r>
        <w:r>
          <w:rPr>
            <w:webHidden/>
          </w:rPr>
        </w:r>
        <w:r>
          <w:rPr>
            <w:webHidden/>
          </w:rPr>
          <w:fldChar w:fldCharType="separate"/>
        </w:r>
        <w:r>
          <w:rPr>
            <w:webHidden/>
          </w:rPr>
          <w:t>38</w:t>
        </w:r>
        <w:r>
          <w:rPr>
            <w:webHidden/>
          </w:rPr>
          <w:fldChar w:fldCharType="end"/>
        </w:r>
      </w:hyperlink>
    </w:p>
    <w:p w:rsidR="00A84D28" w:rsidRDefault="00A84D28">
      <w:pPr>
        <w:pStyle w:val="TOC1"/>
        <w:rPr>
          <w:rFonts w:eastAsiaTheme="minorEastAsia" w:cstheme="minorBidi"/>
          <w:b w:val="0"/>
          <w:sz w:val="22"/>
          <w:szCs w:val="22"/>
          <w:lang w:eastAsia="en-NZ"/>
        </w:rPr>
      </w:pPr>
      <w:hyperlink w:anchor="_Toc329301629" w:history="1">
        <w:r w:rsidRPr="00016158">
          <w:rPr>
            <w:rStyle w:val="Hyperlink"/>
            <w:rFonts w:ascii="Calibri Bold" w:hAnsi="Calibri Bold"/>
          </w:rPr>
          <w:t>2.8</w:t>
        </w:r>
        <w:r>
          <w:rPr>
            <w:rFonts w:eastAsiaTheme="minorEastAsia" w:cstheme="minorBidi"/>
            <w:b w:val="0"/>
            <w:sz w:val="22"/>
            <w:szCs w:val="22"/>
            <w:lang w:eastAsia="en-NZ"/>
          </w:rPr>
          <w:tab/>
        </w:r>
        <w:r w:rsidRPr="00016158">
          <w:rPr>
            <w:rStyle w:val="Hyperlink"/>
          </w:rPr>
          <w:t>ASSURANCE REPORTS</w:t>
        </w:r>
        <w:r>
          <w:rPr>
            <w:webHidden/>
          </w:rPr>
          <w:tab/>
        </w:r>
        <w:r>
          <w:rPr>
            <w:webHidden/>
          </w:rPr>
          <w:fldChar w:fldCharType="begin"/>
        </w:r>
        <w:r>
          <w:rPr>
            <w:webHidden/>
          </w:rPr>
          <w:instrText xml:space="preserve"> PAGEREF _Toc329301629 \h </w:instrText>
        </w:r>
        <w:r>
          <w:rPr>
            <w:webHidden/>
          </w:rPr>
        </w:r>
        <w:r>
          <w:rPr>
            <w:webHidden/>
          </w:rPr>
          <w:fldChar w:fldCharType="separate"/>
        </w:r>
        <w:r>
          <w:rPr>
            <w:webHidden/>
          </w:rPr>
          <w:t>39</w:t>
        </w:r>
        <w:r>
          <w:rPr>
            <w:webHidden/>
          </w:rPr>
          <w:fldChar w:fldCharType="end"/>
        </w:r>
      </w:hyperlink>
    </w:p>
    <w:p w:rsidR="00A84D28" w:rsidRDefault="00A84D28">
      <w:pPr>
        <w:pStyle w:val="TOC1"/>
        <w:rPr>
          <w:rFonts w:eastAsiaTheme="minorEastAsia" w:cstheme="minorBidi"/>
          <w:b w:val="0"/>
          <w:sz w:val="22"/>
          <w:szCs w:val="22"/>
          <w:lang w:eastAsia="en-NZ"/>
        </w:rPr>
      </w:pPr>
      <w:hyperlink w:anchor="_Toc329301630" w:history="1">
        <w:r w:rsidRPr="00016158">
          <w:rPr>
            <w:rStyle w:val="Hyperlink"/>
            <w:rFonts w:ascii="Calibri Bold" w:hAnsi="Calibri Bold"/>
          </w:rPr>
          <w:t>2.9</w:t>
        </w:r>
        <w:r>
          <w:rPr>
            <w:rFonts w:eastAsiaTheme="minorEastAsia" w:cstheme="minorBidi"/>
            <w:b w:val="0"/>
            <w:sz w:val="22"/>
            <w:szCs w:val="22"/>
            <w:lang w:eastAsia="en-NZ"/>
          </w:rPr>
          <w:tab/>
        </w:r>
        <w:r w:rsidRPr="00016158">
          <w:rPr>
            <w:rStyle w:val="Hyperlink"/>
          </w:rPr>
          <w:t>CERTIFICATES</w:t>
        </w:r>
        <w:r>
          <w:rPr>
            <w:webHidden/>
          </w:rPr>
          <w:tab/>
        </w:r>
        <w:r>
          <w:rPr>
            <w:webHidden/>
          </w:rPr>
          <w:fldChar w:fldCharType="begin"/>
        </w:r>
        <w:r>
          <w:rPr>
            <w:webHidden/>
          </w:rPr>
          <w:instrText xml:space="preserve"> PAGEREF _Toc329301630 \h </w:instrText>
        </w:r>
        <w:r>
          <w:rPr>
            <w:webHidden/>
          </w:rPr>
        </w:r>
        <w:r>
          <w:rPr>
            <w:webHidden/>
          </w:rPr>
          <w:fldChar w:fldCharType="separate"/>
        </w:r>
        <w:r>
          <w:rPr>
            <w:webHidden/>
          </w:rPr>
          <w:t>40</w:t>
        </w:r>
        <w:r>
          <w:rPr>
            <w:webHidden/>
          </w:rPr>
          <w:fldChar w:fldCharType="end"/>
        </w:r>
      </w:hyperlink>
    </w:p>
    <w:p w:rsidR="00A84D28" w:rsidRDefault="00A84D28">
      <w:pPr>
        <w:pStyle w:val="TOC1"/>
        <w:rPr>
          <w:rFonts w:eastAsiaTheme="minorEastAsia" w:cstheme="minorBidi"/>
          <w:b w:val="0"/>
          <w:sz w:val="22"/>
          <w:szCs w:val="22"/>
          <w:lang w:eastAsia="en-NZ"/>
        </w:rPr>
      </w:pPr>
      <w:hyperlink w:anchor="_Toc329301631" w:history="1">
        <w:r w:rsidRPr="00016158">
          <w:rPr>
            <w:rStyle w:val="Hyperlink"/>
            <w:rFonts w:ascii="Calibri Bold" w:hAnsi="Calibri Bold"/>
          </w:rPr>
          <w:t>2.10</w:t>
        </w:r>
        <w:r>
          <w:rPr>
            <w:rFonts w:eastAsiaTheme="minorEastAsia" w:cstheme="minorBidi"/>
            <w:b w:val="0"/>
            <w:sz w:val="22"/>
            <w:szCs w:val="22"/>
            <w:lang w:eastAsia="en-NZ"/>
          </w:rPr>
          <w:tab/>
        </w:r>
        <w:r w:rsidRPr="00016158">
          <w:rPr>
            <w:rStyle w:val="Hyperlink"/>
          </w:rPr>
          <w:t>RETENTION AND CONTINUING DISCLOSURES</w:t>
        </w:r>
        <w:r>
          <w:rPr>
            <w:webHidden/>
          </w:rPr>
          <w:tab/>
        </w:r>
        <w:r>
          <w:rPr>
            <w:webHidden/>
          </w:rPr>
          <w:fldChar w:fldCharType="begin"/>
        </w:r>
        <w:r>
          <w:rPr>
            <w:webHidden/>
          </w:rPr>
          <w:instrText xml:space="preserve"> PAGEREF _Toc329301631 \h </w:instrText>
        </w:r>
        <w:r>
          <w:rPr>
            <w:webHidden/>
          </w:rPr>
        </w:r>
        <w:r>
          <w:rPr>
            <w:webHidden/>
          </w:rPr>
          <w:fldChar w:fldCharType="separate"/>
        </w:r>
        <w:r>
          <w:rPr>
            <w:webHidden/>
          </w:rPr>
          <w:t>40</w:t>
        </w:r>
        <w:r>
          <w:rPr>
            <w:webHidden/>
          </w:rPr>
          <w:fldChar w:fldCharType="end"/>
        </w:r>
      </w:hyperlink>
    </w:p>
    <w:p w:rsidR="00A84D28" w:rsidRDefault="00A84D28">
      <w:pPr>
        <w:pStyle w:val="TOC1"/>
        <w:rPr>
          <w:rFonts w:eastAsiaTheme="minorEastAsia" w:cstheme="minorBidi"/>
          <w:b w:val="0"/>
          <w:sz w:val="22"/>
          <w:szCs w:val="22"/>
          <w:lang w:eastAsia="en-NZ"/>
        </w:rPr>
      </w:pPr>
      <w:hyperlink w:anchor="_Toc329301632" w:history="1">
        <w:r w:rsidRPr="00016158">
          <w:rPr>
            <w:rStyle w:val="Hyperlink"/>
            <w:rFonts w:ascii="Calibri Bold" w:hAnsi="Calibri Bold"/>
          </w:rPr>
          <w:t>2.11</w:t>
        </w:r>
        <w:r>
          <w:rPr>
            <w:rFonts w:eastAsiaTheme="minorEastAsia" w:cstheme="minorBidi"/>
            <w:b w:val="0"/>
            <w:sz w:val="22"/>
            <w:szCs w:val="22"/>
            <w:lang w:eastAsia="en-NZ"/>
          </w:rPr>
          <w:tab/>
        </w:r>
        <w:r w:rsidRPr="00016158">
          <w:rPr>
            <w:rStyle w:val="Hyperlink"/>
          </w:rPr>
          <w:t>EXEMPTIONS</w:t>
        </w:r>
        <w:r>
          <w:rPr>
            <w:webHidden/>
          </w:rPr>
          <w:tab/>
        </w:r>
        <w:r>
          <w:rPr>
            <w:webHidden/>
          </w:rPr>
          <w:fldChar w:fldCharType="begin"/>
        </w:r>
        <w:r>
          <w:rPr>
            <w:webHidden/>
          </w:rPr>
          <w:instrText xml:space="preserve"> PAGEREF _Toc329301632 \h </w:instrText>
        </w:r>
        <w:r>
          <w:rPr>
            <w:webHidden/>
          </w:rPr>
        </w:r>
        <w:r>
          <w:rPr>
            <w:webHidden/>
          </w:rPr>
          <w:fldChar w:fldCharType="separate"/>
        </w:r>
        <w:r>
          <w:rPr>
            <w:webHidden/>
          </w:rPr>
          <w:t>40</w:t>
        </w:r>
        <w:r>
          <w:rPr>
            <w:webHidden/>
          </w:rPr>
          <w:fldChar w:fldCharType="end"/>
        </w:r>
      </w:hyperlink>
    </w:p>
    <w:p w:rsidR="00A84D28" w:rsidRDefault="00A84D28">
      <w:pPr>
        <w:pStyle w:val="TOC1"/>
        <w:rPr>
          <w:rFonts w:eastAsiaTheme="minorEastAsia" w:cstheme="minorBidi"/>
          <w:b w:val="0"/>
          <w:sz w:val="22"/>
          <w:szCs w:val="22"/>
          <w:lang w:eastAsia="en-NZ"/>
        </w:rPr>
      </w:pPr>
      <w:hyperlink w:anchor="_Toc329301633" w:history="1">
        <w:r w:rsidRPr="00016158">
          <w:rPr>
            <w:rStyle w:val="Hyperlink"/>
            <w:rFonts w:ascii="Calibri Bold" w:hAnsi="Calibri Bold"/>
          </w:rPr>
          <w:t>2.12</w:t>
        </w:r>
        <w:r>
          <w:rPr>
            <w:rFonts w:eastAsiaTheme="minorEastAsia" w:cstheme="minorBidi"/>
            <w:b w:val="0"/>
            <w:sz w:val="22"/>
            <w:szCs w:val="22"/>
            <w:lang w:eastAsia="en-NZ"/>
          </w:rPr>
          <w:tab/>
        </w:r>
        <w:r w:rsidRPr="00016158">
          <w:rPr>
            <w:rStyle w:val="Hyperlink"/>
          </w:rPr>
          <w:t>TRANSITIONAL PROVISIONS</w:t>
        </w:r>
        <w:r>
          <w:rPr>
            <w:webHidden/>
          </w:rPr>
          <w:tab/>
        </w:r>
        <w:r>
          <w:rPr>
            <w:webHidden/>
          </w:rPr>
          <w:fldChar w:fldCharType="begin"/>
        </w:r>
        <w:r>
          <w:rPr>
            <w:webHidden/>
          </w:rPr>
          <w:instrText xml:space="preserve"> PAGEREF _Toc329301633 \h </w:instrText>
        </w:r>
        <w:r>
          <w:rPr>
            <w:webHidden/>
          </w:rPr>
        </w:r>
        <w:r>
          <w:rPr>
            <w:webHidden/>
          </w:rPr>
          <w:fldChar w:fldCharType="separate"/>
        </w:r>
        <w:r>
          <w:rPr>
            <w:webHidden/>
          </w:rPr>
          <w:t>41</w:t>
        </w:r>
        <w:r>
          <w:rPr>
            <w:webHidden/>
          </w:rPr>
          <w:fldChar w:fldCharType="end"/>
        </w:r>
      </w:hyperlink>
    </w:p>
    <w:p w:rsidR="00A84D28" w:rsidRDefault="00A84D28">
      <w:pPr>
        <w:pStyle w:val="TOC1"/>
        <w:rPr>
          <w:rFonts w:eastAsiaTheme="minorEastAsia" w:cstheme="minorBidi"/>
          <w:b w:val="0"/>
          <w:sz w:val="22"/>
          <w:szCs w:val="22"/>
          <w:lang w:eastAsia="en-NZ"/>
        </w:rPr>
      </w:pPr>
      <w:hyperlink w:anchor="_Toc329301634" w:history="1">
        <w:r w:rsidRPr="00016158">
          <w:rPr>
            <w:rStyle w:val="Hyperlink"/>
          </w:rPr>
          <w:t>APPENDIX A</w:t>
        </w:r>
        <w:r>
          <w:rPr>
            <w:rFonts w:eastAsiaTheme="minorEastAsia" w:cstheme="minorBidi"/>
            <w:b w:val="0"/>
            <w:sz w:val="22"/>
            <w:szCs w:val="22"/>
            <w:lang w:eastAsia="en-NZ"/>
          </w:rPr>
          <w:tab/>
        </w:r>
        <w:r w:rsidRPr="00016158">
          <w:rPr>
            <w:rStyle w:val="Hyperlink"/>
          </w:rPr>
          <w:t>ASSET MANAGEMENT PLANS</w:t>
        </w:r>
        <w:r>
          <w:rPr>
            <w:webHidden/>
          </w:rPr>
          <w:tab/>
        </w:r>
        <w:r>
          <w:rPr>
            <w:webHidden/>
          </w:rPr>
          <w:fldChar w:fldCharType="begin"/>
        </w:r>
        <w:r>
          <w:rPr>
            <w:webHidden/>
          </w:rPr>
          <w:instrText xml:space="preserve"> PAGEREF _Toc329301634 \h </w:instrText>
        </w:r>
        <w:r>
          <w:rPr>
            <w:webHidden/>
          </w:rPr>
        </w:r>
        <w:r>
          <w:rPr>
            <w:webHidden/>
          </w:rPr>
          <w:fldChar w:fldCharType="separate"/>
        </w:r>
        <w:r>
          <w:rPr>
            <w:webHidden/>
          </w:rPr>
          <w:t>45</w:t>
        </w:r>
        <w:r>
          <w:rPr>
            <w:webHidden/>
          </w:rPr>
          <w:fldChar w:fldCharType="end"/>
        </w:r>
      </w:hyperlink>
    </w:p>
    <w:p w:rsidR="00A84D28" w:rsidRDefault="00A84D28">
      <w:pPr>
        <w:pStyle w:val="TOC1"/>
        <w:rPr>
          <w:rFonts w:eastAsiaTheme="minorEastAsia" w:cstheme="minorBidi"/>
          <w:b w:val="0"/>
          <w:sz w:val="22"/>
          <w:szCs w:val="22"/>
          <w:lang w:eastAsia="en-NZ"/>
        </w:rPr>
      </w:pPr>
      <w:hyperlink w:anchor="_Toc329301635" w:history="1">
        <w:r w:rsidRPr="00016158">
          <w:rPr>
            <w:rStyle w:val="Hyperlink"/>
          </w:rPr>
          <w:t>Schedule 1</w:t>
        </w:r>
        <w:r>
          <w:rPr>
            <w:rFonts w:eastAsiaTheme="minorEastAsia" w:cstheme="minorBidi"/>
            <w:b w:val="0"/>
            <w:sz w:val="22"/>
            <w:szCs w:val="22"/>
            <w:lang w:eastAsia="en-NZ"/>
          </w:rPr>
          <w:tab/>
        </w:r>
        <w:r w:rsidRPr="00016158">
          <w:rPr>
            <w:rStyle w:val="Hyperlink"/>
          </w:rPr>
          <w:t xml:space="preserve"> Analytical Ratios</w:t>
        </w:r>
        <w:r>
          <w:rPr>
            <w:webHidden/>
          </w:rPr>
          <w:tab/>
        </w:r>
        <w:r>
          <w:rPr>
            <w:webHidden/>
          </w:rPr>
          <w:fldChar w:fldCharType="begin"/>
        </w:r>
        <w:r>
          <w:rPr>
            <w:webHidden/>
          </w:rPr>
          <w:instrText xml:space="preserve"> PAGEREF _Toc329301635 \h </w:instrText>
        </w:r>
        <w:r>
          <w:rPr>
            <w:webHidden/>
          </w:rPr>
        </w:r>
        <w:r>
          <w:rPr>
            <w:webHidden/>
          </w:rPr>
          <w:fldChar w:fldCharType="separate"/>
        </w:r>
        <w:r>
          <w:rPr>
            <w:webHidden/>
          </w:rPr>
          <w:t>58</w:t>
        </w:r>
        <w:r>
          <w:rPr>
            <w:webHidden/>
          </w:rPr>
          <w:fldChar w:fldCharType="end"/>
        </w:r>
      </w:hyperlink>
    </w:p>
    <w:p w:rsidR="00A84D28" w:rsidRDefault="00A84D28">
      <w:pPr>
        <w:pStyle w:val="TOC1"/>
        <w:rPr>
          <w:rFonts w:eastAsiaTheme="minorEastAsia" w:cstheme="minorBidi"/>
          <w:b w:val="0"/>
          <w:sz w:val="22"/>
          <w:szCs w:val="22"/>
          <w:lang w:eastAsia="en-NZ"/>
        </w:rPr>
      </w:pPr>
      <w:hyperlink w:anchor="_Toc329301636" w:history="1">
        <w:r w:rsidRPr="00016158">
          <w:rPr>
            <w:rStyle w:val="Hyperlink"/>
          </w:rPr>
          <w:t>Schedule 2</w:t>
        </w:r>
        <w:r>
          <w:rPr>
            <w:rFonts w:eastAsiaTheme="minorEastAsia" w:cstheme="minorBidi"/>
            <w:b w:val="0"/>
            <w:sz w:val="22"/>
            <w:szCs w:val="22"/>
            <w:lang w:eastAsia="en-NZ"/>
          </w:rPr>
          <w:tab/>
        </w:r>
        <w:r w:rsidRPr="00016158">
          <w:rPr>
            <w:rStyle w:val="Hyperlink"/>
          </w:rPr>
          <w:t xml:space="preserve"> Comparison of Forecasts to Actual Expenditure</w:t>
        </w:r>
        <w:r>
          <w:rPr>
            <w:webHidden/>
          </w:rPr>
          <w:tab/>
        </w:r>
        <w:r>
          <w:rPr>
            <w:webHidden/>
          </w:rPr>
          <w:fldChar w:fldCharType="begin"/>
        </w:r>
        <w:r>
          <w:rPr>
            <w:webHidden/>
          </w:rPr>
          <w:instrText xml:space="preserve"> PAGEREF _Toc329301636 \h </w:instrText>
        </w:r>
        <w:r>
          <w:rPr>
            <w:webHidden/>
          </w:rPr>
        </w:r>
        <w:r>
          <w:rPr>
            <w:webHidden/>
          </w:rPr>
          <w:fldChar w:fldCharType="separate"/>
        </w:r>
        <w:r>
          <w:rPr>
            <w:webHidden/>
          </w:rPr>
          <w:t>59</w:t>
        </w:r>
        <w:r>
          <w:rPr>
            <w:webHidden/>
          </w:rPr>
          <w:fldChar w:fldCharType="end"/>
        </w:r>
      </w:hyperlink>
    </w:p>
    <w:p w:rsidR="00A84D28" w:rsidRDefault="00A84D28">
      <w:pPr>
        <w:pStyle w:val="TOC1"/>
        <w:rPr>
          <w:rFonts w:eastAsiaTheme="minorEastAsia" w:cstheme="minorBidi"/>
          <w:b w:val="0"/>
          <w:sz w:val="22"/>
          <w:szCs w:val="22"/>
          <w:lang w:eastAsia="en-NZ"/>
        </w:rPr>
      </w:pPr>
      <w:hyperlink w:anchor="_Toc329301637" w:history="1">
        <w:r w:rsidRPr="00016158">
          <w:rPr>
            <w:rStyle w:val="Hyperlink"/>
          </w:rPr>
          <w:t>Schedule 3</w:t>
        </w:r>
        <w:r>
          <w:rPr>
            <w:rFonts w:eastAsiaTheme="minorEastAsia" w:cstheme="minorBidi"/>
            <w:b w:val="0"/>
            <w:sz w:val="22"/>
            <w:szCs w:val="22"/>
            <w:lang w:eastAsia="en-NZ"/>
          </w:rPr>
          <w:tab/>
        </w:r>
        <w:r w:rsidRPr="00016158">
          <w:rPr>
            <w:rStyle w:val="Hyperlink"/>
          </w:rPr>
          <w:t xml:space="preserve"> Report on Return on Investment</w:t>
        </w:r>
        <w:r>
          <w:rPr>
            <w:webHidden/>
          </w:rPr>
          <w:tab/>
        </w:r>
        <w:r>
          <w:rPr>
            <w:webHidden/>
          </w:rPr>
          <w:fldChar w:fldCharType="begin"/>
        </w:r>
        <w:r>
          <w:rPr>
            <w:webHidden/>
          </w:rPr>
          <w:instrText xml:space="preserve"> PAGEREF _Toc329301637 \h </w:instrText>
        </w:r>
        <w:r>
          <w:rPr>
            <w:webHidden/>
          </w:rPr>
        </w:r>
        <w:r>
          <w:rPr>
            <w:webHidden/>
          </w:rPr>
          <w:fldChar w:fldCharType="separate"/>
        </w:r>
        <w:r>
          <w:rPr>
            <w:webHidden/>
          </w:rPr>
          <w:t>60</w:t>
        </w:r>
        <w:r>
          <w:rPr>
            <w:webHidden/>
          </w:rPr>
          <w:fldChar w:fldCharType="end"/>
        </w:r>
      </w:hyperlink>
    </w:p>
    <w:p w:rsidR="00A84D28" w:rsidRDefault="00A84D28">
      <w:pPr>
        <w:pStyle w:val="TOC1"/>
        <w:rPr>
          <w:rFonts w:eastAsiaTheme="minorEastAsia" w:cstheme="minorBidi"/>
          <w:b w:val="0"/>
          <w:sz w:val="22"/>
          <w:szCs w:val="22"/>
          <w:lang w:eastAsia="en-NZ"/>
        </w:rPr>
      </w:pPr>
      <w:hyperlink w:anchor="_Toc329301638" w:history="1">
        <w:r w:rsidRPr="00016158">
          <w:rPr>
            <w:rStyle w:val="Hyperlink"/>
          </w:rPr>
          <w:t>Schedule 3a</w:t>
        </w:r>
        <w:r>
          <w:rPr>
            <w:rFonts w:eastAsiaTheme="minorEastAsia" w:cstheme="minorBidi"/>
            <w:b w:val="0"/>
            <w:sz w:val="22"/>
            <w:szCs w:val="22"/>
            <w:lang w:eastAsia="en-NZ"/>
          </w:rPr>
          <w:tab/>
        </w:r>
        <w:r w:rsidRPr="00016158">
          <w:rPr>
            <w:rStyle w:val="Hyperlink"/>
          </w:rPr>
          <w:t xml:space="preserve"> Term Credit Spread Differential Allowance</w:t>
        </w:r>
        <w:r>
          <w:rPr>
            <w:webHidden/>
          </w:rPr>
          <w:tab/>
        </w:r>
        <w:r>
          <w:rPr>
            <w:webHidden/>
          </w:rPr>
          <w:fldChar w:fldCharType="begin"/>
        </w:r>
        <w:r>
          <w:rPr>
            <w:webHidden/>
          </w:rPr>
          <w:instrText xml:space="preserve"> PAGEREF _Toc329301638 \h </w:instrText>
        </w:r>
        <w:r>
          <w:rPr>
            <w:webHidden/>
          </w:rPr>
        </w:r>
        <w:r>
          <w:rPr>
            <w:webHidden/>
          </w:rPr>
          <w:fldChar w:fldCharType="separate"/>
        </w:r>
        <w:r>
          <w:rPr>
            <w:webHidden/>
          </w:rPr>
          <w:t>62</w:t>
        </w:r>
        <w:r>
          <w:rPr>
            <w:webHidden/>
          </w:rPr>
          <w:fldChar w:fldCharType="end"/>
        </w:r>
      </w:hyperlink>
    </w:p>
    <w:p w:rsidR="00A84D28" w:rsidRDefault="00A84D28">
      <w:pPr>
        <w:pStyle w:val="TOC1"/>
        <w:rPr>
          <w:rFonts w:eastAsiaTheme="minorEastAsia" w:cstheme="minorBidi"/>
          <w:b w:val="0"/>
          <w:sz w:val="22"/>
          <w:szCs w:val="22"/>
          <w:lang w:eastAsia="en-NZ"/>
        </w:rPr>
      </w:pPr>
      <w:hyperlink w:anchor="_Toc329301639" w:history="1">
        <w:r w:rsidRPr="00016158">
          <w:rPr>
            <w:rStyle w:val="Hyperlink"/>
          </w:rPr>
          <w:t>Schedule 4</w:t>
        </w:r>
        <w:r>
          <w:rPr>
            <w:rFonts w:eastAsiaTheme="minorEastAsia" w:cstheme="minorBidi"/>
            <w:b w:val="0"/>
            <w:sz w:val="22"/>
            <w:szCs w:val="22"/>
            <w:lang w:eastAsia="en-NZ"/>
          </w:rPr>
          <w:tab/>
        </w:r>
        <w:r w:rsidRPr="00016158">
          <w:rPr>
            <w:rStyle w:val="Hyperlink"/>
          </w:rPr>
          <w:t xml:space="preserve"> Report on Value of the Regulatory Asset Base (Rolled Forward)</w:t>
        </w:r>
        <w:r>
          <w:rPr>
            <w:webHidden/>
          </w:rPr>
          <w:tab/>
        </w:r>
        <w:r>
          <w:rPr>
            <w:webHidden/>
          </w:rPr>
          <w:fldChar w:fldCharType="begin"/>
        </w:r>
        <w:r>
          <w:rPr>
            <w:webHidden/>
          </w:rPr>
          <w:instrText xml:space="preserve"> PAGEREF _Toc329301639 \h </w:instrText>
        </w:r>
        <w:r>
          <w:rPr>
            <w:webHidden/>
          </w:rPr>
        </w:r>
        <w:r>
          <w:rPr>
            <w:webHidden/>
          </w:rPr>
          <w:fldChar w:fldCharType="separate"/>
        </w:r>
        <w:r>
          <w:rPr>
            <w:webHidden/>
          </w:rPr>
          <w:t>63</w:t>
        </w:r>
        <w:r>
          <w:rPr>
            <w:webHidden/>
          </w:rPr>
          <w:fldChar w:fldCharType="end"/>
        </w:r>
      </w:hyperlink>
    </w:p>
    <w:p w:rsidR="00A84D28" w:rsidRDefault="00A84D28">
      <w:pPr>
        <w:pStyle w:val="TOC1"/>
        <w:rPr>
          <w:rFonts w:eastAsiaTheme="minorEastAsia" w:cstheme="minorBidi"/>
          <w:b w:val="0"/>
          <w:sz w:val="22"/>
          <w:szCs w:val="22"/>
          <w:lang w:eastAsia="en-NZ"/>
        </w:rPr>
      </w:pPr>
      <w:hyperlink w:anchor="_Toc329301640" w:history="1">
        <w:r w:rsidRPr="00016158">
          <w:rPr>
            <w:rStyle w:val="Hyperlink"/>
          </w:rPr>
          <w:t>Schedule 4a</w:t>
        </w:r>
        <w:r>
          <w:rPr>
            <w:rFonts w:eastAsiaTheme="minorEastAsia" w:cstheme="minorBidi"/>
            <w:b w:val="0"/>
            <w:sz w:val="22"/>
            <w:szCs w:val="22"/>
            <w:lang w:eastAsia="en-NZ"/>
          </w:rPr>
          <w:tab/>
        </w:r>
        <w:r w:rsidRPr="00016158">
          <w:rPr>
            <w:rStyle w:val="Hyperlink"/>
          </w:rPr>
          <w:t xml:space="preserve"> Report on Asset Allocations</w:t>
        </w:r>
        <w:r>
          <w:rPr>
            <w:webHidden/>
          </w:rPr>
          <w:tab/>
        </w:r>
        <w:r>
          <w:rPr>
            <w:webHidden/>
          </w:rPr>
          <w:fldChar w:fldCharType="begin"/>
        </w:r>
        <w:r>
          <w:rPr>
            <w:webHidden/>
          </w:rPr>
          <w:instrText xml:space="preserve"> PAGEREF _Toc329301640 \h </w:instrText>
        </w:r>
        <w:r>
          <w:rPr>
            <w:webHidden/>
          </w:rPr>
        </w:r>
        <w:r>
          <w:rPr>
            <w:webHidden/>
          </w:rPr>
          <w:fldChar w:fldCharType="separate"/>
        </w:r>
        <w:r>
          <w:rPr>
            <w:webHidden/>
          </w:rPr>
          <w:t>66</w:t>
        </w:r>
        <w:r>
          <w:rPr>
            <w:webHidden/>
          </w:rPr>
          <w:fldChar w:fldCharType="end"/>
        </w:r>
      </w:hyperlink>
    </w:p>
    <w:p w:rsidR="00A84D28" w:rsidRDefault="00A84D28">
      <w:pPr>
        <w:pStyle w:val="TOC1"/>
        <w:rPr>
          <w:rFonts w:eastAsiaTheme="minorEastAsia" w:cstheme="minorBidi"/>
          <w:b w:val="0"/>
          <w:sz w:val="22"/>
          <w:szCs w:val="22"/>
          <w:lang w:eastAsia="en-NZ"/>
        </w:rPr>
      </w:pPr>
      <w:hyperlink w:anchor="_Toc329301641" w:history="1">
        <w:r w:rsidRPr="00016158">
          <w:rPr>
            <w:rStyle w:val="Hyperlink"/>
          </w:rPr>
          <w:t>Schedule 4b</w:t>
        </w:r>
        <w:r>
          <w:rPr>
            <w:rFonts w:eastAsiaTheme="minorEastAsia" w:cstheme="minorBidi"/>
            <w:b w:val="0"/>
            <w:sz w:val="22"/>
            <w:szCs w:val="22"/>
            <w:lang w:eastAsia="en-NZ"/>
          </w:rPr>
          <w:tab/>
        </w:r>
        <w:r w:rsidRPr="00016158">
          <w:rPr>
            <w:rStyle w:val="Hyperlink"/>
          </w:rPr>
          <w:t xml:space="preserve"> Report Supporting Asset Allocations</w:t>
        </w:r>
        <w:r>
          <w:rPr>
            <w:webHidden/>
          </w:rPr>
          <w:tab/>
        </w:r>
        <w:r>
          <w:rPr>
            <w:webHidden/>
          </w:rPr>
          <w:fldChar w:fldCharType="begin"/>
        </w:r>
        <w:r>
          <w:rPr>
            <w:webHidden/>
          </w:rPr>
          <w:instrText xml:space="preserve"> PAGEREF _Toc329301641 \h </w:instrText>
        </w:r>
        <w:r>
          <w:rPr>
            <w:webHidden/>
          </w:rPr>
        </w:r>
        <w:r>
          <w:rPr>
            <w:webHidden/>
          </w:rPr>
          <w:fldChar w:fldCharType="separate"/>
        </w:r>
        <w:r>
          <w:rPr>
            <w:webHidden/>
          </w:rPr>
          <w:t>68</w:t>
        </w:r>
        <w:r>
          <w:rPr>
            <w:webHidden/>
          </w:rPr>
          <w:fldChar w:fldCharType="end"/>
        </w:r>
      </w:hyperlink>
    </w:p>
    <w:p w:rsidR="00A84D28" w:rsidRDefault="00A84D28">
      <w:pPr>
        <w:pStyle w:val="TOC1"/>
        <w:rPr>
          <w:rFonts w:eastAsiaTheme="minorEastAsia" w:cstheme="minorBidi"/>
          <w:b w:val="0"/>
          <w:sz w:val="22"/>
          <w:szCs w:val="22"/>
          <w:lang w:eastAsia="en-NZ"/>
        </w:rPr>
      </w:pPr>
      <w:hyperlink w:anchor="_Toc329301642" w:history="1">
        <w:r w:rsidRPr="00016158">
          <w:rPr>
            <w:rStyle w:val="Hyperlink"/>
          </w:rPr>
          <w:t>Schedule 4c</w:t>
        </w:r>
        <w:r>
          <w:rPr>
            <w:rFonts w:eastAsiaTheme="minorEastAsia" w:cstheme="minorBidi"/>
            <w:b w:val="0"/>
            <w:sz w:val="22"/>
            <w:szCs w:val="22"/>
            <w:lang w:eastAsia="en-NZ"/>
          </w:rPr>
          <w:tab/>
        </w:r>
        <w:r w:rsidRPr="00016158">
          <w:rPr>
            <w:rStyle w:val="Hyperlink"/>
          </w:rPr>
          <w:t xml:space="preserve"> Report on Transitional Financial Information</w:t>
        </w:r>
        <w:r>
          <w:rPr>
            <w:webHidden/>
          </w:rPr>
          <w:tab/>
        </w:r>
        <w:r>
          <w:rPr>
            <w:webHidden/>
          </w:rPr>
          <w:fldChar w:fldCharType="begin"/>
        </w:r>
        <w:r>
          <w:rPr>
            <w:webHidden/>
          </w:rPr>
          <w:instrText xml:space="preserve"> PAGEREF _Toc329301642 \h </w:instrText>
        </w:r>
        <w:r>
          <w:rPr>
            <w:webHidden/>
          </w:rPr>
        </w:r>
        <w:r>
          <w:rPr>
            <w:webHidden/>
          </w:rPr>
          <w:fldChar w:fldCharType="separate"/>
        </w:r>
        <w:r>
          <w:rPr>
            <w:webHidden/>
          </w:rPr>
          <w:t>69</w:t>
        </w:r>
        <w:r>
          <w:rPr>
            <w:webHidden/>
          </w:rPr>
          <w:fldChar w:fldCharType="end"/>
        </w:r>
      </w:hyperlink>
    </w:p>
    <w:p w:rsidR="00A84D28" w:rsidRDefault="00A84D28">
      <w:pPr>
        <w:pStyle w:val="TOC1"/>
        <w:rPr>
          <w:rFonts w:eastAsiaTheme="minorEastAsia" w:cstheme="minorBidi"/>
          <w:b w:val="0"/>
          <w:sz w:val="22"/>
          <w:szCs w:val="22"/>
          <w:lang w:eastAsia="en-NZ"/>
        </w:rPr>
      </w:pPr>
      <w:hyperlink w:anchor="_Toc329301643" w:history="1">
        <w:r w:rsidRPr="00016158">
          <w:rPr>
            <w:rStyle w:val="Hyperlink"/>
          </w:rPr>
          <w:t>Schedule 5</w:t>
        </w:r>
        <w:r>
          <w:rPr>
            <w:rFonts w:eastAsiaTheme="minorEastAsia" w:cstheme="minorBidi"/>
            <w:b w:val="0"/>
            <w:sz w:val="22"/>
            <w:szCs w:val="22"/>
            <w:lang w:eastAsia="en-NZ"/>
          </w:rPr>
          <w:tab/>
        </w:r>
        <w:r w:rsidRPr="00016158">
          <w:rPr>
            <w:rStyle w:val="Hyperlink"/>
          </w:rPr>
          <w:t xml:space="preserve"> Report on Regulatory Profit</w:t>
        </w:r>
        <w:r>
          <w:rPr>
            <w:webHidden/>
          </w:rPr>
          <w:tab/>
        </w:r>
        <w:r>
          <w:rPr>
            <w:webHidden/>
          </w:rPr>
          <w:fldChar w:fldCharType="begin"/>
        </w:r>
        <w:r>
          <w:rPr>
            <w:webHidden/>
          </w:rPr>
          <w:instrText xml:space="preserve"> PAGEREF _Toc329301643 \h </w:instrText>
        </w:r>
        <w:r>
          <w:rPr>
            <w:webHidden/>
          </w:rPr>
        </w:r>
        <w:r>
          <w:rPr>
            <w:webHidden/>
          </w:rPr>
          <w:fldChar w:fldCharType="separate"/>
        </w:r>
        <w:r>
          <w:rPr>
            <w:webHidden/>
          </w:rPr>
          <w:t>71</w:t>
        </w:r>
        <w:r>
          <w:rPr>
            <w:webHidden/>
          </w:rPr>
          <w:fldChar w:fldCharType="end"/>
        </w:r>
      </w:hyperlink>
    </w:p>
    <w:p w:rsidR="00A84D28" w:rsidRDefault="00A84D28">
      <w:pPr>
        <w:pStyle w:val="TOC1"/>
        <w:rPr>
          <w:rFonts w:eastAsiaTheme="minorEastAsia" w:cstheme="minorBidi"/>
          <w:b w:val="0"/>
          <w:sz w:val="22"/>
          <w:szCs w:val="22"/>
          <w:lang w:eastAsia="en-NZ"/>
        </w:rPr>
      </w:pPr>
      <w:hyperlink w:anchor="_Toc329301644" w:history="1">
        <w:r w:rsidRPr="00016158">
          <w:rPr>
            <w:rStyle w:val="Hyperlink"/>
          </w:rPr>
          <w:t>Schedule 5a</w:t>
        </w:r>
        <w:r>
          <w:rPr>
            <w:rFonts w:eastAsiaTheme="minorEastAsia" w:cstheme="minorBidi"/>
            <w:b w:val="0"/>
            <w:sz w:val="22"/>
            <w:szCs w:val="22"/>
            <w:lang w:eastAsia="en-NZ"/>
          </w:rPr>
          <w:tab/>
        </w:r>
        <w:r w:rsidRPr="00016158">
          <w:rPr>
            <w:rStyle w:val="Hyperlink"/>
          </w:rPr>
          <w:t xml:space="preserve"> Report on Regulatory Tax Allowance</w:t>
        </w:r>
        <w:r>
          <w:rPr>
            <w:webHidden/>
          </w:rPr>
          <w:tab/>
        </w:r>
        <w:r>
          <w:rPr>
            <w:webHidden/>
          </w:rPr>
          <w:fldChar w:fldCharType="begin"/>
        </w:r>
        <w:r>
          <w:rPr>
            <w:webHidden/>
          </w:rPr>
          <w:instrText xml:space="preserve"> PAGEREF _Toc329301644 \h </w:instrText>
        </w:r>
        <w:r>
          <w:rPr>
            <w:webHidden/>
          </w:rPr>
        </w:r>
        <w:r>
          <w:rPr>
            <w:webHidden/>
          </w:rPr>
          <w:fldChar w:fldCharType="separate"/>
        </w:r>
        <w:r>
          <w:rPr>
            <w:webHidden/>
          </w:rPr>
          <w:t>73</w:t>
        </w:r>
        <w:r>
          <w:rPr>
            <w:webHidden/>
          </w:rPr>
          <w:fldChar w:fldCharType="end"/>
        </w:r>
      </w:hyperlink>
    </w:p>
    <w:p w:rsidR="00A84D28" w:rsidRDefault="00A84D28">
      <w:pPr>
        <w:pStyle w:val="TOC1"/>
        <w:rPr>
          <w:rFonts w:eastAsiaTheme="minorEastAsia" w:cstheme="minorBidi"/>
          <w:b w:val="0"/>
          <w:sz w:val="22"/>
          <w:szCs w:val="22"/>
          <w:lang w:eastAsia="en-NZ"/>
        </w:rPr>
      </w:pPr>
      <w:hyperlink w:anchor="_Toc329301645" w:history="1">
        <w:r w:rsidRPr="00016158">
          <w:rPr>
            <w:rStyle w:val="Hyperlink"/>
          </w:rPr>
          <w:t>Schedule 5b</w:t>
        </w:r>
        <w:r>
          <w:rPr>
            <w:rFonts w:eastAsiaTheme="minorEastAsia" w:cstheme="minorBidi"/>
            <w:b w:val="0"/>
            <w:sz w:val="22"/>
            <w:szCs w:val="22"/>
            <w:lang w:eastAsia="en-NZ"/>
          </w:rPr>
          <w:tab/>
        </w:r>
        <w:r w:rsidRPr="00016158">
          <w:rPr>
            <w:rStyle w:val="Hyperlink"/>
          </w:rPr>
          <w:t xml:space="preserve"> Report on Related Party Transactions</w:t>
        </w:r>
        <w:r>
          <w:rPr>
            <w:webHidden/>
          </w:rPr>
          <w:tab/>
        </w:r>
        <w:r>
          <w:rPr>
            <w:webHidden/>
          </w:rPr>
          <w:fldChar w:fldCharType="begin"/>
        </w:r>
        <w:r>
          <w:rPr>
            <w:webHidden/>
          </w:rPr>
          <w:instrText xml:space="preserve"> PAGEREF _Toc329301645 \h </w:instrText>
        </w:r>
        <w:r>
          <w:rPr>
            <w:webHidden/>
          </w:rPr>
        </w:r>
        <w:r>
          <w:rPr>
            <w:webHidden/>
          </w:rPr>
          <w:fldChar w:fldCharType="separate"/>
        </w:r>
        <w:r>
          <w:rPr>
            <w:webHidden/>
          </w:rPr>
          <w:t>75</w:t>
        </w:r>
        <w:r>
          <w:rPr>
            <w:webHidden/>
          </w:rPr>
          <w:fldChar w:fldCharType="end"/>
        </w:r>
      </w:hyperlink>
    </w:p>
    <w:p w:rsidR="00A84D28" w:rsidRDefault="00A84D28">
      <w:pPr>
        <w:pStyle w:val="TOC1"/>
        <w:rPr>
          <w:rFonts w:eastAsiaTheme="minorEastAsia" w:cstheme="minorBidi"/>
          <w:b w:val="0"/>
          <w:sz w:val="22"/>
          <w:szCs w:val="22"/>
          <w:lang w:eastAsia="en-NZ"/>
        </w:rPr>
      </w:pPr>
      <w:hyperlink w:anchor="_Toc329301646" w:history="1">
        <w:r w:rsidRPr="00016158">
          <w:rPr>
            <w:rStyle w:val="Hyperlink"/>
          </w:rPr>
          <w:t>Schedule 5c</w:t>
        </w:r>
        <w:r>
          <w:rPr>
            <w:rFonts w:eastAsiaTheme="minorEastAsia" w:cstheme="minorBidi"/>
            <w:b w:val="0"/>
            <w:sz w:val="22"/>
            <w:szCs w:val="22"/>
            <w:lang w:eastAsia="en-NZ"/>
          </w:rPr>
          <w:tab/>
        </w:r>
        <w:r w:rsidRPr="00016158">
          <w:rPr>
            <w:rStyle w:val="Hyperlink"/>
          </w:rPr>
          <w:t xml:space="preserve"> Report on Cost Allocations</w:t>
        </w:r>
        <w:r>
          <w:rPr>
            <w:webHidden/>
          </w:rPr>
          <w:tab/>
        </w:r>
        <w:r>
          <w:rPr>
            <w:webHidden/>
          </w:rPr>
          <w:fldChar w:fldCharType="begin"/>
        </w:r>
        <w:r>
          <w:rPr>
            <w:webHidden/>
          </w:rPr>
          <w:instrText xml:space="preserve"> PAGEREF _Toc329301646 \h </w:instrText>
        </w:r>
        <w:r>
          <w:rPr>
            <w:webHidden/>
          </w:rPr>
        </w:r>
        <w:r>
          <w:rPr>
            <w:webHidden/>
          </w:rPr>
          <w:fldChar w:fldCharType="separate"/>
        </w:r>
        <w:r>
          <w:rPr>
            <w:webHidden/>
          </w:rPr>
          <w:t>76</w:t>
        </w:r>
        <w:r>
          <w:rPr>
            <w:webHidden/>
          </w:rPr>
          <w:fldChar w:fldCharType="end"/>
        </w:r>
      </w:hyperlink>
    </w:p>
    <w:p w:rsidR="00A84D28" w:rsidRDefault="00A84D28">
      <w:pPr>
        <w:pStyle w:val="TOC1"/>
        <w:rPr>
          <w:rFonts w:eastAsiaTheme="minorEastAsia" w:cstheme="minorBidi"/>
          <w:b w:val="0"/>
          <w:sz w:val="22"/>
          <w:szCs w:val="22"/>
          <w:lang w:eastAsia="en-NZ"/>
        </w:rPr>
      </w:pPr>
      <w:hyperlink w:anchor="_Toc329301647" w:history="1">
        <w:r w:rsidRPr="00016158">
          <w:rPr>
            <w:rStyle w:val="Hyperlink"/>
          </w:rPr>
          <w:t>Schedule 5d</w:t>
        </w:r>
        <w:r>
          <w:rPr>
            <w:rFonts w:eastAsiaTheme="minorEastAsia" w:cstheme="minorBidi"/>
            <w:b w:val="0"/>
            <w:sz w:val="22"/>
            <w:szCs w:val="22"/>
            <w:lang w:eastAsia="en-NZ"/>
          </w:rPr>
          <w:tab/>
        </w:r>
        <w:r w:rsidRPr="00016158">
          <w:rPr>
            <w:rStyle w:val="Hyperlink"/>
          </w:rPr>
          <w:t xml:space="preserve"> Report Supporting Cost Allocations</w:t>
        </w:r>
        <w:r>
          <w:rPr>
            <w:webHidden/>
          </w:rPr>
          <w:tab/>
        </w:r>
        <w:r>
          <w:rPr>
            <w:webHidden/>
          </w:rPr>
          <w:fldChar w:fldCharType="begin"/>
        </w:r>
        <w:r>
          <w:rPr>
            <w:webHidden/>
          </w:rPr>
          <w:instrText xml:space="preserve"> PAGEREF _Toc329301647 \h </w:instrText>
        </w:r>
        <w:r>
          <w:rPr>
            <w:webHidden/>
          </w:rPr>
        </w:r>
        <w:r>
          <w:rPr>
            <w:webHidden/>
          </w:rPr>
          <w:fldChar w:fldCharType="separate"/>
        </w:r>
        <w:r>
          <w:rPr>
            <w:webHidden/>
          </w:rPr>
          <w:t>78</w:t>
        </w:r>
        <w:r>
          <w:rPr>
            <w:webHidden/>
          </w:rPr>
          <w:fldChar w:fldCharType="end"/>
        </w:r>
      </w:hyperlink>
    </w:p>
    <w:p w:rsidR="00A84D28" w:rsidRDefault="00A84D28">
      <w:pPr>
        <w:pStyle w:val="TOC1"/>
        <w:rPr>
          <w:rFonts w:eastAsiaTheme="minorEastAsia" w:cstheme="minorBidi"/>
          <w:b w:val="0"/>
          <w:sz w:val="22"/>
          <w:szCs w:val="22"/>
          <w:lang w:eastAsia="en-NZ"/>
        </w:rPr>
      </w:pPr>
      <w:hyperlink w:anchor="_Toc329301648" w:history="1">
        <w:r w:rsidRPr="00016158">
          <w:rPr>
            <w:rStyle w:val="Hyperlink"/>
          </w:rPr>
          <w:t>Schedule 6</w:t>
        </w:r>
        <w:r>
          <w:rPr>
            <w:rFonts w:eastAsiaTheme="minorEastAsia" w:cstheme="minorBidi"/>
            <w:b w:val="0"/>
            <w:sz w:val="22"/>
            <w:szCs w:val="22"/>
            <w:lang w:eastAsia="en-NZ"/>
          </w:rPr>
          <w:tab/>
        </w:r>
        <w:r w:rsidRPr="00016158">
          <w:rPr>
            <w:rStyle w:val="Hyperlink"/>
          </w:rPr>
          <w:t xml:space="preserve"> Report on Capital Expenditure for the Disclosure Year</w:t>
        </w:r>
        <w:r>
          <w:rPr>
            <w:webHidden/>
          </w:rPr>
          <w:tab/>
        </w:r>
        <w:r>
          <w:rPr>
            <w:webHidden/>
          </w:rPr>
          <w:fldChar w:fldCharType="begin"/>
        </w:r>
        <w:r>
          <w:rPr>
            <w:webHidden/>
          </w:rPr>
          <w:instrText xml:space="preserve"> PAGEREF _Toc329301648 \h </w:instrText>
        </w:r>
        <w:r>
          <w:rPr>
            <w:webHidden/>
          </w:rPr>
        </w:r>
        <w:r>
          <w:rPr>
            <w:webHidden/>
          </w:rPr>
          <w:fldChar w:fldCharType="separate"/>
        </w:r>
        <w:r>
          <w:rPr>
            <w:webHidden/>
          </w:rPr>
          <w:t>80</w:t>
        </w:r>
        <w:r>
          <w:rPr>
            <w:webHidden/>
          </w:rPr>
          <w:fldChar w:fldCharType="end"/>
        </w:r>
      </w:hyperlink>
    </w:p>
    <w:p w:rsidR="00A84D28" w:rsidRDefault="00A84D28">
      <w:pPr>
        <w:pStyle w:val="TOC1"/>
        <w:rPr>
          <w:rFonts w:eastAsiaTheme="minorEastAsia" w:cstheme="minorBidi"/>
          <w:b w:val="0"/>
          <w:sz w:val="22"/>
          <w:szCs w:val="22"/>
          <w:lang w:eastAsia="en-NZ"/>
        </w:rPr>
      </w:pPr>
      <w:hyperlink w:anchor="_Toc329301649" w:history="1">
        <w:r w:rsidRPr="00016158">
          <w:rPr>
            <w:rStyle w:val="Hyperlink"/>
          </w:rPr>
          <w:t>Schedule 7</w:t>
        </w:r>
        <w:r>
          <w:rPr>
            <w:rFonts w:eastAsiaTheme="minorEastAsia" w:cstheme="minorBidi"/>
            <w:b w:val="0"/>
            <w:sz w:val="22"/>
            <w:szCs w:val="22"/>
            <w:lang w:eastAsia="en-NZ"/>
          </w:rPr>
          <w:tab/>
        </w:r>
        <w:r w:rsidRPr="00016158">
          <w:rPr>
            <w:rStyle w:val="Hyperlink"/>
          </w:rPr>
          <w:t>Report on Operational Expenditure for the Disclosure Year</w:t>
        </w:r>
        <w:r>
          <w:rPr>
            <w:webHidden/>
          </w:rPr>
          <w:tab/>
        </w:r>
        <w:r>
          <w:rPr>
            <w:webHidden/>
          </w:rPr>
          <w:fldChar w:fldCharType="begin"/>
        </w:r>
        <w:r>
          <w:rPr>
            <w:webHidden/>
          </w:rPr>
          <w:instrText xml:space="preserve"> PAGEREF _Toc329301649 \h </w:instrText>
        </w:r>
        <w:r>
          <w:rPr>
            <w:webHidden/>
          </w:rPr>
        </w:r>
        <w:r>
          <w:rPr>
            <w:webHidden/>
          </w:rPr>
          <w:fldChar w:fldCharType="separate"/>
        </w:r>
        <w:r>
          <w:rPr>
            <w:webHidden/>
          </w:rPr>
          <w:t>83</w:t>
        </w:r>
        <w:r>
          <w:rPr>
            <w:webHidden/>
          </w:rPr>
          <w:fldChar w:fldCharType="end"/>
        </w:r>
      </w:hyperlink>
    </w:p>
    <w:p w:rsidR="00A84D28" w:rsidRDefault="00A84D28">
      <w:pPr>
        <w:pStyle w:val="TOC1"/>
        <w:rPr>
          <w:rFonts w:eastAsiaTheme="minorEastAsia" w:cstheme="minorBidi"/>
          <w:b w:val="0"/>
          <w:sz w:val="22"/>
          <w:szCs w:val="22"/>
          <w:lang w:eastAsia="en-NZ"/>
        </w:rPr>
      </w:pPr>
      <w:hyperlink w:anchor="_Toc329301650" w:history="1">
        <w:r w:rsidRPr="00016158">
          <w:rPr>
            <w:rStyle w:val="Hyperlink"/>
          </w:rPr>
          <w:t>Schedule 8a</w:t>
        </w:r>
        <w:r>
          <w:rPr>
            <w:rFonts w:eastAsiaTheme="minorEastAsia" w:cstheme="minorBidi"/>
            <w:b w:val="0"/>
            <w:sz w:val="22"/>
            <w:szCs w:val="22"/>
            <w:lang w:eastAsia="en-NZ"/>
          </w:rPr>
          <w:tab/>
        </w:r>
        <w:r w:rsidRPr="00016158">
          <w:rPr>
            <w:rStyle w:val="Hyperlink"/>
          </w:rPr>
          <w:t xml:space="preserve"> Report on Billed Quantities and Line Charge Revenues (by Type of Charge)</w:t>
        </w:r>
        <w:r>
          <w:rPr>
            <w:webHidden/>
          </w:rPr>
          <w:tab/>
        </w:r>
        <w:r>
          <w:rPr>
            <w:webHidden/>
          </w:rPr>
          <w:fldChar w:fldCharType="begin"/>
        </w:r>
        <w:r>
          <w:rPr>
            <w:webHidden/>
          </w:rPr>
          <w:instrText xml:space="preserve"> PAGEREF _Toc329301650 \h </w:instrText>
        </w:r>
        <w:r>
          <w:rPr>
            <w:webHidden/>
          </w:rPr>
        </w:r>
        <w:r>
          <w:rPr>
            <w:webHidden/>
          </w:rPr>
          <w:fldChar w:fldCharType="separate"/>
        </w:r>
        <w:r>
          <w:rPr>
            <w:webHidden/>
          </w:rPr>
          <w:t>84</w:t>
        </w:r>
        <w:r>
          <w:rPr>
            <w:webHidden/>
          </w:rPr>
          <w:fldChar w:fldCharType="end"/>
        </w:r>
      </w:hyperlink>
    </w:p>
    <w:p w:rsidR="00A84D28" w:rsidRDefault="00A84D28">
      <w:pPr>
        <w:pStyle w:val="TOC1"/>
        <w:rPr>
          <w:rFonts w:eastAsiaTheme="minorEastAsia" w:cstheme="minorBidi"/>
          <w:b w:val="0"/>
          <w:sz w:val="22"/>
          <w:szCs w:val="22"/>
          <w:lang w:eastAsia="en-NZ"/>
        </w:rPr>
      </w:pPr>
      <w:hyperlink w:anchor="_Toc329301651" w:history="1">
        <w:r w:rsidRPr="00016158">
          <w:rPr>
            <w:rStyle w:val="Hyperlink"/>
          </w:rPr>
          <w:t>Schedule 8b</w:t>
        </w:r>
        <w:r>
          <w:rPr>
            <w:rFonts w:eastAsiaTheme="minorEastAsia" w:cstheme="minorBidi"/>
            <w:b w:val="0"/>
            <w:sz w:val="22"/>
            <w:szCs w:val="22"/>
            <w:lang w:eastAsia="en-NZ"/>
          </w:rPr>
          <w:tab/>
        </w:r>
        <w:r w:rsidRPr="00016158">
          <w:rPr>
            <w:rStyle w:val="Hyperlink"/>
          </w:rPr>
          <w:t xml:space="preserve"> Report on Billed Quantities and Line Charge Revenues (by Consumer Type)</w:t>
        </w:r>
        <w:r>
          <w:rPr>
            <w:webHidden/>
          </w:rPr>
          <w:tab/>
        </w:r>
        <w:r>
          <w:rPr>
            <w:webHidden/>
          </w:rPr>
          <w:fldChar w:fldCharType="begin"/>
        </w:r>
        <w:r>
          <w:rPr>
            <w:webHidden/>
          </w:rPr>
          <w:instrText xml:space="preserve"> PAGEREF _Toc329301651 \h </w:instrText>
        </w:r>
        <w:r>
          <w:rPr>
            <w:webHidden/>
          </w:rPr>
        </w:r>
        <w:r>
          <w:rPr>
            <w:webHidden/>
          </w:rPr>
          <w:fldChar w:fldCharType="separate"/>
        </w:r>
        <w:r>
          <w:rPr>
            <w:webHidden/>
          </w:rPr>
          <w:t>85</w:t>
        </w:r>
        <w:r>
          <w:rPr>
            <w:webHidden/>
          </w:rPr>
          <w:fldChar w:fldCharType="end"/>
        </w:r>
      </w:hyperlink>
    </w:p>
    <w:p w:rsidR="00A84D28" w:rsidRDefault="00A84D28">
      <w:pPr>
        <w:pStyle w:val="TOC1"/>
        <w:rPr>
          <w:rFonts w:eastAsiaTheme="minorEastAsia" w:cstheme="minorBidi"/>
          <w:b w:val="0"/>
          <w:sz w:val="22"/>
          <w:szCs w:val="22"/>
          <w:lang w:eastAsia="en-NZ"/>
        </w:rPr>
      </w:pPr>
      <w:hyperlink w:anchor="_Toc329301652" w:history="1">
        <w:r w:rsidRPr="00016158">
          <w:rPr>
            <w:rStyle w:val="Hyperlink"/>
          </w:rPr>
          <w:t>Schedule 9a</w:t>
        </w:r>
        <w:r>
          <w:rPr>
            <w:rFonts w:eastAsiaTheme="minorEastAsia" w:cstheme="minorBidi"/>
            <w:b w:val="0"/>
            <w:sz w:val="22"/>
            <w:szCs w:val="22"/>
            <w:lang w:eastAsia="en-NZ"/>
          </w:rPr>
          <w:tab/>
        </w:r>
        <w:r w:rsidRPr="00016158">
          <w:rPr>
            <w:rStyle w:val="Hyperlink"/>
          </w:rPr>
          <w:t xml:space="preserve"> Asset Register</w:t>
        </w:r>
        <w:r>
          <w:rPr>
            <w:webHidden/>
          </w:rPr>
          <w:tab/>
        </w:r>
        <w:r>
          <w:rPr>
            <w:webHidden/>
          </w:rPr>
          <w:fldChar w:fldCharType="begin"/>
        </w:r>
        <w:r>
          <w:rPr>
            <w:webHidden/>
          </w:rPr>
          <w:instrText xml:space="preserve"> PAGEREF _Toc329301652 \h </w:instrText>
        </w:r>
        <w:r>
          <w:rPr>
            <w:webHidden/>
          </w:rPr>
        </w:r>
        <w:r>
          <w:rPr>
            <w:webHidden/>
          </w:rPr>
          <w:fldChar w:fldCharType="separate"/>
        </w:r>
        <w:r>
          <w:rPr>
            <w:webHidden/>
          </w:rPr>
          <w:t>87</w:t>
        </w:r>
        <w:r>
          <w:rPr>
            <w:webHidden/>
          </w:rPr>
          <w:fldChar w:fldCharType="end"/>
        </w:r>
      </w:hyperlink>
    </w:p>
    <w:p w:rsidR="00A84D28" w:rsidRDefault="00A84D28">
      <w:pPr>
        <w:pStyle w:val="TOC1"/>
        <w:rPr>
          <w:rFonts w:eastAsiaTheme="minorEastAsia" w:cstheme="minorBidi"/>
          <w:b w:val="0"/>
          <w:sz w:val="22"/>
          <w:szCs w:val="22"/>
          <w:lang w:eastAsia="en-NZ"/>
        </w:rPr>
      </w:pPr>
      <w:hyperlink w:anchor="_Toc329301653" w:history="1">
        <w:r w:rsidRPr="00016158">
          <w:rPr>
            <w:rStyle w:val="Hyperlink"/>
          </w:rPr>
          <w:t>Schedule 9b</w:t>
        </w:r>
        <w:r>
          <w:rPr>
            <w:rFonts w:eastAsiaTheme="minorEastAsia" w:cstheme="minorBidi"/>
            <w:b w:val="0"/>
            <w:sz w:val="22"/>
            <w:szCs w:val="22"/>
            <w:lang w:eastAsia="en-NZ"/>
          </w:rPr>
          <w:tab/>
        </w:r>
        <w:r w:rsidRPr="00016158">
          <w:rPr>
            <w:rStyle w:val="Hyperlink"/>
          </w:rPr>
          <w:t xml:space="preserve"> Asset Age Profile</w:t>
        </w:r>
        <w:r>
          <w:rPr>
            <w:webHidden/>
          </w:rPr>
          <w:tab/>
        </w:r>
        <w:r>
          <w:rPr>
            <w:webHidden/>
          </w:rPr>
          <w:fldChar w:fldCharType="begin"/>
        </w:r>
        <w:r>
          <w:rPr>
            <w:webHidden/>
          </w:rPr>
          <w:instrText xml:space="preserve"> PAGEREF _Toc329301653 \h </w:instrText>
        </w:r>
        <w:r>
          <w:rPr>
            <w:webHidden/>
          </w:rPr>
        </w:r>
        <w:r>
          <w:rPr>
            <w:webHidden/>
          </w:rPr>
          <w:fldChar w:fldCharType="separate"/>
        </w:r>
        <w:r>
          <w:rPr>
            <w:webHidden/>
          </w:rPr>
          <w:t>88</w:t>
        </w:r>
        <w:r>
          <w:rPr>
            <w:webHidden/>
          </w:rPr>
          <w:fldChar w:fldCharType="end"/>
        </w:r>
      </w:hyperlink>
    </w:p>
    <w:p w:rsidR="00A84D28" w:rsidRDefault="00A84D28">
      <w:pPr>
        <w:pStyle w:val="TOC1"/>
        <w:rPr>
          <w:rFonts w:eastAsiaTheme="minorEastAsia" w:cstheme="minorBidi"/>
          <w:b w:val="0"/>
          <w:sz w:val="22"/>
          <w:szCs w:val="22"/>
          <w:lang w:eastAsia="en-NZ"/>
        </w:rPr>
      </w:pPr>
      <w:hyperlink w:anchor="_Toc329301654" w:history="1">
        <w:r w:rsidRPr="00016158">
          <w:rPr>
            <w:rStyle w:val="Hyperlink"/>
          </w:rPr>
          <w:t>Schedule 9c</w:t>
        </w:r>
        <w:r>
          <w:rPr>
            <w:rFonts w:eastAsiaTheme="minorEastAsia" w:cstheme="minorBidi"/>
            <w:b w:val="0"/>
            <w:sz w:val="22"/>
            <w:szCs w:val="22"/>
            <w:lang w:eastAsia="en-NZ"/>
          </w:rPr>
          <w:tab/>
        </w:r>
        <w:r w:rsidRPr="00016158">
          <w:rPr>
            <w:rStyle w:val="Hyperlink"/>
          </w:rPr>
          <w:t xml:space="preserve"> Report on Pipeline Data</w:t>
        </w:r>
        <w:r>
          <w:rPr>
            <w:webHidden/>
          </w:rPr>
          <w:tab/>
        </w:r>
        <w:r>
          <w:rPr>
            <w:webHidden/>
          </w:rPr>
          <w:fldChar w:fldCharType="begin"/>
        </w:r>
        <w:r>
          <w:rPr>
            <w:webHidden/>
          </w:rPr>
          <w:instrText xml:space="preserve"> PAGEREF _Toc329301654 \h </w:instrText>
        </w:r>
        <w:r>
          <w:rPr>
            <w:webHidden/>
          </w:rPr>
        </w:r>
        <w:r>
          <w:rPr>
            <w:webHidden/>
          </w:rPr>
          <w:fldChar w:fldCharType="separate"/>
        </w:r>
        <w:r>
          <w:rPr>
            <w:webHidden/>
          </w:rPr>
          <w:t>89</w:t>
        </w:r>
        <w:r>
          <w:rPr>
            <w:webHidden/>
          </w:rPr>
          <w:fldChar w:fldCharType="end"/>
        </w:r>
      </w:hyperlink>
    </w:p>
    <w:p w:rsidR="00A84D28" w:rsidRDefault="00A84D28">
      <w:pPr>
        <w:pStyle w:val="TOC1"/>
        <w:rPr>
          <w:rFonts w:eastAsiaTheme="minorEastAsia" w:cstheme="minorBidi"/>
          <w:b w:val="0"/>
          <w:sz w:val="22"/>
          <w:szCs w:val="22"/>
          <w:lang w:eastAsia="en-NZ"/>
        </w:rPr>
      </w:pPr>
      <w:hyperlink w:anchor="_Toc329301655" w:history="1">
        <w:r w:rsidRPr="00016158">
          <w:rPr>
            <w:rStyle w:val="Hyperlink"/>
          </w:rPr>
          <w:t>Schedule 9d</w:t>
        </w:r>
        <w:r>
          <w:rPr>
            <w:rFonts w:eastAsiaTheme="minorEastAsia" w:cstheme="minorBidi"/>
            <w:b w:val="0"/>
            <w:sz w:val="22"/>
            <w:szCs w:val="22"/>
            <w:lang w:eastAsia="en-NZ"/>
          </w:rPr>
          <w:tab/>
        </w:r>
        <w:r w:rsidRPr="00016158">
          <w:rPr>
            <w:rStyle w:val="Hyperlink"/>
          </w:rPr>
          <w:t xml:space="preserve"> Report on Demand</w:t>
        </w:r>
        <w:r>
          <w:rPr>
            <w:webHidden/>
          </w:rPr>
          <w:tab/>
        </w:r>
        <w:r>
          <w:rPr>
            <w:webHidden/>
          </w:rPr>
          <w:fldChar w:fldCharType="begin"/>
        </w:r>
        <w:r>
          <w:rPr>
            <w:webHidden/>
          </w:rPr>
          <w:instrText xml:space="preserve"> PAGEREF _Toc329301655 \h </w:instrText>
        </w:r>
        <w:r>
          <w:rPr>
            <w:webHidden/>
          </w:rPr>
        </w:r>
        <w:r>
          <w:rPr>
            <w:webHidden/>
          </w:rPr>
          <w:fldChar w:fldCharType="separate"/>
        </w:r>
        <w:r>
          <w:rPr>
            <w:webHidden/>
          </w:rPr>
          <w:t>90</w:t>
        </w:r>
        <w:r>
          <w:rPr>
            <w:webHidden/>
          </w:rPr>
          <w:fldChar w:fldCharType="end"/>
        </w:r>
      </w:hyperlink>
    </w:p>
    <w:p w:rsidR="00A84D28" w:rsidRDefault="00A84D28">
      <w:pPr>
        <w:pStyle w:val="TOC1"/>
        <w:rPr>
          <w:rFonts w:eastAsiaTheme="minorEastAsia" w:cstheme="minorBidi"/>
          <w:b w:val="0"/>
          <w:sz w:val="22"/>
          <w:szCs w:val="22"/>
          <w:lang w:eastAsia="en-NZ"/>
        </w:rPr>
      </w:pPr>
      <w:hyperlink w:anchor="_Toc329301656" w:history="1">
        <w:r w:rsidRPr="00016158">
          <w:rPr>
            <w:rStyle w:val="Hyperlink"/>
          </w:rPr>
          <w:t>Schedule 10</w:t>
        </w:r>
        <w:r>
          <w:rPr>
            <w:rFonts w:eastAsiaTheme="minorEastAsia" w:cstheme="minorBidi"/>
            <w:b w:val="0"/>
            <w:sz w:val="22"/>
            <w:szCs w:val="22"/>
            <w:lang w:eastAsia="en-NZ"/>
          </w:rPr>
          <w:tab/>
        </w:r>
        <w:r w:rsidRPr="00016158">
          <w:rPr>
            <w:rStyle w:val="Hyperlink"/>
          </w:rPr>
          <w:t xml:space="preserve"> Report on Network Reliability and Interruptions</w:t>
        </w:r>
        <w:r>
          <w:rPr>
            <w:webHidden/>
          </w:rPr>
          <w:tab/>
        </w:r>
        <w:r>
          <w:rPr>
            <w:webHidden/>
          </w:rPr>
          <w:fldChar w:fldCharType="begin"/>
        </w:r>
        <w:r>
          <w:rPr>
            <w:webHidden/>
          </w:rPr>
          <w:instrText xml:space="preserve"> PAGEREF _Toc329301656 \h </w:instrText>
        </w:r>
        <w:r>
          <w:rPr>
            <w:webHidden/>
          </w:rPr>
        </w:r>
        <w:r>
          <w:rPr>
            <w:webHidden/>
          </w:rPr>
          <w:fldChar w:fldCharType="separate"/>
        </w:r>
        <w:r>
          <w:rPr>
            <w:webHidden/>
          </w:rPr>
          <w:t>91</w:t>
        </w:r>
        <w:r>
          <w:rPr>
            <w:webHidden/>
          </w:rPr>
          <w:fldChar w:fldCharType="end"/>
        </w:r>
      </w:hyperlink>
    </w:p>
    <w:p w:rsidR="00A84D28" w:rsidRDefault="00A84D28">
      <w:pPr>
        <w:pStyle w:val="TOC1"/>
        <w:rPr>
          <w:rFonts w:eastAsiaTheme="minorEastAsia" w:cstheme="minorBidi"/>
          <w:b w:val="0"/>
          <w:sz w:val="22"/>
          <w:szCs w:val="22"/>
          <w:lang w:eastAsia="en-NZ"/>
        </w:rPr>
      </w:pPr>
      <w:hyperlink w:anchor="_Toc329301657" w:history="1">
        <w:r w:rsidRPr="00016158">
          <w:rPr>
            <w:rStyle w:val="Hyperlink"/>
          </w:rPr>
          <w:t>Schedule 10a</w:t>
        </w:r>
        <w:r>
          <w:rPr>
            <w:rFonts w:eastAsiaTheme="minorEastAsia" w:cstheme="minorBidi"/>
            <w:b w:val="0"/>
            <w:sz w:val="22"/>
            <w:szCs w:val="22"/>
            <w:lang w:eastAsia="en-NZ"/>
          </w:rPr>
          <w:tab/>
        </w:r>
        <w:r w:rsidRPr="00016158">
          <w:rPr>
            <w:rStyle w:val="Hyperlink"/>
          </w:rPr>
          <w:t>Report on Network Integrity and Customer Service</w:t>
        </w:r>
        <w:r>
          <w:rPr>
            <w:webHidden/>
          </w:rPr>
          <w:tab/>
        </w:r>
        <w:r>
          <w:rPr>
            <w:webHidden/>
          </w:rPr>
          <w:fldChar w:fldCharType="begin"/>
        </w:r>
        <w:r>
          <w:rPr>
            <w:webHidden/>
          </w:rPr>
          <w:instrText xml:space="preserve"> PAGEREF _Toc329301657 \h </w:instrText>
        </w:r>
        <w:r>
          <w:rPr>
            <w:webHidden/>
          </w:rPr>
        </w:r>
        <w:r>
          <w:rPr>
            <w:webHidden/>
          </w:rPr>
          <w:fldChar w:fldCharType="separate"/>
        </w:r>
        <w:r>
          <w:rPr>
            <w:webHidden/>
          </w:rPr>
          <w:t>92</w:t>
        </w:r>
        <w:r>
          <w:rPr>
            <w:webHidden/>
          </w:rPr>
          <w:fldChar w:fldCharType="end"/>
        </w:r>
      </w:hyperlink>
    </w:p>
    <w:p w:rsidR="00A84D28" w:rsidRDefault="00A84D28">
      <w:pPr>
        <w:pStyle w:val="TOC1"/>
        <w:rPr>
          <w:rFonts w:eastAsiaTheme="minorEastAsia" w:cstheme="minorBidi"/>
          <w:b w:val="0"/>
          <w:sz w:val="22"/>
          <w:szCs w:val="22"/>
          <w:lang w:eastAsia="en-NZ"/>
        </w:rPr>
      </w:pPr>
      <w:hyperlink w:anchor="_Toc329301658" w:history="1">
        <w:r w:rsidRPr="00016158">
          <w:rPr>
            <w:rStyle w:val="Hyperlink"/>
          </w:rPr>
          <w:t>Schedule 11a</w:t>
        </w:r>
        <w:r>
          <w:rPr>
            <w:rFonts w:eastAsiaTheme="minorEastAsia" w:cstheme="minorBidi"/>
            <w:b w:val="0"/>
            <w:sz w:val="22"/>
            <w:szCs w:val="22"/>
            <w:lang w:eastAsia="en-NZ"/>
          </w:rPr>
          <w:tab/>
        </w:r>
        <w:r w:rsidRPr="00016158">
          <w:rPr>
            <w:rStyle w:val="Hyperlink"/>
          </w:rPr>
          <w:t>Report on Forecast Capital Expenditure</w:t>
        </w:r>
        <w:r>
          <w:rPr>
            <w:webHidden/>
          </w:rPr>
          <w:tab/>
        </w:r>
        <w:r>
          <w:rPr>
            <w:webHidden/>
          </w:rPr>
          <w:fldChar w:fldCharType="begin"/>
        </w:r>
        <w:r>
          <w:rPr>
            <w:webHidden/>
          </w:rPr>
          <w:instrText xml:space="preserve"> PAGEREF _Toc329301658 \h </w:instrText>
        </w:r>
        <w:r>
          <w:rPr>
            <w:webHidden/>
          </w:rPr>
        </w:r>
        <w:r>
          <w:rPr>
            <w:webHidden/>
          </w:rPr>
          <w:fldChar w:fldCharType="separate"/>
        </w:r>
        <w:r>
          <w:rPr>
            <w:webHidden/>
          </w:rPr>
          <w:t>94</w:t>
        </w:r>
        <w:r>
          <w:rPr>
            <w:webHidden/>
          </w:rPr>
          <w:fldChar w:fldCharType="end"/>
        </w:r>
      </w:hyperlink>
    </w:p>
    <w:p w:rsidR="00A84D28" w:rsidRDefault="00A84D28">
      <w:pPr>
        <w:pStyle w:val="TOC1"/>
        <w:rPr>
          <w:rFonts w:eastAsiaTheme="minorEastAsia" w:cstheme="minorBidi"/>
          <w:b w:val="0"/>
          <w:sz w:val="22"/>
          <w:szCs w:val="22"/>
          <w:lang w:eastAsia="en-NZ"/>
        </w:rPr>
      </w:pPr>
      <w:hyperlink w:anchor="_Toc329301659" w:history="1">
        <w:r w:rsidRPr="00016158">
          <w:rPr>
            <w:rStyle w:val="Hyperlink"/>
          </w:rPr>
          <w:t>Schedule 11b</w:t>
        </w:r>
        <w:r>
          <w:rPr>
            <w:rFonts w:eastAsiaTheme="minorEastAsia" w:cstheme="minorBidi"/>
            <w:b w:val="0"/>
            <w:sz w:val="22"/>
            <w:szCs w:val="22"/>
            <w:lang w:eastAsia="en-NZ"/>
          </w:rPr>
          <w:tab/>
        </w:r>
        <w:r w:rsidRPr="00016158">
          <w:rPr>
            <w:rStyle w:val="Hyperlink"/>
          </w:rPr>
          <w:t>Report on Forecast Operational Expenditure</w:t>
        </w:r>
        <w:r>
          <w:rPr>
            <w:webHidden/>
          </w:rPr>
          <w:tab/>
        </w:r>
        <w:r>
          <w:rPr>
            <w:webHidden/>
          </w:rPr>
          <w:fldChar w:fldCharType="begin"/>
        </w:r>
        <w:r>
          <w:rPr>
            <w:webHidden/>
          </w:rPr>
          <w:instrText xml:space="preserve"> PAGEREF _Toc329301659 \h </w:instrText>
        </w:r>
        <w:r>
          <w:rPr>
            <w:webHidden/>
          </w:rPr>
        </w:r>
        <w:r>
          <w:rPr>
            <w:webHidden/>
          </w:rPr>
          <w:fldChar w:fldCharType="separate"/>
        </w:r>
        <w:r>
          <w:rPr>
            <w:webHidden/>
          </w:rPr>
          <w:t>97</w:t>
        </w:r>
        <w:r>
          <w:rPr>
            <w:webHidden/>
          </w:rPr>
          <w:fldChar w:fldCharType="end"/>
        </w:r>
      </w:hyperlink>
    </w:p>
    <w:p w:rsidR="00A84D28" w:rsidRDefault="00A84D28">
      <w:pPr>
        <w:pStyle w:val="TOC1"/>
        <w:rPr>
          <w:rFonts w:eastAsiaTheme="minorEastAsia" w:cstheme="minorBidi"/>
          <w:b w:val="0"/>
          <w:sz w:val="22"/>
          <w:szCs w:val="22"/>
          <w:lang w:eastAsia="en-NZ"/>
        </w:rPr>
      </w:pPr>
      <w:hyperlink w:anchor="_Toc329301660" w:history="1">
        <w:r w:rsidRPr="00016158">
          <w:rPr>
            <w:rStyle w:val="Hyperlink"/>
          </w:rPr>
          <w:t>Schedule 12a</w:t>
        </w:r>
        <w:r>
          <w:rPr>
            <w:rFonts w:eastAsiaTheme="minorEastAsia" w:cstheme="minorBidi"/>
            <w:b w:val="0"/>
            <w:sz w:val="22"/>
            <w:szCs w:val="22"/>
            <w:lang w:eastAsia="en-NZ"/>
          </w:rPr>
          <w:tab/>
        </w:r>
        <w:r w:rsidRPr="00016158">
          <w:rPr>
            <w:rStyle w:val="Hyperlink"/>
          </w:rPr>
          <w:t>Report on Asset Condition at the End of the Disclosure Year</w:t>
        </w:r>
        <w:r>
          <w:rPr>
            <w:webHidden/>
          </w:rPr>
          <w:tab/>
        </w:r>
        <w:r>
          <w:rPr>
            <w:webHidden/>
          </w:rPr>
          <w:fldChar w:fldCharType="begin"/>
        </w:r>
        <w:r>
          <w:rPr>
            <w:webHidden/>
          </w:rPr>
          <w:instrText xml:space="preserve"> PAGEREF _Toc329301660 \h </w:instrText>
        </w:r>
        <w:r>
          <w:rPr>
            <w:webHidden/>
          </w:rPr>
        </w:r>
        <w:r>
          <w:rPr>
            <w:webHidden/>
          </w:rPr>
          <w:fldChar w:fldCharType="separate"/>
        </w:r>
        <w:r>
          <w:rPr>
            <w:webHidden/>
          </w:rPr>
          <w:t>98</w:t>
        </w:r>
        <w:r>
          <w:rPr>
            <w:webHidden/>
          </w:rPr>
          <w:fldChar w:fldCharType="end"/>
        </w:r>
      </w:hyperlink>
    </w:p>
    <w:p w:rsidR="00A84D28" w:rsidRDefault="00A84D28">
      <w:pPr>
        <w:pStyle w:val="TOC1"/>
        <w:rPr>
          <w:rFonts w:eastAsiaTheme="minorEastAsia" w:cstheme="minorBidi"/>
          <w:b w:val="0"/>
          <w:sz w:val="22"/>
          <w:szCs w:val="22"/>
          <w:lang w:eastAsia="en-NZ"/>
        </w:rPr>
      </w:pPr>
      <w:hyperlink w:anchor="_Toc329301661" w:history="1">
        <w:r w:rsidRPr="00016158">
          <w:rPr>
            <w:rStyle w:val="Hyperlink"/>
          </w:rPr>
          <w:t>Schedule 12b</w:t>
        </w:r>
        <w:r>
          <w:rPr>
            <w:rFonts w:eastAsiaTheme="minorEastAsia" w:cstheme="minorBidi"/>
            <w:b w:val="0"/>
            <w:sz w:val="22"/>
            <w:szCs w:val="22"/>
            <w:lang w:eastAsia="en-NZ"/>
          </w:rPr>
          <w:tab/>
        </w:r>
        <w:r w:rsidRPr="00016158">
          <w:rPr>
            <w:rStyle w:val="Hyperlink"/>
          </w:rPr>
          <w:t>Report on Forecast Utilisation</w:t>
        </w:r>
        <w:r>
          <w:rPr>
            <w:webHidden/>
          </w:rPr>
          <w:tab/>
        </w:r>
        <w:r>
          <w:rPr>
            <w:webHidden/>
          </w:rPr>
          <w:fldChar w:fldCharType="begin"/>
        </w:r>
        <w:r>
          <w:rPr>
            <w:webHidden/>
          </w:rPr>
          <w:instrText xml:space="preserve"> PAGEREF _Toc329301661 \h </w:instrText>
        </w:r>
        <w:r>
          <w:rPr>
            <w:webHidden/>
          </w:rPr>
        </w:r>
        <w:r>
          <w:rPr>
            <w:webHidden/>
          </w:rPr>
          <w:fldChar w:fldCharType="separate"/>
        </w:r>
        <w:r>
          <w:rPr>
            <w:webHidden/>
          </w:rPr>
          <w:t>99</w:t>
        </w:r>
        <w:r>
          <w:rPr>
            <w:webHidden/>
          </w:rPr>
          <w:fldChar w:fldCharType="end"/>
        </w:r>
      </w:hyperlink>
    </w:p>
    <w:p w:rsidR="00A84D28" w:rsidRDefault="00A84D28">
      <w:pPr>
        <w:pStyle w:val="TOC1"/>
        <w:rPr>
          <w:rFonts w:eastAsiaTheme="minorEastAsia" w:cstheme="minorBidi"/>
          <w:b w:val="0"/>
          <w:sz w:val="22"/>
          <w:szCs w:val="22"/>
          <w:lang w:eastAsia="en-NZ"/>
        </w:rPr>
      </w:pPr>
      <w:hyperlink w:anchor="_Toc329301662" w:history="1">
        <w:r w:rsidRPr="00016158">
          <w:rPr>
            <w:rStyle w:val="Hyperlink"/>
          </w:rPr>
          <w:t>Schedule 12c</w:t>
        </w:r>
        <w:r>
          <w:rPr>
            <w:rFonts w:eastAsiaTheme="minorEastAsia" w:cstheme="minorBidi"/>
            <w:b w:val="0"/>
            <w:sz w:val="22"/>
            <w:szCs w:val="22"/>
            <w:lang w:eastAsia="en-NZ"/>
          </w:rPr>
          <w:tab/>
        </w:r>
        <w:r w:rsidRPr="00016158">
          <w:rPr>
            <w:rStyle w:val="Hyperlink"/>
          </w:rPr>
          <w:t>Report on Forecast Demand</w:t>
        </w:r>
        <w:r>
          <w:rPr>
            <w:webHidden/>
          </w:rPr>
          <w:tab/>
        </w:r>
        <w:r>
          <w:rPr>
            <w:webHidden/>
          </w:rPr>
          <w:fldChar w:fldCharType="begin"/>
        </w:r>
        <w:r>
          <w:rPr>
            <w:webHidden/>
          </w:rPr>
          <w:instrText xml:space="preserve"> PAGEREF _Toc329301662 \h </w:instrText>
        </w:r>
        <w:r>
          <w:rPr>
            <w:webHidden/>
          </w:rPr>
        </w:r>
        <w:r>
          <w:rPr>
            <w:webHidden/>
          </w:rPr>
          <w:fldChar w:fldCharType="separate"/>
        </w:r>
        <w:r>
          <w:rPr>
            <w:webHidden/>
          </w:rPr>
          <w:t>100</w:t>
        </w:r>
        <w:r>
          <w:rPr>
            <w:webHidden/>
          </w:rPr>
          <w:fldChar w:fldCharType="end"/>
        </w:r>
      </w:hyperlink>
    </w:p>
    <w:p w:rsidR="00A84D28" w:rsidRDefault="00A84D28">
      <w:pPr>
        <w:pStyle w:val="TOC1"/>
        <w:rPr>
          <w:rFonts w:eastAsiaTheme="minorEastAsia" w:cstheme="minorBidi"/>
          <w:b w:val="0"/>
          <w:sz w:val="22"/>
          <w:szCs w:val="22"/>
          <w:lang w:eastAsia="en-NZ"/>
        </w:rPr>
      </w:pPr>
      <w:hyperlink w:anchor="_Toc329301663" w:history="1">
        <w:r w:rsidRPr="00016158">
          <w:rPr>
            <w:rStyle w:val="Hyperlink"/>
          </w:rPr>
          <w:t>Schedule 13</w:t>
        </w:r>
        <w:r>
          <w:rPr>
            <w:rFonts w:eastAsiaTheme="minorEastAsia" w:cstheme="minorBidi"/>
            <w:b w:val="0"/>
            <w:sz w:val="22"/>
            <w:szCs w:val="22"/>
            <w:lang w:eastAsia="en-NZ"/>
          </w:rPr>
          <w:tab/>
        </w:r>
        <w:r w:rsidRPr="00016158">
          <w:rPr>
            <w:rStyle w:val="Hyperlink"/>
          </w:rPr>
          <w:t xml:space="preserve"> Report on Asset Management Maturity</w:t>
        </w:r>
        <w:r>
          <w:rPr>
            <w:webHidden/>
          </w:rPr>
          <w:tab/>
        </w:r>
        <w:r>
          <w:rPr>
            <w:webHidden/>
          </w:rPr>
          <w:fldChar w:fldCharType="begin"/>
        </w:r>
        <w:r>
          <w:rPr>
            <w:webHidden/>
          </w:rPr>
          <w:instrText xml:space="preserve"> PAGEREF _Toc329301663 \h </w:instrText>
        </w:r>
        <w:r>
          <w:rPr>
            <w:webHidden/>
          </w:rPr>
        </w:r>
        <w:r>
          <w:rPr>
            <w:webHidden/>
          </w:rPr>
          <w:fldChar w:fldCharType="separate"/>
        </w:r>
        <w:r>
          <w:rPr>
            <w:webHidden/>
          </w:rPr>
          <w:t>101</w:t>
        </w:r>
        <w:r>
          <w:rPr>
            <w:webHidden/>
          </w:rPr>
          <w:fldChar w:fldCharType="end"/>
        </w:r>
      </w:hyperlink>
    </w:p>
    <w:p w:rsidR="00A84D28" w:rsidRDefault="00A84D28">
      <w:pPr>
        <w:pStyle w:val="TOC1"/>
        <w:rPr>
          <w:rFonts w:eastAsiaTheme="minorEastAsia" w:cstheme="minorBidi"/>
          <w:b w:val="0"/>
          <w:sz w:val="22"/>
          <w:szCs w:val="22"/>
          <w:lang w:eastAsia="en-NZ"/>
        </w:rPr>
      </w:pPr>
      <w:hyperlink w:anchor="_Toc329301664" w:history="1">
        <w:r w:rsidRPr="00016158">
          <w:rPr>
            <w:rStyle w:val="Hyperlink"/>
          </w:rPr>
          <w:t>Schedule 14</w:t>
        </w:r>
        <w:r>
          <w:rPr>
            <w:rFonts w:eastAsiaTheme="minorEastAsia" w:cstheme="minorBidi"/>
            <w:b w:val="0"/>
            <w:sz w:val="22"/>
            <w:szCs w:val="22"/>
            <w:lang w:eastAsia="en-NZ"/>
          </w:rPr>
          <w:tab/>
        </w:r>
        <w:r w:rsidRPr="00016158">
          <w:rPr>
            <w:rStyle w:val="Hyperlink"/>
          </w:rPr>
          <w:t xml:space="preserve"> Mandatory Explanatory Notes</w:t>
        </w:r>
        <w:r>
          <w:rPr>
            <w:webHidden/>
          </w:rPr>
          <w:tab/>
        </w:r>
        <w:r>
          <w:rPr>
            <w:webHidden/>
          </w:rPr>
          <w:fldChar w:fldCharType="begin"/>
        </w:r>
        <w:r>
          <w:rPr>
            <w:webHidden/>
          </w:rPr>
          <w:instrText xml:space="preserve"> PAGEREF _Toc329301664 \h </w:instrText>
        </w:r>
        <w:r>
          <w:rPr>
            <w:webHidden/>
          </w:rPr>
        </w:r>
        <w:r>
          <w:rPr>
            <w:webHidden/>
          </w:rPr>
          <w:fldChar w:fldCharType="separate"/>
        </w:r>
        <w:r>
          <w:rPr>
            <w:webHidden/>
          </w:rPr>
          <w:t>111</w:t>
        </w:r>
        <w:r>
          <w:rPr>
            <w:webHidden/>
          </w:rPr>
          <w:fldChar w:fldCharType="end"/>
        </w:r>
      </w:hyperlink>
    </w:p>
    <w:p w:rsidR="00A84D28" w:rsidRDefault="00A84D28">
      <w:pPr>
        <w:pStyle w:val="TOC1"/>
        <w:rPr>
          <w:rFonts w:eastAsiaTheme="minorEastAsia" w:cstheme="minorBidi"/>
          <w:b w:val="0"/>
          <w:sz w:val="22"/>
          <w:szCs w:val="22"/>
          <w:lang w:eastAsia="en-NZ"/>
        </w:rPr>
      </w:pPr>
      <w:hyperlink w:anchor="_Toc329301665" w:history="1">
        <w:r w:rsidRPr="00016158">
          <w:rPr>
            <w:rStyle w:val="Hyperlink"/>
          </w:rPr>
          <w:t>Schedule 14a</w:t>
        </w:r>
        <w:r>
          <w:rPr>
            <w:rFonts w:eastAsiaTheme="minorEastAsia" w:cstheme="minorBidi"/>
            <w:b w:val="0"/>
            <w:sz w:val="22"/>
            <w:szCs w:val="22"/>
            <w:lang w:eastAsia="en-NZ"/>
          </w:rPr>
          <w:tab/>
        </w:r>
        <w:r w:rsidRPr="00016158">
          <w:rPr>
            <w:rStyle w:val="Hyperlink"/>
          </w:rPr>
          <w:t>Mandatory Explanatory Notes on Forecast Information</w:t>
        </w:r>
        <w:r>
          <w:rPr>
            <w:webHidden/>
          </w:rPr>
          <w:tab/>
        </w:r>
        <w:r>
          <w:rPr>
            <w:webHidden/>
          </w:rPr>
          <w:fldChar w:fldCharType="begin"/>
        </w:r>
        <w:r>
          <w:rPr>
            <w:webHidden/>
          </w:rPr>
          <w:instrText xml:space="preserve"> PAGEREF _Toc329301665 \h </w:instrText>
        </w:r>
        <w:r>
          <w:rPr>
            <w:webHidden/>
          </w:rPr>
        </w:r>
        <w:r>
          <w:rPr>
            <w:webHidden/>
          </w:rPr>
          <w:fldChar w:fldCharType="separate"/>
        </w:r>
        <w:r>
          <w:rPr>
            <w:webHidden/>
          </w:rPr>
          <w:t>117</w:t>
        </w:r>
        <w:r>
          <w:rPr>
            <w:webHidden/>
          </w:rPr>
          <w:fldChar w:fldCharType="end"/>
        </w:r>
      </w:hyperlink>
    </w:p>
    <w:p w:rsidR="00A84D28" w:rsidRDefault="00A84D28">
      <w:pPr>
        <w:pStyle w:val="TOC1"/>
        <w:rPr>
          <w:rFonts w:eastAsiaTheme="minorEastAsia" w:cstheme="minorBidi"/>
          <w:b w:val="0"/>
          <w:sz w:val="22"/>
          <w:szCs w:val="22"/>
          <w:lang w:eastAsia="en-NZ"/>
        </w:rPr>
      </w:pPr>
      <w:hyperlink w:anchor="_Toc329301666" w:history="1">
        <w:r w:rsidRPr="00016158">
          <w:rPr>
            <w:rStyle w:val="Hyperlink"/>
          </w:rPr>
          <w:t>Schedule 14b</w:t>
        </w:r>
        <w:r>
          <w:rPr>
            <w:rFonts w:eastAsiaTheme="minorEastAsia" w:cstheme="minorBidi"/>
            <w:b w:val="0"/>
            <w:sz w:val="22"/>
            <w:szCs w:val="22"/>
            <w:lang w:eastAsia="en-NZ"/>
          </w:rPr>
          <w:tab/>
        </w:r>
        <w:r w:rsidRPr="00016158">
          <w:rPr>
            <w:rStyle w:val="Hyperlink"/>
          </w:rPr>
          <w:t>Explanatory Notes on Transitional Financial Information</w:t>
        </w:r>
        <w:r>
          <w:rPr>
            <w:webHidden/>
          </w:rPr>
          <w:tab/>
        </w:r>
        <w:r>
          <w:rPr>
            <w:webHidden/>
          </w:rPr>
          <w:fldChar w:fldCharType="begin"/>
        </w:r>
        <w:r>
          <w:rPr>
            <w:webHidden/>
          </w:rPr>
          <w:instrText xml:space="preserve"> PAGEREF _Toc329301666 \h </w:instrText>
        </w:r>
        <w:r>
          <w:rPr>
            <w:webHidden/>
          </w:rPr>
        </w:r>
        <w:r>
          <w:rPr>
            <w:webHidden/>
          </w:rPr>
          <w:fldChar w:fldCharType="separate"/>
        </w:r>
        <w:r>
          <w:rPr>
            <w:webHidden/>
          </w:rPr>
          <w:t>118</w:t>
        </w:r>
        <w:r>
          <w:rPr>
            <w:webHidden/>
          </w:rPr>
          <w:fldChar w:fldCharType="end"/>
        </w:r>
      </w:hyperlink>
    </w:p>
    <w:p w:rsidR="00A84D28" w:rsidRDefault="00A84D28">
      <w:pPr>
        <w:pStyle w:val="TOC1"/>
        <w:rPr>
          <w:rFonts w:eastAsiaTheme="minorEastAsia" w:cstheme="minorBidi"/>
          <w:b w:val="0"/>
          <w:sz w:val="22"/>
          <w:szCs w:val="22"/>
          <w:lang w:eastAsia="en-NZ"/>
        </w:rPr>
      </w:pPr>
      <w:hyperlink w:anchor="_Toc329301667" w:history="1">
        <w:r w:rsidRPr="00016158">
          <w:rPr>
            <w:rStyle w:val="Hyperlink"/>
          </w:rPr>
          <w:t>Schedule 15</w:t>
        </w:r>
        <w:r>
          <w:rPr>
            <w:rFonts w:eastAsiaTheme="minorEastAsia" w:cstheme="minorBidi"/>
            <w:b w:val="0"/>
            <w:sz w:val="22"/>
            <w:szCs w:val="22"/>
            <w:lang w:eastAsia="en-NZ"/>
          </w:rPr>
          <w:tab/>
        </w:r>
        <w:r w:rsidRPr="00016158">
          <w:rPr>
            <w:rStyle w:val="Hyperlink"/>
          </w:rPr>
          <w:t xml:space="preserve"> Voluntary Explanatory Notes</w:t>
        </w:r>
        <w:r>
          <w:rPr>
            <w:webHidden/>
          </w:rPr>
          <w:tab/>
        </w:r>
        <w:r>
          <w:rPr>
            <w:webHidden/>
          </w:rPr>
          <w:fldChar w:fldCharType="begin"/>
        </w:r>
        <w:r>
          <w:rPr>
            <w:webHidden/>
          </w:rPr>
          <w:instrText xml:space="preserve"> PAGEREF _Toc329301667 \h </w:instrText>
        </w:r>
        <w:r>
          <w:rPr>
            <w:webHidden/>
          </w:rPr>
        </w:r>
        <w:r>
          <w:rPr>
            <w:webHidden/>
          </w:rPr>
          <w:fldChar w:fldCharType="separate"/>
        </w:r>
        <w:r>
          <w:rPr>
            <w:webHidden/>
          </w:rPr>
          <w:t>119</w:t>
        </w:r>
        <w:r>
          <w:rPr>
            <w:webHidden/>
          </w:rPr>
          <w:fldChar w:fldCharType="end"/>
        </w:r>
      </w:hyperlink>
    </w:p>
    <w:p w:rsidR="00A84D28" w:rsidRDefault="00A84D28">
      <w:pPr>
        <w:pStyle w:val="TOC1"/>
        <w:rPr>
          <w:rFonts w:eastAsiaTheme="minorEastAsia" w:cstheme="minorBidi"/>
          <w:b w:val="0"/>
          <w:sz w:val="22"/>
          <w:szCs w:val="22"/>
          <w:lang w:eastAsia="en-NZ"/>
        </w:rPr>
      </w:pPr>
      <w:hyperlink w:anchor="_Toc329301668" w:history="1">
        <w:r w:rsidRPr="00016158">
          <w:rPr>
            <w:rStyle w:val="Hyperlink"/>
          </w:rPr>
          <w:t>Schedule 16</w:t>
        </w:r>
        <w:r>
          <w:rPr>
            <w:rFonts w:eastAsiaTheme="minorEastAsia" w:cstheme="minorBidi"/>
            <w:b w:val="0"/>
            <w:sz w:val="22"/>
            <w:szCs w:val="22"/>
            <w:lang w:eastAsia="en-NZ"/>
          </w:rPr>
          <w:tab/>
        </w:r>
        <w:r w:rsidRPr="00016158">
          <w:rPr>
            <w:rStyle w:val="Hyperlink"/>
          </w:rPr>
          <w:t xml:space="preserve"> Definitions of Terms used in Schedules 1 to 15</w:t>
        </w:r>
        <w:r>
          <w:rPr>
            <w:webHidden/>
          </w:rPr>
          <w:tab/>
        </w:r>
        <w:r>
          <w:rPr>
            <w:webHidden/>
          </w:rPr>
          <w:fldChar w:fldCharType="begin"/>
        </w:r>
        <w:r>
          <w:rPr>
            <w:webHidden/>
          </w:rPr>
          <w:instrText xml:space="preserve"> PAGEREF _Toc329301668 \h </w:instrText>
        </w:r>
        <w:r>
          <w:rPr>
            <w:webHidden/>
          </w:rPr>
        </w:r>
        <w:r>
          <w:rPr>
            <w:webHidden/>
          </w:rPr>
          <w:fldChar w:fldCharType="separate"/>
        </w:r>
        <w:r>
          <w:rPr>
            <w:webHidden/>
          </w:rPr>
          <w:t>120</w:t>
        </w:r>
        <w:r>
          <w:rPr>
            <w:webHidden/>
          </w:rPr>
          <w:fldChar w:fldCharType="end"/>
        </w:r>
      </w:hyperlink>
    </w:p>
    <w:p w:rsidR="00A84D28" w:rsidRDefault="00A84D28">
      <w:pPr>
        <w:pStyle w:val="TOC1"/>
        <w:rPr>
          <w:rFonts w:eastAsiaTheme="minorEastAsia" w:cstheme="minorBidi"/>
          <w:b w:val="0"/>
          <w:sz w:val="22"/>
          <w:szCs w:val="22"/>
          <w:lang w:eastAsia="en-NZ"/>
        </w:rPr>
      </w:pPr>
      <w:hyperlink w:anchor="_Toc329301669" w:history="1">
        <w:r w:rsidRPr="00016158">
          <w:rPr>
            <w:rStyle w:val="Hyperlink"/>
          </w:rPr>
          <w:t>Schedule 17</w:t>
        </w:r>
        <w:r>
          <w:rPr>
            <w:rFonts w:eastAsiaTheme="minorEastAsia" w:cstheme="minorBidi"/>
            <w:b w:val="0"/>
            <w:sz w:val="22"/>
            <w:szCs w:val="22"/>
            <w:lang w:eastAsia="en-NZ"/>
          </w:rPr>
          <w:tab/>
        </w:r>
        <w:r w:rsidRPr="00016158">
          <w:rPr>
            <w:rStyle w:val="Hyperlink"/>
          </w:rPr>
          <w:t xml:space="preserve"> Certification for Year-beginning Disclosures</w:t>
        </w:r>
        <w:r>
          <w:rPr>
            <w:webHidden/>
          </w:rPr>
          <w:tab/>
        </w:r>
        <w:r>
          <w:rPr>
            <w:webHidden/>
          </w:rPr>
          <w:fldChar w:fldCharType="begin"/>
        </w:r>
        <w:r>
          <w:rPr>
            <w:webHidden/>
          </w:rPr>
          <w:instrText xml:space="preserve"> PAGEREF _Toc329301669 \h </w:instrText>
        </w:r>
        <w:r>
          <w:rPr>
            <w:webHidden/>
          </w:rPr>
        </w:r>
        <w:r>
          <w:rPr>
            <w:webHidden/>
          </w:rPr>
          <w:fldChar w:fldCharType="separate"/>
        </w:r>
        <w:r>
          <w:rPr>
            <w:webHidden/>
          </w:rPr>
          <w:t>159</w:t>
        </w:r>
        <w:r>
          <w:rPr>
            <w:webHidden/>
          </w:rPr>
          <w:fldChar w:fldCharType="end"/>
        </w:r>
      </w:hyperlink>
    </w:p>
    <w:p w:rsidR="00A84D28" w:rsidRDefault="00A84D28">
      <w:pPr>
        <w:pStyle w:val="TOC1"/>
        <w:rPr>
          <w:rFonts w:eastAsiaTheme="minorEastAsia" w:cstheme="minorBidi"/>
          <w:b w:val="0"/>
          <w:sz w:val="22"/>
          <w:szCs w:val="22"/>
          <w:lang w:eastAsia="en-NZ"/>
        </w:rPr>
      </w:pPr>
      <w:hyperlink w:anchor="_Toc329301670" w:history="1">
        <w:r w:rsidRPr="00016158">
          <w:rPr>
            <w:rStyle w:val="Hyperlink"/>
          </w:rPr>
          <w:t>Schedule 18</w:t>
        </w:r>
        <w:r>
          <w:rPr>
            <w:rFonts w:eastAsiaTheme="minorEastAsia" w:cstheme="minorBidi"/>
            <w:b w:val="0"/>
            <w:sz w:val="22"/>
            <w:szCs w:val="22"/>
            <w:lang w:eastAsia="en-NZ"/>
          </w:rPr>
          <w:tab/>
        </w:r>
        <w:r w:rsidRPr="00016158">
          <w:rPr>
            <w:rStyle w:val="Hyperlink"/>
          </w:rPr>
          <w:t xml:space="preserve"> Certification for Year-end Disclosures</w:t>
        </w:r>
        <w:r>
          <w:rPr>
            <w:webHidden/>
          </w:rPr>
          <w:tab/>
        </w:r>
        <w:r>
          <w:rPr>
            <w:webHidden/>
          </w:rPr>
          <w:fldChar w:fldCharType="begin"/>
        </w:r>
        <w:r>
          <w:rPr>
            <w:webHidden/>
          </w:rPr>
          <w:instrText xml:space="preserve"> PAGEREF _Toc329301670 \h </w:instrText>
        </w:r>
        <w:r>
          <w:rPr>
            <w:webHidden/>
          </w:rPr>
        </w:r>
        <w:r>
          <w:rPr>
            <w:webHidden/>
          </w:rPr>
          <w:fldChar w:fldCharType="separate"/>
        </w:r>
        <w:r>
          <w:rPr>
            <w:webHidden/>
          </w:rPr>
          <w:t>160</w:t>
        </w:r>
        <w:r>
          <w:rPr>
            <w:webHidden/>
          </w:rPr>
          <w:fldChar w:fldCharType="end"/>
        </w:r>
      </w:hyperlink>
    </w:p>
    <w:p w:rsidR="00A84D28" w:rsidRDefault="00A84D28">
      <w:pPr>
        <w:pStyle w:val="TOC1"/>
        <w:rPr>
          <w:rFonts w:eastAsiaTheme="minorEastAsia" w:cstheme="minorBidi"/>
          <w:b w:val="0"/>
          <w:sz w:val="22"/>
          <w:szCs w:val="22"/>
          <w:lang w:eastAsia="en-NZ"/>
        </w:rPr>
      </w:pPr>
      <w:hyperlink w:anchor="_Toc329301671" w:history="1">
        <w:r w:rsidRPr="00016158">
          <w:rPr>
            <w:rStyle w:val="Hyperlink"/>
          </w:rPr>
          <w:t>Schedule 19</w:t>
        </w:r>
        <w:r>
          <w:rPr>
            <w:rFonts w:eastAsiaTheme="minorEastAsia" w:cstheme="minorBidi"/>
            <w:b w:val="0"/>
            <w:sz w:val="22"/>
            <w:szCs w:val="22"/>
            <w:lang w:eastAsia="en-NZ"/>
          </w:rPr>
          <w:tab/>
        </w:r>
        <w:r w:rsidRPr="00016158">
          <w:rPr>
            <w:rStyle w:val="Hyperlink"/>
          </w:rPr>
          <w:t xml:space="preserve"> Certification for Transitional Disclosures</w:t>
        </w:r>
        <w:r>
          <w:rPr>
            <w:webHidden/>
          </w:rPr>
          <w:tab/>
        </w:r>
        <w:r>
          <w:rPr>
            <w:webHidden/>
          </w:rPr>
          <w:fldChar w:fldCharType="begin"/>
        </w:r>
        <w:r>
          <w:rPr>
            <w:webHidden/>
          </w:rPr>
          <w:instrText xml:space="preserve"> PAGEREF _Toc329301671 \h </w:instrText>
        </w:r>
        <w:r>
          <w:rPr>
            <w:webHidden/>
          </w:rPr>
        </w:r>
        <w:r>
          <w:rPr>
            <w:webHidden/>
          </w:rPr>
          <w:fldChar w:fldCharType="separate"/>
        </w:r>
        <w:r>
          <w:rPr>
            <w:webHidden/>
          </w:rPr>
          <w:t>161</w:t>
        </w:r>
        <w:r>
          <w:rPr>
            <w:webHidden/>
          </w:rPr>
          <w:fldChar w:fldCharType="end"/>
        </w:r>
      </w:hyperlink>
    </w:p>
    <w:p w:rsidR="00C80BBC" w:rsidRPr="002F2828" w:rsidRDefault="00004445" w:rsidP="00C80BBC">
      <w:pPr>
        <w:pStyle w:val="BodyText"/>
        <w:tabs>
          <w:tab w:val="left" w:pos="1418"/>
        </w:tabs>
        <w:rPr>
          <w:rFonts w:asciiTheme="minorHAnsi" w:hAnsiTheme="minorHAnsi"/>
        </w:rPr>
      </w:pPr>
      <w:r>
        <w:rPr>
          <w:rFonts w:asciiTheme="minorHAnsi" w:hAnsiTheme="minorHAnsi"/>
          <w:noProof/>
        </w:rPr>
        <w:fldChar w:fldCharType="end"/>
      </w:r>
    </w:p>
    <w:p w:rsidR="00C80BBC" w:rsidRPr="002F2828" w:rsidRDefault="00C80BBC" w:rsidP="00C80BBC">
      <w:pPr>
        <w:pStyle w:val="ChapterHeading"/>
        <w:numPr>
          <w:ilvl w:val="0"/>
          <w:numId w:val="0"/>
        </w:numPr>
        <w:tabs>
          <w:tab w:val="left" w:pos="720"/>
        </w:tabs>
        <w:spacing w:before="0" w:after="0"/>
        <w:rPr>
          <w:rFonts w:asciiTheme="minorHAnsi" w:hAnsiTheme="minorHAnsi"/>
          <w:b w:val="0"/>
          <w:sz w:val="24"/>
          <w:szCs w:val="24"/>
          <w:lang w:eastAsia="en-GB"/>
        </w:rPr>
      </w:pPr>
    </w:p>
    <w:p w:rsidR="00C80BBC" w:rsidRPr="002F2828" w:rsidRDefault="00C80BBC" w:rsidP="00C80BBC">
      <w:pPr>
        <w:pStyle w:val="ChapterHeading"/>
        <w:numPr>
          <w:ilvl w:val="0"/>
          <w:numId w:val="0"/>
        </w:numPr>
        <w:tabs>
          <w:tab w:val="left" w:pos="720"/>
        </w:tabs>
        <w:spacing w:before="0" w:after="0"/>
        <w:rPr>
          <w:rFonts w:asciiTheme="minorHAnsi" w:hAnsiTheme="minorHAnsi"/>
          <w:b w:val="0"/>
          <w:sz w:val="24"/>
          <w:szCs w:val="24"/>
          <w:lang w:eastAsia="en-GB"/>
        </w:rPr>
      </w:pPr>
    </w:p>
    <w:p w:rsidR="000B08C6" w:rsidRPr="002F2828" w:rsidRDefault="000B08C6" w:rsidP="00B200F7">
      <w:pPr>
        <w:pStyle w:val="ChapterHeading"/>
        <w:numPr>
          <w:ilvl w:val="0"/>
          <w:numId w:val="0"/>
        </w:numPr>
        <w:tabs>
          <w:tab w:val="left" w:pos="720"/>
        </w:tabs>
        <w:spacing w:before="0" w:after="0"/>
        <w:jc w:val="center"/>
        <w:rPr>
          <w:rFonts w:asciiTheme="minorHAnsi" w:hAnsiTheme="minorHAnsi"/>
          <w:sz w:val="24"/>
          <w:szCs w:val="24"/>
          <w:lang w:eastAsia="en-GB"/>
        </w:rPr>
        <w:sectPr w:rsidR="000B08C6" w:rsidRPr="002F2828" w:rsidSect="00223E26">
          <w:headerReference w:type="first" r:id="rId14"/>
          <w:pgSz w:w="11907" w:h="16840" w:code="9"/>
          <w:pgMar w:top="1440" w:right="1440" w:bottom="1440" w:left="1440" w:header="1134" w:footer="431" w:gutter="0"/>
          <w:cols w:space="720"/>
          <w:titlePg/>
        </w:sectPr>
      </w:pPr>
    </w:p>
    <w:p w:rsidR="00B200F7" w:rsidRPr="002F2828" w:rsidRDefault="00B200F7" w:rsidP="00AE0D10">
      <w:pPr>
        <w:spacing w:line="264" w:lineRule="auto"/>
        <w:jc w:val="both"/>
        <w:rPr>
          <w:rFonts w:asciiTheme="minorHAnsi" w:hAnsiTheme="minorHAnsi"/>
          <w:lang w:eastAsia="en-GB"/>
        </w:rPr>
      </w:pPr>
      <w:r w:rsidRPr="002F2828">
        <w:rPr>
          <w:rFonts w:asciiTheme="minorHAnsi" w:hAnsiTheme="minorHAnsi"/>
          <w:lang w:eastAsia="en-GB"/>
        </w:rPr>
        <w:lastRenderedPageBreak/>
        <w:t>Pursuant to Part 4 of the Commerce Act 1986, the Commerce Commission makes the following determination:</w:t>
      </w:r>
    </w:p>
    <w:p w:rsidR="00092A55" w:rsidRDefault="006927B6">
      <w:pPr>
        <w:pStyle w:val="HeadingH2"/>
      </w:pPr>
      <w:bookmarkStart w:id="2" w:name="_Toc328904412"/>
      <w:bookmarkStart w:id="3" w:name="_Toc328904742"/>
      <w:bookmarkStart w:id="4" w:name="_Toc328904816"/>
      <w:bookmarkStart w:id="5" w:name="_Toc328904888"/>
      <w:bookmarkStart w:id="6" w:name="_Toc328904955"/>
      <w:bookmarkStart w:id="7" w:name="_Toc328905020"/>
      <w:bookmarkStart w:id="8" w:name="_Toc328905081"/>
      <w:bookmarkStart w:id="9" w:name="_Toc328905246"/>
      <w:bookmarkStart w:id="10" w:name="_Toc328905357"/>
      <w:bookmarkStart w:id="11" w:name="_Toc328905413"/>
      <w:bookmarkStart w:id="12" w:name="_Toc329301616"/>
      <w:bookmarkEnd w:id="2"/>
      <w:bookmarkEnd w:id="3"/>
      <w:bookmarkEnd w:id="4"/>
      <w:bookmarkEnd w:id="5"/>
      <w:bookmarkEnd w:id="6"/>
      <w:bookmarkEnd w:id="7"/>
      <w:bookmarkEnd w:id="8"/>
      <w:bookmarkEnd w:id="9"/>
      <w:bookmarkEnd w:id="10"/>
      <w:bookmarkEnd w:id="11"/>
      <w:r>
        <w:t>GENERAL PROVISIONS</w:t>
      </w:r>
      <w:bookmarkEnd w:id="12"/>
    </w:p>
    <w:p w:rsidR="00B200F7" w:rsidRPr="00075B56" w:rsidRDefault="006927B6" w:rsidP="00075B56">
      <w:pPr>
        <w:pStyle w:val="HeadingH3SectionHeading"/>
      </w:pPr>
      <w:bookmarkStart w:id="13" w:name="_Toc329301617"/>
      <w:r>
        <w:t>TITLE</w:t>
      </w:r>
      <w:bookmarkEnd w:id="13"/>
    </w:p>
    <w:p w:rsidR="00B200F7" w:rsidRPr="00075B56" w:rsidRDefault="00C307C8" w:rsidP="00075B56">
      <w:pPr>
        <w:pStyle w:val="HeadingH4Clausetext"/>
      </w:pPr>
      <w:r w:rsidRPr="00075B56">
        <w:tab/>
      </w:r>
      <w:bookmarkStart w:id="14" w:name="_Toc309811749"/>
      <w:r w:rsidR="00B200F7" w:rsidRPr="00075B56">
        <w:t>This determination is the Commerce Act (Gas Distribution Services Information Disclosure) Determination 2012.</w:t>
      </w:r>
      <w:bookmarkEnd w:id="14"/>
    </w:p>
    <w:p w:rsidR="00B200F7" w:rsidRPr="00075B56" w:rsidRDefault="006927B6" w:rsidP="00075B56">
      <w:pPr>
        <w:pStyle w:val="HeadingH3SectionHeading"/>
        <w:rPr>
          <w:szCs w:val="32"/>
        </w:rPr>
      </w:pPr>
      <w:bookmarkStart w:id="15" w:name="_Toc329301618"/>
      <w:r>
        <w:t>COMMENCEMENT DATE</w:t>
      </w:r>
      <w:bookmarkEnd w:id="15"/>
    </w:p>
    <w:p w:rsidR="00B200F7" w:rsidRPr="002F2828" w:rsidRDefault="00C307C8" w:rsidP="00075B56">
      <w:pPr>
        <w:pStyle w:val="HeadingH4Clausetext"/>
        <w:rPr>
          <w:lang w:eastAsia="en-GB"/>
        </w:rPr>
      </w:pPr>
      <w:r w:rsidRPr="002F2828">
        <w:rPr>
          <w:lang w:eastAsia="en-GB"/>
        </w:rPr>
        <w:tab/>
      </w:r>
      <w:bookmarkStart w:id="16" w:name="_Toc309811751"/>
      <w:r w:rsidR="00B200F7" w:rsidRPr="002F2828">
        <w:rPr>
          <w:lang w:eastAsia="en-GB"/>
        </w:rPr>
        <w:t xml:space="preserve">This determination comes into force on </w:t>
      </w:r>
      <w:r w:rsidR="00ED1A70" w:rsidRPr="002F2828">
        <w:rPr>
          <w:lang w:eastAsia="en-GB"/>
        </w:rPr>
        <w:t>[</w:t>
      </w:r>
      <w:r w:rsidR="00ED1A70" w:rsidRPr="002F2828">
        <w:rPr>
          <w:lang w:eastAsia="en-GB"/>
        </w:rPr>
        <w:tab/>
        <w:t>]</w:t>
      </w:r>
      <w:r w:rsidR="000C09C5" w:rsidRPr="002F2828">
        <w:rPr>
          <w:lang w:eastAsia="en-GB"/>
        </w:rPr>
        <w:t xml:space="preserve"> 2012</w:t>
      </w:r>
      <w:r w:rsidR="00B200F7" w:rsidRPr="002F2828">
        <w:rPr>
          <w:lang w:eastAsia="en-GB"/>
        </w:rPr>
        <w:t>.</w:t>
      </w:r>
      <w:bookmarkEnd w:id="16"/>
    </w:p>
    <w:p w:rsidR="00B200F7" w:rsidRPr="002F2828" w:rsidRDefault="006927B6" w:rsidP="00075B56">
      <w:pPr>
        <w:pStyle w:val="HeadingH3SectionHeading"/>
      </w:pPr>
      <w:bookmarkStart w:id="17" w:name="_Toc329301619"/>
      <w:r>
        <w:t>APPLICATION</w:t>
      </w:r>
      <w:bookmarkEnd w:id="17"/>
    </w:p>
    <w:p w:rsidR="00B200F7" w:rsidRPr="002F2828" w:rsidRDefault="00C66C3C" w:rsidP="00075B56">
      <w:pPr>
        <w:pStyle w:val="HeadingH4Clausetext"/>
        <w:rPr>
          <w:lang w:eastAsia="en-GB"/>
        </w:rPr>
      </w:pPr>
      <w:r w:rsidRPr="002F2828">
        <w:rPr>
          <w:lang w:eastAsia="en-GB"/>
        </w:rPr>
        <w:tab/>
      </w:r>
      <w:r w:rsidR="00B200F7" w:rsidRPr="002F2828">
        <w:rPr>
          <w:lang w:eastAsia="en-GB"/>
        </w:rPr>
        <w:t xml:space="preserve">This determination applies to gas distribution </w:t>
      </w:r>
      <w:r w:rsidR="005514F8" w:rsidRPr="002F2828">
        <w:rPr>
          <w:lang w:eastAsia="en-GB"/>
        </w:rPr>
        <w:t>business</w:t>
      </w:r>
      <w:r w:rsidR="00B200F7" w:rsidRPr="002F2828">
        <w:rPr>
          <w:lang w:eastAsia="en-GB"/>
        </w:rPr>
        <w:t xml:space="preserve">es as suppliers of regulated goods and services under Part </w:t>
      </w:r>
      <w:r w:rsidR="003E69C4" w:rsidRPr="002F2828">
        <w:rPr>
          <w:lang w:eastAsia="en-GB"/>
        </w:rPr>
        <w:t xml:space="preserve">4 </w:t>
      </w:r>
      <w:r w:rsidR="00B200F7" w:rsidRPr="002F2828">
        <w:rPr>
          <w:lang w:eastAsia="en-GB"/>
        </w:rPr>
        <w:t>of the Act.</w:t>
      </w:r>
    </w:p>
    <w:p w:rsidR="00B200F7" w:rsidRPr="002F2828" w:rsidRDefault="006927B6" w:rsidP="00075B56">
      <w:pPr>
        <w:pStyle w:val="HeadingH3SectionHeading"/>
        <w:rPr>
          <w:rFonts w:cs="Arial"/>
          <w:szCs w:val="32"/>
        </w:rPr>
      </w:pPr>
      <w:bookmarkStart w:id="18" w:name="_Ref329296863"/>
      <w:bookmarkStart w:id="19" w:name="_Toc329301620"/>
      <w:r>
        <w:t>INTERPRETATION</w:t>
      </w:r>
      <w:bookmarkEnd w:id="18"/>
      <w:bookmarkEnd w:id="19"/>
    </w:p>
    <w:p w:rsidR="00B200F7" w:rsidRPr="002F2828" w:rsidRDefault="00B200F7" w:rsidP="00075B56">
      <w:pPr>
        <w:pStyle w:val="HeadingH4Clausetext"/>
      </w:pPr>
      <w:bookmarkStart w:id="20" w:name="_Toc309811755"/>
      <w:r w:rsidRPr="002F2828">
        <w:t>In this determination, unless the context otherwise requires—</w:t>
      </w:r>
      <w:bookmarkEnd w:id="20"/>
    </w:p>
    <w:p w:rsidR="00B200F7" w:rsidRPr="002F2828" w:rsidRDefault="00B200F7" w:rsidP="00075B56">
      <w:pPr>
        <w:pStyle w:val="HeadingH5ClausesubtextL1"/>
        <w:rPr>
          <w:lang w:eastAsia="en-GB"/>
        </w:rPr>
      </w:pPr>
      <w:r w:rsidRPr="002F2828">
        <w:rPr>
          <w:lang w:eastAsia="en-GB"/>
        </w:rPr>
        <w:t xml:space="preserve">Terms in bold type </w:t>
      </w:r>
      <w:r w:rsidR="006612EA">
        <w:rPr>
          <w:lang w:eastAsia="en-GB"/>
        </w:rPr>
        <w:t xml:space="preserve">in </w:t>
      </w:r>
      <w:r w:rsidR="006612EA" w:rsidRPr="00604256">
        <w:rPr>
          <w:lang w:eastAsia="en-GB"/>
        </w:rPr>
        <w:t>the main body of this determination (this includes the appendices</w:t>
      </w:r>
      <w:r w:rsidR="006612EA">
        <w:rPr>
          <w:lang w:eastAsia="en-GB"/>
        </w:rPr>
        <w:t xml:space="preserve">) </w:t>
      </w:r>
      <w:r w:rsidRPr="002F2828">
        <w:rPr>
          <w:lang w:eastAsia="en-GB"/>
        </w:rPr>
        <w:t xml:space="preserve">have the meaning given to those terms in this </w:t>
      </w:r>
      <w:r w:rsidR="00C66C3C" w:rsidRPr="002F2828">
        <w:rPr>
          <w:lang w:eastAsia="en-GB"/>
        </w:rPr>
        <w:t xml:space="preserve">section </w:t>
      </w:r>
      <w:r w:rsidR="00C307C8" w:rsidRPr="002F2828">
        <w:rPr>
          <w:lang w:eastAsia="en-GB"/>
        </w:rPr>
        <w:t>1.</w:t>
      </w:r>
      <w:r w:rsidRPr="002F2828">
        <w:rPr>
          <w:lang w:eastAsia="en-GB"/>
        </w:rPr>
        <w:t>4</w:t>
      </w:r>
      <w:r w:rsidR="006612EA">
        <w:rPr>
          <w:lang w:eastAsia="en-GB"/>
        </w:rPr>
        <w:t>;</w:t>
      </w:r>
      <w:r w:rsidR="00F40287">
        <w:rPr>
          <w:lang w:eastAsia="en-GB"/>
        </w:rPr>
        <w:t xml:space="preserve"> </w:t>
      </w:r>
      <w:r w:rsidR="006612EA">
        <w:t xml:space="preserve">terms used in </w:t>
      </w:r>
      <w:r w:rsidR="00F40287">
        <w:t>the Schedules are defined in Schedule 16</w:t>
      </w:r>
      <w:r w:rsidRPr="002F2828">
        <w:rPr>
          <w:lang w:eastAsia="en-GB"/>
        </w:rPr>
        <w:t>;</w:t>
      </w:r>
    </w:p>
    <w:p w:rsidR="00B200F7" w:rsidRPr="002F2828" w:rsidRDefault="00D93A2A" w:rsidP="00075B56">
      <w:pPr>
        <w:pStyle w:val="HeadingH5ClausesubtextL1"/>
        <w:rPr>
          <w:lang w:eastAsia="en-GB"/>
        </w:rPr>
      </w:pPr>
      <w:r w:rsidRPr="002F2828">
        <w:rPr>
          <w:lang w:eastAsia="en-GB"/>
        </w:rPr>
        <w:t>T</w:t>
      </w:r>
      <w:r w:rsidR="00B200F7" w:rsidRPr="002F2828">
        <w:rPr>
          <w:lang w:eastAsia="en-GB"/>
        </w:rPr>
        <w:t xml:space="preserve">erms used in this determination that are defined in the </w:t>
      </w:r>
      <w:r w:rsidR="00B200F7" w:rsidRPr="002F2828">
        <w:rPr>
          <w:b/>
          <w:lang w:eastAsia="en-GB"/>
        </w:rPr>
        <w:t>Act</w:t>
      </w:r>
      <w:r w:rsidR="00B200F7" w:rsidRPr="002F2828">
        <w:rPr>
          <w:lang w:eastAsia="en-GB"/>
        </w:rPr>
        <w:t xml:space="preserve"> but not in this determination, have the same meanings as in the </w:t>
      </w:r>
      <w:r w:rsidR="00B200F7" w:rsidRPr="002F2828">
        <w:rPr>
          <w:b/>
          <w:lang w:eastAsia="en-GB"/>
        </w:rPr>
        <w:t>Act</w:t>
      </w:r>
      <w:r w:rsidR="00B200F7" w:rsidRPr="002F2828">
        <w:rPr>
          <w:lang w:eastAsia="en-GB"/>
        </w:rPr>
        <w:t>;</w:t>
      </w:r>
    </w:p>
    <w:p w:rsidR="00B200F7" w:rsidRPr="002F2828" w:rsidRDefault="00D93A2A" w:rsidP="00075B56">
      <w:pPr>
        <w:pStyle w:val="HeadingH5ClausesubtextL1"/>
        <w:rPr>
          <w:lang w:eastAsia="en-GB"/>
        </w:rPr>
      </w:pPr>
      <w:r w:rsidRPr="002F2828">
        <w:rPr>
          <w:lang w:eastAsia="en-GB"/>
        </w:rPr>
        <w:t>T</w:t>
      </w:r>
      <w:r w:rsidR="00B200F7" w:rsidRPr="002F2828">
        <w:rPr>
          <w:lang w:eastAsia="en-GB"/>
        </w:rPr>
        <w:t xml:space="preserve">erms used in this determination that are defined in the </w:t>
      </w:r>
      <w:r w:rsidR="00B200F7" w:rsidRPr="002F2828">
        <w:rPr>
          <w:b/>
          <w:lang w:eastAsia="en-GB"/>
        </w:rPr>
        <w:t>IM determination</w:t>
      </w:r>
      <w:r w:rsidR="00B200F7" w:rsidRPr="002F2828">
        <w:rPr>
          <w:lang w:eastAsia="en-GB"/>
        </w:rPr>
        <w:t xml:space="preserve"> but not in this determination have the same meanings as in the </w:t>
      </w:r>
      <w:r w:rsidR="00B200F7" w:rsidRPr="002F2828">
        <w:rPr>
          <w:b/>
          <w:lang w:eastAsia="en-GB"/>
        </w:rPr>
        <w:t>IM determination</w:t>
      </w:r>
      <w:r w:rsidR="00B200F7" w:rsidRPr="002F2828">
        <w:rPr>
          <w:lang w:eastAsia="en-GB"/>
        </w:rPr>
        <w:t>;</w:t>
      </w:r>
    </w:p>
    <w:p w:rsidR="00B200F7" w:rsidRPr="002F2828" w:rsidRDefault="00D93A2A" w:rsidP="00075B56">
      <w:pPr>
        <w:pStyle w:val="HeadingH5ClausesubtextL1"/>
        <w:rPr>
          <w:lang w:eastAsia="en-GB"/>
        </w:rPr>
      </w:pPr>
      <w:r w:rsidRPr="002F2828">
        <w:rPr>
          <w:lang w:eastAsia="en-GB"/>
        </w:rPr>
        <w:t>A</w:t>
      </w:r>
      <w:r w:rsidR="00B200F7" w:rsidRPr="002F2828">
        <w:rPr>
          <w:lang w:eastAsia="en-GB"/>
        </w:rPr>
        <w:t xml:space="preserve"> word which denotes the singular also denotes the plural and vice versa;</w:t>
      </w:r>
    </w:p>
    <w:p w:rsidR="00B200F7" w:rsidRPr="002F2828" w:rsidRDefault="00D93A2A" w:rsidP="00075B56">
      <w:pPr>
        <w:pStyle w:val="HeadingH5ClausesubtextL1"/>
        <w:rPr>
          <w:lang w:eastAsia="en-GB"/>
        </w:rPr>
      </w:pPr>
      <w:r w:rsidRPr="002F2828">
        <w:rPr>
          <w:lang w:eastAsia="en-GB"/>
        </w:rPr>
        <w:t>A</w:t>
      </w:r>
      <w:r w:rsidR="00B200F7" w:rsidRPr="002F2828">
        <w:rPr>
          <w:lang w:eastAsia="en-GB"/>
        </w:rPr>
        <w:t>n obligation to do something is deemed to include an obligation to cause that thing to be done;</w:t>
      </w:r>
    </w:p>
    <w:p w:rsidR="00B200F7" w:rsidRPr="002F2828" w:rsidRDefault="00D93A2A" w:rsidP="00075B56">
      <w:pPr>
        <w:pStyle w:val="HeadingH5ClausesubtextL1"/>
        <w:rPr>
          <w:lang w:eastAsia="en-GB"/>
        </w:rPr>
      </w:pPr>
      <w:r w:rsidRPr="002F2828">
        <w:rPr>
          <w:lang w:eastAsia="en-GB"/>
        </w:rPr>
        <w:t>F</w:t>
      </w:r>
      <w:r w:rsidR="00B200F7" w:rsidRPr="002F2828">
        <w:rPr>
          <w:lang w:eastAsia="en-GB"/>
        </w:rPr>
        <w:t xml:space="preserve">inancial items must be measured and disclosed in accordance with </w:t>
      </w:r>
      <w:r w:rsidR="00B200F7" w:rsidRPr="002F2828">
        <w:rPr>
          <w:b/>
          <w:lang w:eastAsia="en-GB"/>
        </w:rPr>
        <w:t>GAAP</w:t>
      </w:r>
      <w:r w:rsidR="004D751A" w:rsidRPr="002F2828">
        <w:rPr>
          <w:b/>
          <w:lang w:eastAsia="en-GB"/>
        </w:rPr>
        <w:t xml:space="preserve"> </w:t>
      </w:r>
      <w:r w:rsidR="004D751A" w:rsidRPr="002F2828">
        <w:rPr>
          <w:lang w:eastAsia="en-GB"/>
        </w:rPr>
        <w:t>unless otherwise required in this Determination</w:t>
      </w:r>
      <w:r w:rsidR="00B200F7" w:rsidRPr="002F2828">
        <w:rPr>
          <w:lang w:eastAsia="en-GB"/>
        </w:rPr>
        <w:t>;</w:t>
      </w:r>
    </w:p>
    <w:p w:rsidR="00B200F7" w:rsidRPr="002F2828" w:rsidRDefault="00D93A2A" w:rsidP="00075B56">
      <w:pPr>
        <w:pStyle w:val="HeadingH5ClausesubtextL1"/>
        <w:rPr>
          <w:lang w:eastAsia="en-GB"/>
        </w:rPr>
      </w:pPr>
      <w:r w:rsidRPr="002F2828">
        <w:rPr>
          <w:lang w:eastAsia="en-GB"/>
        </w:rPr>
        <w:t>N</w:t>
      </w:r>
      <w:r w:rsidR="00B200F7" w:rsidRPr="002F2828">
        <w:rPr>
          <w:lang w:eastAsia="en-GB"/>
        </w:rPr>
        <w:t>on-financial items must be measured and disclosed in accordance with standard industry practice</w:t>
      </w:r>
      <w:r w:rsidR="004D751A" w:rsidRPr="002F2828">
        <w:rPr>
          <w:lang w:eastAsia="en-GB"/>
        </w:rPr>
        <w:t xml:space="preserve"> unless otherwise required in this Determination</w:t>
      </w:r>
      <w:r w:rsidR="00B200F7" w:rsidRPr="002F2828">
        <w:rPr>
          <w:lang w:eastAsia="en-GB"/>
        </w:rPr>
        <w:t>.</w:t>
      </w:r>
    </w:p>
    <w:p w:rsidR="00B200F7" w:rsidRPr="002F2828" w:rsidRDefault="00B200F7" w:rsidP="00075B56">
      <w:pPr>
        <w:pStyle w:val="HeadingH4Clausetext"/>
        <w:rPr>
          <w:lang w:eastAsia="en-GB"/>
        </w:rPr>
      </w:pPr>
      <w:bookmarkStart w:id="21" w:name="_Toc309811756"/>
      <w:r w:rsidRPr="002F2828">
        <w:rPr>
          <w:lang w:eastAsia="en-GB"/>
        </w:rPr>
        <w:lastRenderedPageBreak/>
        <w:t>I</w:t>
      </w:r>
      <w:r w:rsidR="00621AB7" w:rsidRPr="002F2828">
        <w:rPr>
          <w:lang w:eastAsia="en-GB"/>
        </w:rPr>
        <w:t xml:space="preserve">f there is any inconsistency between the main body of </w:t>
      </w:r>
      <w:r w:rsidRPr="002F2828">
        <w:rPr>
          <w:lang w:eastAsia="en-GB"/>
        </w:rPr>
        <w:t>this determination</w:t>
      </w:r>
      <w:r w:rsidR="00621AB7" w:rsidRPr="002F2828">
        <w:rPr>
          <w:lang w:eastAsia="en-GB"/>
        </w:rPr>
        <w:t xml:space="preserve"> </w:t>
      </w:r>
      <w:r w:rsidR="004D751A" w:rsidRPr="002F2828">
        <w:rPr>
          <w:lang w:eastAsia="en-GB"/>
        </w:rPr>
        <w:t xml:space="preserve">(including the Appendices) </w:t>
      </w:r>
      <w:r w:rsidR="00621AB7" w:rsidRPr="002F2828">
        <w:rPr>
          <w:lang w:eastAsia="en-GB"/>
        </w:rPr>
        <w:t>and any schedule to this determination, the main body of this determination prevails.</w:t>
      </w:r>
      <w:bookmarkEnd w:id="21"/>
    </w:p>
    <w:p w:rsidR="00621AB7" w:rsidRPr="002F2828" w:rsidRDefault="00621AB7" w:rsidP="00075B56">
      <w:pPr>
        <w:pStyle w:val="HeadingH4Clausetext"/>
        <w:rPr>
          <w:lang w:eastAsia="en-GB"/>
        </w:rPr>
      </w:pPr>
      <w:bookmarkStart w:id="22" w:name="_Toc309811757"/>
      <w:r w:rsidRPr="002F2828">
        <w:rPr>
          <w:lang w:eastAsia="en-GB"/>
        </w:rPr>
        <w:t>In this determination, the words or phrases in bold type bear the following meanings:</w:t>
      </w:r>
      <w:bookmarkEnd w:id="22"/>
    </w:p>
    <w:p w:rsidR="00534BCF" w:rsidRPr="002F2828" w:rsidRDefault="00534BCF" w:rsidP="00534BCF">
      <w:pPr>
        <w:pStyle w:val="BodyText"/>
        <w:rPr>
          <w:lang w:eastAsia="en-GB"/>
        </w:rPr>
      </w:pPr>
    </w:p>
    <w:p w:rsidR="00621AB7" w:rsidRPr="002F2828" w:rsidRDefault="00621AB7" w:rsidP="00AE0D10">
      <w:pPr>
        <w:pStyle w:val="Heading2"/>
        <w:spacing w:before="240" w:after="240" w:line="264" w:lineRule="auto"/>
        <w:jc w:val="center"/>
        <w:rPr>
          <w:rFonts w:asciiTheme="minorHAnsi" w:hAnsiTheme="minorHAnsi"/>
          <w:lang w:eastAsia="en-GB"/>
        </w:rPr>
      </w:pPr>
      <w:r w:rsidRPr="002F2828">
        <w:rPr>
          <w:rFonts w:asciiTheme="minorHAnsi" w:hAnsiTheme="minorHAnsi"/>
          <w:lang w:eastAsia="en-GB"/>
        </w:rPr>
        <w:t>A</w:t>
      </w:r>
    </w:p>
    <w:tbl>
      <w:tblPr>
        <w:tblStyle w:val="TableGrid"/>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510"/>
        <w:gridCol w:w="4882"/>
      </w:tblGrid>
      <w:tr w:rsidR="0005253E" w:rsidRPr="002F2828" w:rsidTr="00A03DC6">
        <w:tc>
          <w:tcPr>
            <w:tcW w:w="3510" w:type="dxa"/>
          </w:tcPr>
          <w:p w:rsidR="0005253E" w:rsidRPr="002F2828" w:rsidRDefault="0005253E" w:rsidP="00AE0D10">
            <w:pPr>
              <w:pStyle w:val="BodyText"/>
              <w:spacing w:line="264" w:lineRule="auto"/>
              <w:rPr>
                <w:rFonts w:asciiTheme="minorHAnsi" w:hAnsiTheme="minorHAnsi" w:cs="Arial"/>
                <w:b/>
                <w:bCs/>
                <w:lang w:eastAsia="en-NZ"/>
              </w:rPr>
            </w:pPr>
            <w:r w:rsidRPr="002F2828">
              <w:rPr>
                <w:rFonts w:asciiTheme="minorHAnsi" w:hAnsiTheme="minorHAnsi" w:cs="Arial"/>
                <w:b/>
                <w:bCs/>
                <w:lang w:eastAsia="en-NZ"/>
              </w:rPr>
              <w:t>Act</w:t>
            </w:r>
          </w:p>
        </w:tc>
        <w:tc>
          <w:tcPr>
            <w:tcW w:w="4882" w:type="dxa"/>
          </w:tcPr>
          <w:p w:rsidR="0005253E" w:rsidRPr="002F2828" w:rsidRDefault="0005253E" w:rsidP="00AE0D10">
            <w:pPr>
              <w:pStyle w:val="BodyText"/>
              <w:spacing w:line="264" w:lineRule="auto"/>
              <w:rPr>
                <w:rFonts w:asciiTheme="minorHAnsi" w:hAnsiTheme="minorHAnsi" w:cs="Arial"/>
                <w:lang w:eastAsia="en-NZ"/>
              </w:rPr>
            </w:pPr>
            <w:r w:rsidRPr="002F2828">
              <w:rPr>
                <w:rFonts w:asciiTheme="minorHAnsi" w:hAnsiTheme="minorHAnsi" w:cs="Arial"/>
                <w:lang w:eastAsia="en-NZ"/>
              </w:rPr>
              <w:t>means the Commerce Act 1986</w:t>
            </w:r>
          </w:p>
        </w:tc>
      </w:tr>
      <w:tr w:rsidR="00153936" w:rsidRPr="002F2828" w:rsidTr="00A03DC6">
        <w:tc>
          <w:tcPr>
            <w:tcW w:w="3510" w:type="dxa"/>
          </w:tcPr>
          <w:p w:rsidR="00153936" w:rsidRPr="002F2828" w:rsidRDefault="00153936" w:rsidP="00A03DC6">
            <w:pPr>
              <w:pStyle w:val="BodyText"/>
              <w:rPr>
                <w:rFonts w:asciiTheme="minorHAnsi" w:hAnsiTheme="minorHAnsi" w:cs="Arial"/>
                <w:b/>
                <w:bCs/>
                <w:lang w:eastAsia="en-NZ"/>
              </w:rPr>
            </w:pPr>
            <w:proofErr w:type="spellStart"/>
            <w:r w:rsidRPr="002F2828">
              <w:rPr>
                <w:rFonts w:asciiTheme="minorHAnsi" w:hAnsiTheme="minorHAnsi" w:cs="Arial"/>
                <w:b/>
                <w:bCs/>
                <w:lang w:eastAsia="en-NZ"/>
              </w:rPr>
              <w:t>Allocator</w:t>
            </w:r>
            <w:proofErr w:type="spellEnd"/>
          </w:p>
        </w:tc>
        <w:tc>
          <w:tcPr>
            <w:tcW w:w="4882" w:type="dxa"/>
          </w:tcPr>
          <w:p w:rsidR="00153936" w:rsidRPr="002F2828" w:rsidRDefault="00153936" w:rsidP="0005253E">
            <w:pPr>
              <w:pStyle w:val="EquationsL2"/>
              <w:ind w:left="34" w:firstLine="0"/>
              <w:rPr>
                <w:rFonts w:asciiTheme="minorHAnsi" w:hAnsiTheme="minorHAnsi" w:cs="Arial"/>
                <w:lang w:eastAsia="en-NZ"/>
              </w:rPr>
            </w:pPr>
            <w:r w:rsidRPr="002F2828">
              <w:rPr>
                <w:rFonts w:asciiTheme="minorHAnsi" w:hAnsiTheme="minorHAnsi" w:cs="Arial"/>
                <w:lang w:eastAsia="en-NZ"/>
              </w:rPr>
              <w:t xml:space="preserve">means the measure used to allocate </w:t>
            </w:r>
            <w:r w:rsidRPr="002F2828">
              <w:rPr>
                <w:rFonts w:asciiTheme="minorHAnsi" w:hAnsiTheme="minorHAnsi" w:cs="Arial"/>
                <w:b/>
                <w:lang w:eastAsia="en-NZ"/>
              </w:rPr>
              <w:t>operating costs</w:t>
            </w:r>
            <w:r w:rsidRPr="002F2828">
              <w:rPr>
                <w:rFonts w:asciiTheme="minorHAnsi" w:hAnsiTheme="minorHAnsi" w:cs="Arial"/>
                <w:lang w:eastAsia="en-NZ"/>
              </w:rPr>
              <w:t xml:space="preserve"> or </w:t>
            </w:r>
            <w:r w:rsidRPr="002F2828">
              <w:rPr>
                <w:rFonts w:asciiTheme="minorHAnsi" w:hAnsiTheme="minorHAnsi" w:cs="Arial"/>
                <w:b/>
                <w:lang w:eastAsia="en-NZ"/>
              </w:rPr>
              <w:t>regulated service asset values</w:t>
            </w:r>
            <w:r w:rsidRPr="002F2828">
              <w:rPr>
                <w:rFonts w:asciiTheme="minorHAnsi" w:hAnsiTheme="minorHAnsi" w:cs="Arial"/>
                <w:lang w:eastAsia="en-NZ"/>
              </w:rPr>
              <w:t xml:space="preserve"> that are </w:t>
            </w:r>
            <w:r w:rsidRPr="002F2828">
              <w:rPr>
                <w:rFonts w:asciiTheme="minorHAnsi" w:hAnsiTheme="minorHAnsi" w:cs="Arial"/>
                <w:b/>
                <w:lang w:eastAsia="en-NZ"/>
              </w:rPr>
              <w:t xml:space="preserve">not directly attributable </w:t>
            </w:r>
            <w:r w:rsidRPr="002F2828">
              <w:rPr>
                <w:rFonts w:asciiTheme="minorHAnsi" w:hAnsiTheme="minorHAnsi" w:cs="Arial"/>
                <w:lang w:eastAsia="en-NZ"/>
              </w:rPr>
              <w:t>as set out in clause 2.1.3 or clause 2.1.5 of the</w:t>
            </w:r>
            <w:r w:rsidRPr="002F2828">
              <w:rPr>
                <w:rFonts w:asciiTheme="minorHAnsi" w:hAnsiTheme="minorHAnsi" w:cs="Arial"/>
                <w:b/>
                <w:lang w:eastAsia="en-NZ"/>
              </w:rPr>
              <w:t xml:space="preserve"> IM determination</w:t>
            </w:r>
          </w:p>
        </w:tc>
      </w:tr>
      <w:tr w:rsidR="008B2B63" w:rsidRPr="002F2828" w:rsidTr="00A03DC6">
        <w:tc>
          <w:tcPr>
            <w:tcW w:w="3510" w:type="dxa"/>
          </w:tcPr>
          <w:p w:rsidR="008B2B63" w:rsidRPr="002F2828" w:rsidRDefault="008B2B63" w:rsidP="00A03DC6">
            <w:pPr>
              <w:pStyle w:val="BodyText"/>
              <w:rPr>
                <w:rFonts w:asciiTheme="minorHAnsi" w:hAnsiTheme="minorHAnsi" w:cs="Arial"/>
                <w:b/>
                <w:bCs/>
                <w:lang w:eastAsia="en-NZ"/>
              </w:rPr>
            </w:pPr>
            <w:r w:rsidRPr="002F2828">
              <w:rPr>
                <w:rStyle w:val="Emphasis-Bold"/>
                <w:rFonts w:asciiTheme="minorHAnsi" w:hAnsiTheme="minorHAnsi"/>
              </w:rPr>
              <w:t>AMP</w:t>
            </w:r>
          </w:p>
        </w:tc>
        <w:tc>
          <w:tcPr>
            <w:tcW w:w="4882" w:type="dxa"/>
          </w:tcPr>
          <w:p w:rsidR="008B2B63" w:rsidRPr="002F2828" w:rsidRDefault="008B2B63" w:rsidP="00153936">
            <w:pPr>
              <w:pStyle w:val="EquationsL2"/>
              <w:ind w:left="34" w:firstLine="0"/>
              <w:rPr>
                <w:rFonts w:asciiTheme="minorHAnsi" w:hAnsiTheme="minorHAnsi" w:cs="Arial"/>
                <w:lang w:eastAsia="en-NZ"/>
              </w:rPr>
            </w:pPr>
            <w:r w:rsidRPr="002F2828">
              <w:rPr>
                <w:rFonts w:asciiTheme="minorHAnsi" w:hAnsiTheme="minorHAnsi"/>
              </w:rPr>
              <w:t xml:space="preserve">means </w:t>
            </w:r>
            <w:r w:rsidR="009764C2" w:rsidRPr="009764C2">
              <w:rPr>
                <w:rFonts w:asciiTheme="minorHAnsi" w:hAnsiTheme="minorHAnsi"/>
                <w:b/>
              </w:rPr>
              <w:t>asset management plan</w:t>
            </w:r>
          </w:p>
        </w:tc>
      </w:tr>
      <w:tr w:rsidR="008B2B63" w:rsidRPr="002F2828" w:rsidTr="00A03DC6">
        <w:tc>
          <w:tcPr>
            <w:tcW w:w="3510" w:type="dxa"/>
          </w:tcPr>
          <w:p w:rsidR="008B2B63" w:rsidRPr="002F2828" w:rsidRDefault="008B2B63" w:rsidP="00A03DC6">
            <w:pPr>
              <w:pStyle w:val="BodyText"/>
              <w:rPr>
                <w:rFonts w:asciiTheme="minorHAnsi" w:hAnsiTheme="minorHAnsi" w:cs="Arial"/>
                <w:b/>
                <w:bCs/>
                <w:lang w:eastAsia="en-NZ"/>
              </w:rPr>
            </w:pPr>
            <w:r w:rsidRPr="002F2828">
              <w:rPr>
                <w:rStyle w:val="Emphasis-Bold"/>
                <w:rFonts w:asciiTheme="minorHAnsi" w:hAnsiTheme="minorHAnsi"/>
              </w:rPr>
              <w:t>AMP planning period</w:t>
            </w:r>
          </w:p>
        </w:tc>
        <w:tc>
          <w:tcPr>
            <w:tcW w:w="4882" w:type="dxa"/>
          </w:tcPr>
          <w:p w:rsidR="008B2B63" w:rsidRPr="002F2828" w:rsidRDefault="008B2B63" w:rsidP="007A6AD2">
            <w:pPr>
              <w:pStyle w:val="Clausetextunnumbered"/>
              <w:rPr>
                <w:rFonts w:cs="Arial"/>
                <w:lang w:eastAsia="en-NZ"/>
              </w:rPr>
            </w:pPr>
            <w:r w:rsidRPr="002F2828">
              <w:t xml:space="preserve">has the meaning specified in </w:t>
            </w:r>
            <w:r w:rsidR="0083293A" w:rsidRPr="002F2828">
              <w:t xml:space="preserve">clause </w:t>
            </w:r>
            <w:r w:rsidR="00004445">
              <w:fldChar w:fldCharType="begin"/>
            </w:r>
            <w:r w:rsidR="007A6AD2">
              <w:instrText xml:space="preserve"> REF _Ref329164450 \r \h </w:instrText>
            </w:r>
            <w:r w:rsidR="00004445">
              <w:fldChar w:fldCharType="separate"/>
            </w:r>
            <w:r w:rsidR="00A84D28">
              <w:t>3.4</w:t>
            </w:r>
            <w:r w:rsidR="00004445">
              <w:fldChar w:fldCharType="end"/>
            </w:r>
            <w:r w:rsidR="0083293A" w:rsidRPr="002F2828">
              <w:t xml:space="preserve">of Appendix A to </w:t>
            </w:r>
            <w:r w:rsidRPr="002F2828">
              <w:t>this determination</w:t>
            </w:r>
          </w:p>
        </w:tc>
      </w:tr>
      <w:tr w:rsidR="008B2B63" w:rsidRPr="002F2828" w:rsidTr="00A03DC6">
        <w:tc>
          <w:tcPr>
            <w:tcW w:w="3510" w:type="dxa"/>
          </w:tcPr>
          <w:p w:rsidR="008B2B63" w:rsidRPr="002F2828" w:rsidRDefault="008B2B63" w:rsidP="00EE682B">
            <w:pPr>
              <w:pStyle w:val="BodyText"/>
              <w:rPr>
                <w:rFonts w:asciiTheme="minorHAnsi" w:hAnsiTheme="minorHAnsi" w:cs="Arial"/>
                <w:b/>
                <w:bCs/>
                <w:lang w:eastAsia="en-NZ"/>
              </w:rPr>
            </w:pPr>
            <w:r w:rsidRPr="002F2828">
              <w:rPr>
                <w:rStyle w:val="Emphasis-Bold"/>
                <w:rFonts w:asciiTheme="minorHAnsi" w:hAnsiTheme="minorHAnsi"/>
              </w:rPr>
              <w:t xml:space="preserve">AMP </w:t>
            </w:r>
            <w:r w:rsidR="00EE682B" w:rsidRPr="002F2828">
              <w:rPr>
                <w:rStyle w:val="Emphasis-Bold"/>
                <w:rFonts w:asciiTheme="minorHAnsi" w:hAnsiTheme="minorHAnsi"/>
              </w:rPr>
              <w:t>u</w:t>
            </w:r>
            <w:r w:rsidRPr="002F2828">
              <w:rPr>
                <w:rStyle w:val="Emphasis-Bold"/>
                <w:rFonts w:asciiTheme="minorHAnsi" w:hAnsiTheme="minorHAnsi"/>
              </w:rPr>
              <w:t>pdate</w:t>
            </w:r>
          </w:p>
        </w:tc>
        <w:tc>
          <w:tcPr>
            <w:tcW w:w="4882" w:type="dxa"/>
          </w:tcPr>
          <w:p w:rsidR="008B2B63" w:rsidRPr="002F2828" w:rsidRDefault="008B2B63" w:rsidP="007A6AD2">
            <w:pPr>
              <w:pStyle w:val="EquationsL2"/>
              <w:ind w:left="34" w:firstLine="0"/>
              <w:rPr>
                <w:rFonts w:asciiTheme="minorHAnsi" w:hAnsiTheme="minorHAnsi" w:cs="Arial"/>
                <w:lang w:eastAsia="en-NZ"/>
              </w:rPr>
            </w:pPr>
            <w:r w:rsidRPr="002F2828">
              <w:rPr>
                <w:rFonts w:asciiTheme="minorHAnsi" w:hAnsiTheme="minorHAnsi"/>
              </w:rPr>
              <w:t xml:space="preserve">has the meaning specified in </w:t>
            </w:r>
            <w:r w:rsidR="00EB2010" w:rsidRPr="002F2828">
              <w:rPr>
                <w:rFonts w:asciiTheme="minorHAnsi" w:hAnsiTheme="minorHAnsi"/>
              </w:rPr>
              <w:t xml:space="preserve">subclause </w:t>
            </w:r>
            <w:r w:rsidR="00B90F7A" w:rsidRPr="002F2828">
              <w:rPr>
                <w:rFonts w:asciiTheme="minorHAnsi" w:hAnsiTheme="minorHAnsi"/>
              </w:rPr>
              <w:t xml:space="preserve"> of section</w:t>
            </w:r>
            <w:r w:rsidR="00EB2010" w:rsidRPr="002F2828">
              <w:rPr>
                <w:rFonts w:asciiTheme="minorHAnsi" w:hAnsiTheme="minorHAnsi"/>
              </w:rPr>
              <w:t xml:space="preserve"> 2.5</w:t>
            </w:r>
            <w:r w:rsidRPr="002F2828">
              <w:rPr>
                <w:rFonts w:asciiTheme="minorHAnsi" w:hAnsiTheme="minorHAnsi"/>
              </w:rPr>
              <w:t xml:space="preserve"> of this determination</w:t>
            </w:r>
          </w:p>
        </w:tc>
      </w:tr>
      <w:tr w:rsidR="00961F47" w:rsidRPr="002F2828" w:rsidTr="003E438D">
        <w:tc>
          <w:tcPr>
            <w:tcW w:w="3510" w:type="dxa"/>
          </w:tcPr>
          <w:p w:rsidR="00961F47" w:rsidRPr="002F2828" w:rsidRDefault="00961F47" w:rsidP="003E438D">
            <w:pPr>
              <w:pStyle w:val="BodyText"/>
              <w:spacing w:line="264" w:lineRule="auto"/>
              <w:rPr>
                <w:rFonts w:asciiTheme="minorHAnsi" w:hAnsiTheme="minorHAnsi" w:cs="Arial"/>
                <w:b/>
                <w:bCs/>
                <w:lang w:eastAsia="en-NZ"/>
              </w:rPr>
            </w:pPr>
            <w:r w:rsidRPr="002F2828">
              <w:rPr>
                <w:rStyle w:val="Emphasis-Bold"/>
                <w:rFonts w:asciiTheme="minorHAnsi" w:hAnsiTheme="minorHAnsi"/>
              </w:rPr>
              <w:t>Asset management plan</w:t>
            </w:r>
            <w:r w:rsidRPr="002F2828">
              <w:rPr>
                <w:rFonts w:asciiTheme="minorHAnsi" w:hAnsiTheme="minorHAnsi"/>
              </w:rPr>
              <w:t xml:space="preserve"> </w:t>
            </w:r>
          </w:p>
        </w:tc>
        <w:tc>
          <w:tcPr>
            <w:tcW w:w="4882" w:type="dxa"/>
          </w:tcPr>
          <w:p w:rsidR="00961F47" w:rsidRPr="002F2828" w:rsidRDefault="00961F47" w:rsidP="000C09C5">
            <w:pPr>
              <w:pStyle w:val="ListParagraph"/>
              <w:spacing w:line="264" w:lineRule="auto"/>
              <w:ind w:left="34"/>
              <w:rPr>
                <w:rFonts w:asciiTheme="minorHAnsi" w:hAnsiTheme="minorHAnsi" w:cs="Arial"/>
                <w:lang w:eastAsia="en-NZ"/>
              </w:rPr>
            </w:pPr>
            <w:r w:rsidRPr="002F2828">
              <w:rPr>
                <w:rFonts w:asciiTheme="minorHAnsi" w:hAnsiTheme="minorHAnsi"/>
              </w:rPr>
              <w:t>has the meaning specified in clause 1</w:t>
            </w:r>
            <w:r w:rsidR="000C09C5" w:rsidRPr="002F2828">
              <w:rPr>
                <w:rFonts w:asciiTheme="minorHAnsi" w:hAnsiTheme="minorHAnsi"/>
              </w:rPr>
              <w:t xml:space="preserve"> of</w:t>
            </w:r>
            <w:r w:rsidRPr="002F2828">
              <w:rPr>
                <w:rFonts w:asciiTheme="minorHAnsi" w:hAnsiTheme="minorHAnsi"/>
              </w:rPr>
              <w:t xml:space="preserve"> section 2.5 of this determination</w:t>
            </w:r>
          </w:p>
        </w:tc>
      </w:tr>
      <w:tr w:rsidR="009644D2" w:rsidRPr="002F2828" w:rsidTr="00A03DC6">
        <w:tc>
          <w:tcPr>
            <w:tcW w:w="3510" w:type="dxa"/>
          </w:tcPr>
          <w:p w:rsidR="009644D2" w:rsidRPr="002F2828" w:rsidRDefault="009644D2" w:rsidP="00AE0D10">
            <w:pPr>
              <w:pStyle w:val="BodyText"/>
              <w:spacing w:line="264" w:lineRule="auto"/>
              <w:rPr>
                <w:rFonts w:asciiTheme="minorHAnsi" w:hAnsiTheme="minorHAnsi" w:cs="Arial"/>
                <w:b/>
                <w:bCs/>
                <w:lang w:eastAsia="en-NZ"/>
              </w:rPr>
            </w:pPr>
            <w:r w:rsidRPr="002F2828">
              <w:rPr>
                <w:rFonts w:asciiTheme="minorHAnsi" w:hAnsiTheme="minorHAnsi"/>
                <w:b/>
              </w:rPr>
              <w:t>Asset relocations</w:t>
            </w:r>
          </w:p>
        </w:tc>
        <w:tc>
          <w:tcPr>
            <w:tcW w:w="4882" w:type="dxa"/>
          </w:tcPr>
          <w:p w:rsidR="009644D2" w:rsidRPr="009644D2" w:rsidRDefault="009644D2" w:rsidP="00A472A3">
            <w:pPr>
              <w:pStyle w:val="BodyText"/>
              <w:rPr>
                <w:rFonts w:asciiTheme="minorHAnsi" w:hAnsiTheme="minorHAnsi"/>
                <w:lang w:val="en-AU"/>
              </w:rPr>
            </w:pPr>
            <w:proofErr w:type="gramStart"/>
            <w:r w:rsidRPr="009644D2">
              <w:t>in</w:t>
            </w:r>
            <w:proofErr w:type="gramEnd"/>
            <w:r w:rsidRPr="009644D2">
              <w:rPr>
                <w:rFonts w:asciiTheme="minorHAnsi" w:hAnsiTheme="minorHAnsi"/>
              </w:rPr>
              <w:t xml:space="preserve"> relation to expenditure, means </w:t>
            </w:r>
            <w:r w:rsidRPr="009644D2">
              <w:rPr>
                <w:rFonts w:asciiTheme="minorHAnsi" w:hAnsiTheme="minorHAnsi"/>
                <w:b/>
              </w:rPr>
              <w:t>gross capital expenditure</w:t>
            </w:r>
            <w:r w:rsidRPr="009644D2">
              <w:rPr>
                <w:rFonts w:asciiTheme="minorHAnsi" w:hAnsiTheme="minorHAnsi"/>
              </w:rPr>
              <w:t xml:space="preserve"> where the </w:t>
            </w:r>
            <w:r w:rsidRPr="009644D2">
              <w:rPr>
                <w:rFonts w:asciiTheme="minorHAnsi" w:hAnsiTheme="minorHAnsi"/>
                <w:b/>
              </w:rPr>
              <w:t>primary driver</w:t>
            </w:r>
            <w:r w:rsidRPr="009644D2">
              <w:rPr>
                <w:rFonts w:asciiTheme="minorHAnsi" w:hAnsiTheme="minorHAnsi"/>
              </w:rPr>
              <w:t xml:space="preserve"> is the need to relocate assets due to third party requests, such as for the purpose of allowing road widening or similar needs. </w:t>
            </w:r>
            <w:r w:rsidRPr="009644D2">
              <w:rPr>
                <w:rFonts w:asciiTheme="minorHAnsi" w:hAnsiTheme="minorHAnsi"/>
                <w:lang w:val="en-AU"/>
              </w:rPr>
              <w:t xml:space="preserve">This expenditure category includes </w:t>
            </w:r>
            <w:r w:rsidRPr="009644D2">
              <w:rPr>
                <w:rFonts w:asciiTheme="minorHAnsi" w:hAnsiTheme="minorHAnsi"/>
                <w:b/>
                <w:lang w:val="en-AU"/>
              </w:rPr>
              <w:t>gross capital expenditure</w:t>
            </w:r>
            <w:r w:rsidRPr="009644D2">
              <w:rPr>
                <w:rFonts w:asciiTheme="minorHAnsi" w:hAnsiTheme="minorHAnsi"/>
                <w:lang w:val="en-AU"/>
              </w:rPr>
              <w:t xml:space="preserve"> relating to </w:t>
            </w:r>
            <w:r w:rsidRPr="009644D2">
              <w:rPr>
                <w:rFonts w:asciiTheme="minorHAnsi" w:hAnsiTheme="minorHAnsi"/>
              </w:rPr>
              <w:t>the undergrounding of previously aboveground assets at the request of a third party</w:t>
            </w:r>
          </w:p>
        </w:tc>
      </w:tr>
      <w:tr w:rsidR="009644D2" w:rsidRPr="002F2828" w:rsidTr="00A03DC6">
        <w:tc>
          <w:tcPr>
            <w:tcW w:w="3510" w:type="dxa"/>
          </w:tcPr>
          <w:p w:rsidR="009644D2" w:rsidRPr="002F2828" w:rsidRDefault="009644D2" w:rsidP="00AE0D10">
            <w:pPr>
              <w:pStyle w:val="BodyText"/>
              <w:spacing w:line="264" w:lineRule="auto"/>
              <w:rPr>
                <w:rFonts w:asciiTheme="minorHAnsi" w:hAnsiTheme="minorHAnsi"/>
                <w:b/>
              </w:rPr>
            </w:pPr>
            <w:r w:rsidRPr="002F2828">
              <w:rPr>
                <w:rFonts w:asciiTheme="minorHAnsi" w:hAnsiTheme="minorHAnsi"/>
                <w:b/>
              </w:rPr>
              <w:t>Asset replacement and renewal</w:t>
            </w:r>
          </w:p>
        </w:tc>
        <w:tc>
          <w:tcPr>
            <w:tcW w:w="4882" w:type="dxa"/>
          </w:tcPr>
          <w:p w:rsidR="009644D2" w:rsidRPr="000A1CAB" w:rsidRDefault="009644D2" w:rsidP="00A472A3">
            <w:pPr>
              <w:pStyle w:val="ListParagraph"/>
              <w:spacing w:line="264" w:lineRule="auto"/>
              <w:ind w:left="34"/>
            </w:pPr>
            <w:r w:rsidRPr="000A1CAB">
              <w:t>means:</w:t>
            </w:r>
          </w:p>
          <w:p w:rsidR="009644D2" w:rsidRPr="000A1CAB" w:rsidRDefault="009644D2" w:rsidP="009644D2">
            <w:pPr>
              <w:pStyle w:val="ListParagraph"/>
              <w:numPr>
                <w:ilvl w:val="0"/>
                <w:numId w:val="20"/>
              </w:numPr>
              <w:spacing w:line="264" w:lineRule="auto"/>
              <w:ind w:left="459" w:hanging="425"/>
            </w:pPr>
            <w:r w:rsidRPr="000A1CAB">
              <w:rPr>
                <w:rFonts w:cs="Arial"/>
                <w:lang w:eastAsia="en-NZ"/>
              </w:rPr>
              <w:t xml:space="preserve">in relation to capital expenditure, </w:t>
            </w:r>
            <w:r w:rsidRPr="000A1CAB">
              <w:rPr>
                <w:rFonts w:cs="Arial"/>
                <w:b/>
                <w:lang w:eastAsia="en-NZ"/>
              </w:rPr>
              <w:t>gross capital expenditure</w:t>
            </w:r>
            <w:r w:rsidRPr="000A1CAB">
              <w:rPr>
                <w:rFonts w:cs="Arial"/>
                <w:lang w:eastAsia="en-NZ"/>
              </w:rPr>
              <w:t xml:space="preserve"> </w:t>
            </w:r>
          </w:p>
          <w:p w:rsidR="009644D2" w:rsidRPr="000A1CAB" w:rsidRDefault="009644D2" w:rsidP="009644D2">
            <w:pPr>
              <w:pStyle w:val="ListParagraph"/>
              <w:numPr>
                <w:ilvl w:val="0"/>
                <w:numId w:val="20"/>
              </w:numPr>
              <w:spacing w:line="264" w:lineRule="auto"/>
              <w:ind w:left="459" w:hanging="425"/>
              <w:rPr>
                <w:rFonts w:cs="Arial"/>
                <w:lang w:eastAsia="en-NZ"/>
              </w:rPr>
            </w:pPr>
            <w:r w:rsidRPr="000A1CAB">
              <w:rPr>
                <w:rFonts w:cs="Arial"/>
                <w:lang w:eastAsia="en-NZ"/>
              </w:rPr>
              <w:t xml:space="preserve">In relation to operational expenditure, </w:t>
            </w:r>
            <w:r w:rsidRPr="000A1CAB">
              <w:rPr>
                <w:rFonts w:cs="Arial"/>
                <w:b/>
                <w:lang w:eastAsia="en-NZ"/>
              </w:rPr>
              <w:t>operational expenditure</w:t>
            </w:r>
          </w:p>
          <w:p w:rsidR="009644D2" w:rsidRPr="000A1CAB" w:rsidRDefault="009644D2" w:rsidP="00A472A3">
            <w:pPr>
              <w:pStyle w:val="ListParagraph"/>
              <w:spacing w:line="264" w:lineRule="auto"/>
              <w:ind w:left="34"/>
            </w:pPr>
            <w:r w:rsidRPr="000A1CAB">
              <w:t xml:space="preserve">where the </w:t>
            </w:r>
            <w:r w:rsidRPr="000A1CAB">
              <w:rPr>
                <w:b/>
              </w:rPr>
              <w:t>primary driver</w:t>
            </w:r>
            <w:r w:rsidRPr="000A1CAB">
              <w:t xml:space="preserve"> is the need to maintain network asset integrity so as to maintain current security and/or quality of supply standards and includes expenditure as a result of:</w:t>
            </w:r>
          </w:p>
          <w:p w:rsidR="009644D2" w:rsidRPr="000A1CAB" w:rsidRDefault="009644D2" w:rsidP="009644D2">
            <w:pPr>
              <w:pStyle w:val="Tablebullet"/>
              <w:numPr>
                <w:ilvl w:val="0"/>
                <w:numId w:val="153"/>
              </w:numPr>
              <w:tabs>
                <w:tab w:val="clear" w:pos="284"/>
                <w:tab w:val="num" w:pos="317"/>
              </w:tabs>
              <w:spacing w:after="120"/>
              <w:ind w:left="317"/>
              <w:rPr>
                <w:szCs w:val="24"/>
              </w:rPr>
            </w:pPr>
            <w:r w:rsidRPr="000A1CAB">
              <w:rPr>
                <w:szCs w:val="24"/>
              </w:rPr>
              <w:t xml:space="preserve">the progressive physical deterioration of the condition of </w:t>
            </w:r>
            <w:r w:rsidRPr="000A1CAB">
              <w:rPr>
                <w:b/>
                <w:szCs w:val="24"/>
              </w:rPr>
              <w:t>network</w:t>
            </w:r>
            <w:r w:rsidRPr="000A1CAB">
              <w:rPr>
                <w:szCs w:val="24"/>
              </w:rPr>
              <w:t xml:space="preserve"> assets or their immediate surrounds; </w:t>
            </w:r>
          </w:p>
          <w:p w:rsidR="009644D2" w:rsidRPr="000A1CAB" w:rsidRDefault="009644D2" w:rsidP="009644D2">
            <w:pPr>
              <w:pStyle w:val="Tablebullet"/>
              <w:numPr>
                <w:ilvl w:val="0"/>
                <w:numId w:val="153"/>
              </w:numPr>
              <w:tabs>
                <w:tab w:val="clear" w:pos="284"/>
                <w:tab w:val="num" w:pos="317"/>
              </w:tabs>
              <w:spacing w:after="120"/>
              <w:ind w:left="317"/>
              <w:rPr>
                <w:szCs w:val="24"/>
              </w:rPr>
            </w:pPr>
            <w:r w:rsidRPr="000A1CAB">
              <w:rPr>
                <w:szCs w:val="24"/>
              </w:rPr>
              <w:t xml:space="preserve">the obsolescence of </w:t>
            </w:r>
            <w:r w:rsidRPr="000A1CAB">
              <w:rPr>
                <w:b/>
                <w:szCs w:val="24"/>
              </w:rPr>
              <w:t xml:space="preserve">network </w:t>
            </w:r>
            <w:r w:rsidRPr="000A1CAB">
              <w:rPr>
                <w:szCs w:val="24"/>
              </w:rPr>
              <w:t>assets;</w:t>
            </w:r>
          </w:p>
          <w:p w:rsidR="009644D2" w:rsidRPr="000A1CAB" w:rsidRDefault="009644D2" w:rsidP="009644D2">
            <w:pPr>
              <w:pStyle w:val="Tablebullet"/>
              <w:numPr>
                <w:ilvl w:val="0"/>
                <w:numId w:val="153"/>
              </w:numPr>
              <w:tabs>
                <w:tab w:val="clear" w:pos="284"/>
                <w:tab w:val="num" w:pos="317"/>
              </w:tabs>
              <w:spacing w:after="120"/>
              <w:ind w:left="317"/>
              <w:rPr>
                <w:szCs w:val="24"/>
              </w:rPr>
            </w:pPr>
            <w:r w:rsidRPr="000A1CAB">
              <w:rPr>
                <w:szCs w:val="24"/>
              </w:rPr>
              <w:t>preventative replacement programmes, consistent with asset life-cycle management policies; or</w:t>
            </w:r>
          </w:p>
          <w:p w:rsidR="009644D2" w:rsidRPr="000A1CAB" w:rsidRDefault="009644D2" w:rsidP="009644D2">
            <w:pPr>
              <w:pStyle w:val="Tablebullet"/>
              <w:numPr>
                <w:ilvl w:val="0"/>
                <w:numId w:val="153"/>
              </w:numPr>
              <w:tabs>
                <w:tab w:val="clear" w:pos="284"/>
                <w:tab w:val="num" w:pos="317"/>
              </w:tabs>
              <w:spacing w:after="120"/>
              <w:ind w:left="317"/>
              <w:rPr>
                <w:szCs w:val="24"/>
              </w:rPr>
            </w:pPr>
            <w:proofErr w:type="gramStart"/>
            <w:r w:rsidRPr="000A1CAB">
              <w:rPr>
                <w:szCs w:val="24"/>
              </w:rPr>
              <w:t>the</w:t>
            </w:r>
            <w:proofErr w:type="gramEnd"/>
            <w:r w:rsidRPr="000A1CAB">
              <w:rPr>
                <w:szCs w:val="24"/>
              </w:rPr>
              <w:t xml:space="preserve"> need to ensure the ongoing physical security of the </w:t>
            </w:r>
            <w:r w:rsidRPr="000A1CAB">
              <w:rPr>
                <w:b/>
                <w:szCs w:val="24"/>
              </w:rPr>
              <w:t>network</w:t>
            </w:r>
            <w:r w:rsidRPr="000A1CAB">
              <w:rPr>
                <w:szCs w:val="24"/>
              </w:rPr>
              <w:t xml:space="preserve"> assets.</w:t>
            </w:r>
          </w:p>
        </w:tc>
      </w:tr>
      <w:tr w:rsidR="00961F47" w:rsidRPr="002F2828" w:rsidTr="003E438D">
        <w:tc>
          <w:tcPr>
            <w:tcW w:w="3510" w:type="dxa"/>
          </w:tcPr>
          <w:p w:rsidR="00961F47" w:rsidRPr="002F2828" w:rsidRDefault="00961F47" w:rsidP="003E438D">
            <w:pPr>
              <w:pStyle w:val="BodyText"/>
              <w:spacing w:line="264" w:lineRule="auto"/>
              <w:rPr>
                <w:rFonts w:asciiTheme="minorHAnsi" w:hAnsiTheme="minorHAnsi" w:cs="Arial"/>
                <w:b/>
                <w:bCs/>
                <w:lang w:eastAsia="en-NZ"/>
              </w:rPr>
            </w:pPr>
            <w:r w:rsidRPr="002F2828">
              <w:rPr>
                <w:rFonts w:asciiTheme="minorHAnsi" w:hAnsiTheme="minorHAnsi" w:cs="Arial"/>
                <w:b/>
                <w:bCs/>
                <w:lang w:eastAsia="en-NZ"/>
              </w:rPr>
              <w:t>Assets acquired from a related party</w:t>
            </w:r>
          </w:p>
        </w:tc>
        <w:tc>
          <w:tcPr>
            <w:tcW w:w="4882" w:type="dxa"/>
          </w:tcPr>
          <w:p w:rsidR="00961F47" w:rsidRPr="002F2828" w:rsidRDefault="00961F47" w:rsidP="003E438D">
            <w:pPr>
              <w:pStyle w:val="ListParagraph"/>
              <w:spacing w:line="264" w:lineRule="auto"/>
              <w:ind w:left="34"/>
              <w:rPr>
                <w:rFonts w:asciiTheme="minorHAnsi" w:hAnsiTheme="minorHAnsi" w:cs="Arial"/>
                <w:lang w:eastAsia="en-NZ"/>
              </w:rPr>
            </w:pPr>
            <w:r w:rsidRPr="002F2828">
              <w:rPr>
                <w:rFonts w:asciiTheme="minorHAnsi" w:hAnsiTheme="minorHAnsi" w:cs="Arial"/>
                <w:lang w:eastAsia="en-NZ"/>
              </w:rPr>
              <w:t>means:</w:t>
            </w:r>
          </w:p>
          <w:p w:rsidR="00961F47" w:rsidRPr="002F2828" w:rsidRDefault="00961F47" w:rsidP="00F82684">
            <w:pPr>
              <w:pStyle w:val="ListParagraph"/>
              <w:numPr>
                <w:ilvl w:val="0"/>
                <w:numId w:val="20"/>
              </w:numPr>
              <w:spacing w:line="264" w:lineRule="auto"/>
              <w:ind w:left="459" w:hanging="425"/>
              <w:rPr>
                <w:rFonts w:asciiTheme="minorHAnsi" w:hAnsiTheme="minorHAnsi" w:cs="Arial"/>
                <w:lang w:eastAsia="en-NZ"/>
              </w:rPr>
            </w:pPr>
            <w:r w:rsidRPr="002F2828">
              <w:rPr>
                <w:rFonts w:asciiTheme="minorHAnsi" w:hAnsiTheme="minorHAnsi" w:cs="Arial"/>
                <w:lang w:eastAsia="en-NZ"/>
              </w:rPr>
              <w:t xml:space="preserve">in relation to the </w:t>
            </w:r>
            <w:r w:rsidRPr="002F2828">
              <w:rPr>
                <w:rFonts w:asciiTheme="minorHAnsi" w:hAnsiTheme="minorHAnsi" w:cs="Arial"/>
                <w:b/>
                <w:bCs/>
                <w:lang w:eastAsia="en-NZ"/>
              </w:rPr>
              <w:t>unallocated RAB</w:t>
            </w:r>
            <w:r w:rsidRPr="002F2828">
              <w:rPr>
                <w:rFonts w:asciiTheme="minorHAnsi" w:hAnsiTheme="minorHAnsi" w:cs="Arial"/>
                <w:lang w:eastAsia="en-NZ"/>
              </w:rPr>
              <w:t>, the sum of value of assets acquired from a</w:t>
            </w:r>
            <w:r w:rsidRPr="002F2828">
              <w:rPr>
                <w:rFonts w:asciiTheme="minorHAnsi" w:hAnsiTheme="minorHAnsi" w:cs="Arial"/>
                <w:b/>
                <w:bCs/>
                <w:lang w:eastAsia="en-NZ"/>
              </w:rPr>
              <w:t xml:space="preserve"> related party </w:t>
            </w:r>
            <w:r w:rsidRPr="002F2828">
              <w:rPr>
                <w:rFonts w:asciiTheme="minorHAnsi" w:hAnsiTheme="minorHAnsi" w:cs="Arial"/>
                <w:lang w:eastAsia="en-NZ"/>
              </w:rPr>
              <w:t xml:space="preserve">as determined in accordance with clauses 2.2.11(1)(f) and (g) of the </w:t>
            </w:r>
            <w:r w:rsidRPr="002F2828">
              <w:rPr>
                <w:rFonts w:asciiTheme="minorHAnsi" w:hAnsiTheme="minorHAnsi" w:cs="Arial"/>
                <w:b/>
                <w:lang w:eastAsia="en-NZ"/>
              </w:rPr>
              <w:t>IM determination</w:t>
            </w:r>
            <w:r w:rsidRPr="002F2828">
              <w:rPr>
                <w:rFonts w:asciiTheme="minorHAnsi" w:hAnsiTheme="minorHAnsi" w:cs="Arial"/>
                <w:lang w:eastAsia="en-NZ"/>
              </w:rPr>
              <w:t>;</w:t>
            </w:r>
          </w:p>
          <w:p w:rsidR="00961F47" w:rsidRPr="002F2828" w:rsidRDefault="00961F47" w:rsidP="00F82684">
            <w:pPr>
              <w:pStyle w:val="ListParagraph"/>
              <w:numPr>
                <w:ilvl w:val="0"/>
                <w:numId w:val="20"/>
              </w:numPr>
              <w:spacing w:line="264" w:lineRule="auto"/>
              <w:ind w:left="459" w:hanging="425"/>
              <w:rPr>
                <w:rFonts w:asciiTheme="minorHAnsi" w:hAnsiTheme="minorHAnsi" w:cs="Arial"/>
                <w:lang w:eastAsia="en-NZ"/>
              </w:rPr>
            </w:pPr>
            <w:r w:rsidRPr="002F2828">
              <w:rPr>
                <w:rFonts w:asciiTheme="minorHAnsi" w:hAnsiTheme="minorHAnsi" w:cs="Arial"/>
                <w:lang w:eastAsia="en-NZ"/>
              </w:rPr>
              <w:t xml:space="preserve">in relation to the </w:t>
            </w:r>
            <w:r w:rsidRPr="002F2828">
              <w:rPr>
                <w:rFonts w:asciiTheme="minorHAnsi" w:hAnsiTheme="minorHAnsi" w:cs="Arial"/>
                <w:b/>
                <w:bCs/>
                <w:lang w:eastAsia="en-NZ"/>
              </w:rPr>
              <w:t>RAB</w:t>
            </w:r>
            <w:r w:rsidR="00866BD4" w:rsidRPr="00866BD4">
              <w:rPr>
                <w:rFonts w:asciiTheme="minorHAnsi" w:hAnsiTheme="minorHAnsi" w:cs="Arial"/>
                <w:bCs/>
                <w:lang w:eastAsia="en-NZ"/>
              </w:rPr>
              <w:t>,</w:t>
            </w:r>
            <w:r w:rsidRPr="002F2828">
              <w:rPr>
                <w:rFonts w:asciiTheme="minorHAnsi" w:hAnsiTheme="minorHAnsi" w:cs="Arial"/>
                <w:lang w:eastAsia="en-NZ"/>
              </w:rPr>
              <w:t xml:space="preserve"> means the sum of value of the assets (as determined in accordance with paragraph (a)) which is allocated to the </w:t>
            </w:r>
            <w:r w:rsidRPr="002F2828">
              <w:rPr>
                <w:rFonts w:asciiTheme="minorHAnsi" w:hAnsiTheme="minorHAnsi" w:cs="Arial"/>
                <w:b/>
                <w:lang w:eastAsia="en-NZ"/>
              </w:rPr>
              <w:t>gas distribution services</w:t>
            </w:r>
            <w:r w:rsidRPr="002F2828">
              <w:rPr>
                <w:rFonts w:asciiTheme="minorHAnsi" w:hAnsiTheme="minorHAnsi" w:cs="Arial"/>
                <w:lang w:eastAsia="en-NZ"/>
              </w:rPr>
              <w:t xml:space="preserve"> in accordance with clause 2.1.1 of the </w:t>
            </w:r>
            <w:r w:rsidRPr="002F2828">
              <w:rPr>
                <w:rFonts w:asciiTheme="minorHAnsi" w:hAnsiTheme="minorHAnsi" w:cs="Arial"/>
                <w:b/>
                <w:bCs/>
                <w:lang w:eastAsia="en-NZ"/>
              </w:rPr>
              <w:t>IM determination</w:t>
            </w:r>
          </w:p>
        </w:tc>
      </w:tr>
      <w:tr w:rsidR="008539EC" w:rsidRPr="002F2828" w:rsidTr="00A03DC6">
        <w:tc>
          <w:tcPr>
            <w:tcW w:w="3510" w:type="dxa"/>
          </w:tcPr>
          <w:p w:rsidR="008539EC" w:rsidRPr="002F2828" w:rsidRDefault="008539EC" w:rsidP="00AE0D10">
            <w:pPr>
              <w:pStyle w:val="BodyText"/>
              <w:spacing w:line="264" w:lineRule="auto"/>
              <w:rPr>
                <w:rFonts w:asciiTheme="minorHAnsi" w:hAnsiTheme="minorHAnsi"/>
                <w:b/>
              </w:rPr>
            </w:pPr>
            <w:r w:rsidRPr="002F2828">
              <w:rPr>
                <w:rFonts w:asciiTheme="minorHAnsi" w:hAnsiTheme="minorHAnsi"/>
                <w:b/>
              </w:rPr>
              <w:t>Atypical</w:t>
            </w:r>
          </w:p>
        </w:tc>
        <w:tc>
          <w:tcPr>
            <w:tcW w:w="4882" w:type="dxa"/>
          </w:tcPr>
          <w:p w:rsidR="008539EC" w:rsidRPr="002F2828" w:rsidRDefault="008539EC" w:rsidP="00170E7F">
            <w:pPr>
              <w:spacing w:line="264" w:lineRule="auto"/>
              <w:rPr>
                <w:rFonts w:asciiTheme="minorHAnsi" w:hAnsiTheme="minorHAnsi"/>
              </w:rPr>
            </w:pPr>
            <w:r w:rsidRPr="002F2828">
              <w:rPr>
                <w:rFonts w:asciiTheme="minorHAnsi" w:hAnsiTheme="minorHAnsi"/>
              </w:rPr>
              <w:t>means ‘one off’ or ‘exceptional’ costs incurred often as a result of events outside management control</w:t>
            </w:r>
          </w:p>
        </w:tc>
      </w:tr>
      <w:tr w:rsidR="008539EC" w:rsidRPr="002F2828" w:rsidTr="00A03DC6">
        <w:tc>
          <w:tcPr>
            <w:tcW w:w="3510" w:type="dxa"/>
          </w:tcPr>
          <w:p w:rsidR="008539EC" w:rsidRPr="002F2828" w:rsidRDefault="008539EC" w:rsidP="00AE0D10">
            <w:pPr>
              <w:pStyle w:val="BodyText"/>
              <w:spacing w:line="264" w:lineRule="auto"/>
              <w:rPr>
                <w:rFonts w:asciiTheme="minorHAnsi" w:hAnsiTheme="minorHAnsi" w:cs="Arial"/>
                <w:b/>
                <w:bCs/>
                <w:lang w:eastAsia="en-NZ"/>
              </w:rPr>
            </w:pPr>
            <w:r w:rsidRPr="002F2828">
              <w:rPr>
                <w:rFonts w:asciiTheme="minorHAnsi" w:hAnsiTheme="minorHAnsi"/>
                <w:b/>
              </w:rPr>
              <w:t>Audited disclosure information</w:t>
            </w:r>
          </w:p>
        </w:tc>
        <w:tc>
          <w:tcPr>
            <w:tcW w:w="4882" w:type="dxa"/>
          </w:tcPr>
          <w:p w:rsidR="008539EC" w:rsidRPr="002F2828" w:rsidRDefault="008539EC" w:rsidP="005A113D">
            <w:pPr>
              <w:spacing w:line="264" w:lineRule="auto"/>
              <w:rPr>
                <w:rFonts w:asciiTheme="minorHAnsi" w:hAnsiTheme="minorHAnsi" w:cs="Arial"/>
                <w:lang w:eastAsia="en-NZ"/>
              </w:rPr>
            </w:pPr>
            <w:r w:rsidRPr="002F2828">
              <w:rPr>
                <w:rFonts w:asciiTheme="minorHAnsi" w:hAnsiTheme="minorHAnsi"/>
              </w:rPr>
              <w:t xml:space="preserve">means information disclosed </w:t>
            </w:r>
            <w:r w:rsidR="005A113D">
              <w:rPr>
                <w:rFonts w:asciiTheme="minorHAnsi" w:hAnsiTheme="minorHAnsi"/>
              </w:rPr>
              <w:t xml:space="preserve">under </w:t>
            </w:r>
            <w:r w:rsidRPr="002F2828">
              <w:rPr>
                <w:rFonts w:asciiTheme="minorHAnsi" w:hAnsiTheme="minorHAnsi"/>
              </w:rPr>
              <w:t xml:space="preserve">any of </w:t>
            </w:r>
            <w:r w:rsidR="00004445">
              <w:fldChar w:fldCharType="begin"/>
            </w:r>
            <w:r w:rsidR="005A113D">
              <w:instrText xml:space="preserve"> REF _Ref279613342 \r \h </w:instrText>
            </w:r>
            <w:r w:rsidR="00004445">
              <w:fldChar w:fldCharType="separate"/>
            </w:r>
            <w:r w:rsidR="00A84D28">
              <w:t>2.3.1</w:t>
            </w:r>
            <w:r w:rsidR="00004445">
              <w:fldChar w:fldCharType="end"/>
            </w:r>
            <w:r w:rsidR="005A113D">
              <w:t xml:space="preserve"> and </w:t>
            </w:r>
            <w:r w:rsidR="00004445">
              <w:fldChar w:fldCharType="begin"/>
            </w:r>
            <w:r w:rsidR="005A113D">
              <w:instrText xml:space="preserve"> REF _Ref328953470 \w \h </w:instrText>
            </w:r>
            <w:r w:rsidR="00004445">
              <w:fldChar w:fldCharType="separate"/>
            </w:r>
            <w:r w:rsidR="00A84D28">
              <w:t>2.3.2</w:t>
            </w:r>
            <w:r w:rsidR="00004445">
              <w:fldChar w:fldCharType="end"/>
            </w:r>
            <w:r w:rsidR="005A113D" w:rsidRPr="00604256">
              <w:t xml:space="preserve"> of section</w:t>
            </w:r>
            <w:r w:rsidR="005A113D">
              <w:t xml:space="preserve"> </w:t>
            </w:r>
            <w:r w:rsidR="00004445">
              <w:fldChar w:fldCharType="begin"/>
            </w:r>
            <w:r w:rsidR="005A113D">
              <w:instrText xml:space="preserve"> REF _Ref328953486 \w \h </w:instrText>
            </w:r>
            <w:r w:rsidR="00004445">
              <w:fldChar w:fldCharType="separate"/>
            </w:r>
            <w:r w:rsidR="00A84D28">
              <w:t>2.3</w:t>
            </w:r>
            <w:r w:rsidR="00004445">
              <w:fldChar w:fldCharType="end"/>
            </w:r>
            <w:r w:rsidR="005A113D" w:rsidRPr="00604256">
              <w:t xml:space="preserve">, clauses </w:t>
            </w:r>
            <w:r w:rsidR="00004445">
              <w:fldChar w:fldCharType="begin"/>
            </w:r>
            <w:r w:rsidR="005A113D">
              <w:instrText xml:space="preserve"> REF _Ref328953510 \w \h </w:instrText>
            </w:r>
            <w:r w:rsidR="00004445">
              <w:fldChar w:fldCharType="separate"/>
            </w:r>
            <w:r w:rsidR="00A84D28">
              <w:t>2.4.19</w:t>
            </w:r>
            <w:r w:rsidR="00004445">
              <w:fldChar w:fldCharType="end"/>
            </w:r>
            <w:r w:rsidR="005A113D">
              <w:t xml:space="preserve"> and </w:t>
            </w:r>
            <w:r w:rsidR="00004445">
              <w:fldChar w:fldCharType="begin"/>
            </w:r>
            <w:r w:rsidR="005A113D">
              <w:instrText xml:space="preserve"> REF _Ref328953520 \w \h </w:instrText>
            </w:r>
            <w:r w:rsidR="00004445">
              <w:fldChar w:fldCharType="separate"/>
            </w:r>
            <w:r w:rsidR="00A84D28">
              <w:t>2.4.20</w:t>
            </w:r>
            <w:r w:rsidR="00004445">
              <w:fldChar w:fldCharType="end"/>
            </w:r>
            <w:r w:rsidR="005A113D">
              <w:t xml:space="preserve"> </w:t>
            </w:r>
            <w:r w:rsidR="005A113D" w:rsidRPr="00604256">
              <w:t>of section</w:t>
            </w:r>
            <w:r w:rsidR="005A113D">
              <w:t xml:space="preserve"> </w:t>
            </w:r>
            <w:r w:rsidR="00004445">
              <w:fldChar w:fldCharType="begin"/>
            </w:r>
            <w:r w:rsidR="005A113D">
              <w:instrText xml:space="preserve"> REF _Ref328953534 \w \h </w:instrText>
            </w:r>
            <w:r w:rsidR="00004445">
              <w:fldChar w:fldCharType="separate"/>
            </w:r>
            <w:r w:rsidR="00A84D28">
              <w:t>2.4</w:t>
            </w:r>
            <w:r w:rsidR="00004445">
              <w:fldChar w:fldCharType="end"/>
            </w:r>
            <w:r w:rsidR="005A113D" w:rsidRPr="00604256">
              <w:t xml:space="preserve">, clause </w:t>
            </w:r>
            <w:r w:rsidR="00004445">
              <w:fldChar w:fldCharType="begin"/>
            </w:r>
            <w:r w:rsidR="005A113D">
              <w:instrText xml:space="preserve"> REF _Ref328953556 \w \h </w:instrText>
            </w:r>
            <w:r w:rsidR="00004445">
              <w:fldChar w:fldCharType="separate"/>
            </w:r>
            <w:r w:rsidR="00A84D28">
              <w:t>2.5.1</w:t>
            </w:r>
            <w:r w:rsidR="00004445">
              <w:fldChar w:fldCharType="end"/>
            </w:r>
            <w:r w:rsidR="005A113D">
              <w:t xml:space="preserve"> </w:t>
            </w:r>
            <w:r w:rsidR="005A113D" w:rsidRPr="00604256">
              <w:t>of section 2.5</w:t>
            </w:r>
            <w:r w:rsidR="005A113D">
              <w:t xml:space="preserve">, clause </w:t>
            </w:r>
            <w:r w:rsidR="00004445">
              <w:fldChar w:fldCharType="begin"/>
            </w:r>
            <w:r w:rsidR="005A113D">
              <w:instrText xml:space="preserve"> REF _Ref328811155 \w \h </w:instrText>
            </w:r>
            <w:r w:rsidR="00004445">
              <w:fldChar w:fldCharType="separate"/>
            </w:r>
            <w:r w:rsidR="00A84D28">
              <w:t>2.7.1</w:t>
            </w:r>
            <w:r w:rsidR="00004445">
              <w:fldChar w:fldCharType="end"/>
            </w:r>
            <w:r w:rsidR="005A113D" w:rsidRPr="00604256">
              <w:t xml:space="preserve"> </w:t>
            </w:r>
            <w:r w:rsidR="005A113D">
              <w:t xml:space="preserve">of section </w:t>
            </w:r>
            <w:r w:rsidR="00004445">
              <w:fldChar w:fldCharType="begin"/>
            </w:r>
            <w:r w:rsidR="005A113D">
              <w:instrText xml:space="preserve"> REF _Ref328949312 \w \h </w:instrText>
            </w:r>
            <w:r w:rsidR="00004445">
              <w:fldChar w:fldCharType="separate"/>
            </w:r>
            <w:r w:rsidR="00A84D28">
              <w:t>2.7</w:t>
            </w:r>
            <w:r w:rsidR="00004445">
              <w:fldChar w:fldCharType="end"/>
            </w:r>
            <w:r w:rsidR="005A113D">
              <w:t xml:space="preserve"> </w:t>
            </w:r>
            <w:r w:rsidR="005A113D" w:rsidRPr="00604256">
              <w:t>and clause</w:t>
            </w:r>
            <w:r w:rsidR="005A113D">
              <w:t xml:space="preserve"> </w:t>
            </w:r>
            <w:r w:rsidR="00004445">
              <w:fldChar w:fldCharType="begin"/>
            </w:r>
            <w:r w:rsidR="005A113D">
              <w:instrText xml:space="preserve"> REF _Ref279613542 \w \h </w:instrText>
            </w:r>
            <w:r w:rsidR="00004445">
              <w:fldChar w:fldCharType="separate"/>
            </w:r>
            <w:r w:rsidR="00A84D28">
              <w:t>2.12.1</w:t>
            </w:r>
            <w:r w:rsidR="00004445">
              <w:fldChar w:fldCharType="end"/>
            </w:r>
            <w:r w:rsidR="005A113D" w:rsidRPr="00604256">
              <w:t xml:space="preserve"> of section </w:t>
            </w:r>
            <w:r w:rsidR="00004445">
              <w:fldChar w:fldCharType="begin"/>
            </w:r>
            <w:r w:rsidR="005A113D">
              <w:instrText xml:space="preserve"> REF _Ref328953675 \w \h </w:instrText>
            </w:r>
            <w:r w:rsidR="00004445">
              <w:fldChar w:fldCharType="separate"/>
            </w:r>
            <w:r w:rsidR="00A84D28">
              <w:t>2.12</w:t>
            </w:r>
            <w:r w:rsidR="00004445">
              <w:fldChar w:fldCharType="end"/>
            </w:r>
            <w:r w:rsidR="007A6AD2">
              <w:t xml:space="preserve"> </w:t>
            </w:r>
            <w:r w:rsidRPr="002F2828">
              <w:rPr>
                <w:rFonts w:asciiTheme="minorHAnsi" w:hAnsiTheme="minorHAnsi"/>
              </w:rPr>
              <w:t>of this determination</w:t>
            </w:r>
          </w:p>
        </w:tc>
      </w:tr>
    </w:tbl>
    <w:p w:rsidR="003E69C4" w:rsidRPr="002F2828" w:rsidRDefault="003E69C4" w:rsidP="00AE0D10">
      <w:pPr>
        <w:pStyle w:val="Heading2"/>
        <w:spacing w:before="240" w:after="240" w:line="264" w:lineRule="auto"/>
        <w:jc w:val="center"/>
        <w:rPr>
          <w:rFonts w:asciiTheme="minorHAnsi" w:hAnsiTheme="minorHAnsi"/>
          <w:lang w:eastAsia="en-GB"/>
        </w:rPr>
      </w:pPr>
      <w:r w:rsidRPr="002F2828">
        <w:rPr>
          <w:rFonts w:asciiTheme="minorHAnsi" w:hAnsiTheme="minorHAnsi"/>
          <w:lang w:eastAsia="en-GB"/>
        </w:rPr>
        <w:t>B</w:t>
      </w:r>
    </w:p>
    <w:p w:rsidR="003E69C4" w:rsidRPr="002F2828" w:rsidRDefault="003E69C4" w:rsidP="00AE0D10">
      <w:pPr>
        <w:pStyle w:val="Heading2"/>
        <w:spacing w:before="240" w:after="240" w:line="264" w:lineRule="auto"/>
        <w:jc w:val="center"/>
        <w:rPr>
          <w:rFonts w:asciiTheme="minorHAnsi" w:hAnsiTheme="minorHAnsi"/>
          <w:lang w:eastAsia="en-GB"/>
        </w:rPr>
      </w:pPr>
      <w:r w:rsidRPr="002F2828">
        <w:rPr>
          <w:rFonts w:asciiTheme="minorHAnsi" w:hAnsiTheme="minorHAnsi"/>
          <w:lang w:eastAsia="en-GB"/>
        </w:rPr>
        <w:t>C</w:t>
      </w:r>
    </w:p>
    <w:tbl>
      <w:tblPr>
        <w:tblStyle w:val="TableGrid"/>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510"/>
        <w:gridCol w:w="4882"/>
      </w:tblGrid>
      <w:tr w:rsidR="00377CB6" w:rsidRPr="002F2828" w:rsidTr="00A03DC6">
        <w:tc>
          <w:tcPr>
            <w:tcW w:w="3510" w:type="dxa"/>
          </w:tcPr>
          <w:p w:rsidR="00377CB6" w:rsidRPr="002F2828" w:rsidRDefault="00377CB6" w:rsidP="00AE0D10">
            <w:pPr>
              <w:pStyle w:val="BodyText"/>
              <w:spacing w:line="264" w:lineRule="auto"/>
              <w:rPr>
                <w:rFonts w:asciiTheme="minorHAnsi" w:hAnsiTheme="minorHAnsi"/>
                <w:b/>
              </w:rPr>
            </w:pPr>
            <w:r w:rsidRPr="002F2828">
              <w:rPr>
                <w:rFonts w:asciiTheme="minorHAnsi" w:hAnsiTheme="minorHAnsi" w:cs="Arial"/>
                <w:b/>
                <w:bCs/>
                <w:lang w:eastAsia="en-NZ"/>
              </w:rPr>
              <w:t>Capital contributions</w:t>
            </w:r>
          </w:p>
        </w:tc>
        <w:tc>
          <w:tcPr>
            <w:tcW w:w="4882" w:type="dxa"/>
          </w:tcPr>
          <w:p w:rsidR="00377CB6" w:rsidRPr="002F2828" w:rsidRDefault="00377CB6" w:rsidP="005514F8">
            <w:pPr>
              <w:spacing w:line="264" w:lineRule="auto"/>
              <w:rPr>
                <w:rFonts w:asciiTheme="minorHAnsi" w:hAnsiTheme="minorHAnsi"/>
              </w:rPr>
            </w:pPr>
            <w:r w:rsidRPr="002F2828">
              <w:rPr>
                <w:rFonts w:asciiTheme="minorHAnsi" w:hAnsiTheme="minorHAnsi" w:cs="Arial"/>
                <w:lang w:eastAsia="en-NZ"/>
              </w:rPr>
              <w:t xml:space="preserve">has the meaning set out in the </w:t>
            </w:r>
            <w:r w:rsidRPr="002F2828">
              <w:rPr>
                <w:rFonts w:asciiTheme="minorHAnsi" w:hAnsiTheme="minorHAnsi" w:cs="Arial"/>
                <w:b/>
                <w:bCs/>
                <w:lang w:eastAsia="en-NZ"/>
              </w:rPr>
              <w:t>IM determination</w:t>
            </w:r>
          </w:p>
        </w:tc>
      </w:tr>
      <w:tr w:rsidR="00377CB6" w:rsidRPr="002F2828" w:rsidTr="00A03DC6">
        <w:tc>
          <w:tcPr>
            <w:tcW w:w="3510" w:type="dxa"/>
          </w:tcPr>
          <w:p w:rsidR="00377CB6" w:rsidRPr="002F2828" w:rsidRDefault="00377CB6" w:rsidP="00AE0D10">
            <w:pPr>
              <w:pStyle w:val="BodyText"/>
              <w:spacing w:line="264" w:lineRule="auto"/>
              <w:rPr>
                <w:rFonts w:asciiTheme="minorHAnsi" w:hAnsiTheme="minorHAnsi" w:cs="Arial"/>
                <w:b/>
                <w:bCs/>
                <w:lang w:eastAsia="en-NZ"/>
              </w:rPr>
            </w:pPr>
            <w:r w:rsidRPr="002F2828">
              <w:rPr>
                <w:rFonts w:asciiTheme="minorHAnsi" w:hAnsiTheme="minorHAnsi" w:cs="Arial"/>
                <w:b/>
                <w:bCs/>
                <w:lang w:eastAsia="en-NZ"/>
              </w:rPr>
              <w:t>Capital expenditure</w:t>
            </w:r>
          </w:p>
        </w:tc>
        <w:tc>
          <w:tcPr>
            <w:tcW w:w="4882" w:type="dxa"/>
          </w:tcPr>
          <w:p w:rsidR="00377CB6" w:rsidRPr="002F2828" w:rsidRDefault="00377CB6" w:rsidP="00AE0D10">
            <w:pPr>
              <w:spacing w:line="264" w:lineRule="auto"/>
              <w:rPr>
                <w:rFonts w:asciiTheme="minorHAnsi" w:hAnsiTheme="minorHAnsi" w:cs="Arial"/>
                <w:lang w:eastAsia="en-NZ"/>
              </w:rPr>
            </w:pPr>
            <w:r w:rsidRPr="002F2828">
              <w:rPr>
                <w:rFonts w:asciiTheme="minorHAnsi" w:hAnsiTheme="minorHAnsi" w:cs="Arial"/>
                <w:lang w:eastAsia="en-NZ"/>
              </w:rPr>
              <w:t>means:</w:t>
            </w:r>
          </w:p>
          <w:p w:rsidR="00EA556C" w:rsidRPr="002F2828" w:rsidRDefault="00377CB6" w:rsidP="00F82684">
            <w:pPr>
              <w:pStyle w:val="ListParagraph"/>
              <w:numPr>
                <w:ilvl w:val="0"/>
                <w:numId w:val="24"/>
              </w:numPr>
              <w:spacing w:line="264" w:lineRule="auto"/>
              <w:ind w:left="459" w:hanging="425"/>
              <w:rPr>
                <w:rFonts w:asciiTheme="minorHAnsi" w:hAnsiTheme="minorHAnsi" w:cs="Arial"/>
                <w:lang w:eastAsia="en-NZ"/>
              </w:rPr>
            </w:pPr>
            <w:r w:rsidRPr="002F2828">
              <w:rPr>
                <w:rFonts w:asciiTheme="minorHAnsi" w:hAnsiTheme="minorHAnsi" w:cs="Arial"/>
                <w:lang w:eastAsia="en-NZ"/>
              </w:rPr>
              <w:t xml:space="preserve">in relation to the </w:t>
            </w:r>
            <w:r w:rsidRPr="002F2828">
              <w:rPr>
                <w:rFonts w:asciiTheme="minorHAnsi" w:hAnsiTheme="minorHAnsi" w:cs="Arial"/>
                <w:b/>
                <w:bCs/>
                <w:lang w:eastAsia="en-NZ"/>
              </w:rPr>
              <w:t>unallocated</w:t>
            </w:r>
            <w:r w:rsidRPr="002F2828">
              <w:rPr>
                <w:rFonts w:asciiTheme="minorHAnsi" w:hAnsiTheme="minorHAnsi" w:cs="Arial"/>
                <w:lang w:eastAsia="en-NZ"/>
              </w:rPr>
              <w:t xml:space="preserve"> </w:t>
            </w:r>
            <w:r w:rsidRPr="002F2828">
              <w:rPr>
                <w:rFonts w:asciiTheme="minorHAnsi" w:hAnsiTheme="minorHAnsi" w:cs="Arial"/>
                <w:b/>
                <w:bCs/>
                <w:lang w:eastAsia="en-NZ"/>
              </w:rPr>
              <w:t>works under construction</w:t>
            </w:r>
            <w:r w:rsidRPr="002F2828">
              <w:rPr>
                <w:rFonts w:asciiTheme="minorHAnsi" w:hAnsiTheme="minorHAnsi" w:cs="Arial"/>
                <w:lang w:eastAsia="en-NZ"/>
              </w:rPr>
              <w:t>, costs:</w:t>
            </w:r>
          </w:p>
          <w:p w:rsidR="00EA556C" w:rsidRPr="002F2828" w:rsidRDefault="00377CB6" w:rsidP="00F82684">
            <w:pPr>
              <w:pStyle w:val="ListParagraph"/>
              <w:numPr>
                <w:ilvl w:val="1"/>
                <w:numId w:val="24"/>
              </w:numPr>
              <w:spacing w:line="264" w:lineRule="auto"/>
              <w:ind w:left="884" w:hanging="425"/>
              <w:rPr>
                <w:rFonts w:asciiTheme="minorHAnsi" w:hAnsiTheme="minorHAnsi" w:cs="Arial"/>
                <w:lang w:eastAsia="en-NZ"/>
              </w:rPr>
            </w:pPr>
            <w:r w:rsidRPr="002F2828">
              <w:rPr>
                <w:rFonts w:asciiTheme="minorHAnsi" w:hAnsiTheme="minorHAnsi" w:cs="Arial"/>
                <w:lang w:eastAsia="en-NZ"/>
              </w:rPr>
              <w:t xml:space="preserve">incurred in the acquisition or development of an asset during the </w:t>
            </w:r>
            <w:r w:rsidRPr="002F2828">
              <w:rPr>
                <w:rFonts w:asciiTheme="minorHAnsi" w:hAnsiTheme="minorHAnsi" w:cs="Arial"/>
                <w:b/>
                <w:bCs/>
                <w:lang w:eastAsia="en-NZ"/>
              </w:rPr>
              <w:t>disclosure year</w:t>
            </w:r>
            <w:r w:rsidRPr="002F2828">
              <w:rPr>
                <w:rFonts w:asciiTheme="minorHAnsi" w:hAnsiTheme="minorHAnsi" w:cs="Arial"/>
                <w:lang w:eastAsia="en-NZ"/>
              </w:rPr>
              <w:t xml:space="preserve"> that is, or is intended to be, </w:t>
            </w:r>
            <w:r w:rsidRPr="002F2828">
              <w:rPr>
                <w:rFonts w:asciiTheme="minorHAnsi" w:hAnsiTheme="minorHAnsi" w:cs="Arial"/>
                <w:b/>
                <w:bCs/>
                <w:lang w:eastAsia="en-NZ"/>
              </w:rPr>
              <w:t>commissioned;</w:t>
            </w:r>
            <w:r w:rsidR="00866BD4" w:rsidRPr="00866BD4">
              <w:rPr>
                <w:rFonts w:asciiTheme="minorHAnsi" w:hAnsiTheme="minorHAnsi" w:cs="Arial"/>
                <w:bCs/>
                <w:lang w:eastAsia="en-NZ"/>
              </w:rPr>
              <w:t>;</w:t>
            </w:r>
            <w:r w:rsidRPr="002F2828">
              <w:rPr>
                <w:rFonts w:asciiTheme="minorHAnsi" w:hAnsiTheme="minorHAnsi" w:cs="Arial"/>
                <w:lang w:eastAsia="en-NZ"/>
              </w:rPr>
              <w:t xml:space="preserve"> and</w:t>
            </w:r>
          </w:p>
          <w:p w:rsidR="00EA556C" w:rsidRPr="002F2828" w:rsidRDefault="00377CB6" w:rsidP="00F82684">
            <w:pPr>
              <w:pStyle w:val="ListParagraph"/>
              <w:numPr>
                <w:ilvl w:val="1"/>
                <w:numId w:val="24"/>
              </w:numPr>
              <w:spacing w:line="264" w:lineRule="auto"/>
              <w:ind w:left="884" w:hanging="425"/>
              <w:rPr>
                <w:rFonts w:asciiTheme="minorHAnsi" w:hAnsiTheme="minorHAnsi" w:cs="Arial"/>
                <w:lang w:eastAsia="en-NZ"/>
              </w:rPr>
            </w:pPr>
            <w:r w:rsidRPr="002F2828">
              <w:rPr>
                <w:rFonts w:asciiTheme="minorHAnsi" w:hAnsiTheme="minorHAnsi" w:cs="Arial"/>
                <w:lang w:eastAsia="en-NZ"/>
              </w:rPr>
              <w:t xml:space="preserve">that are included or are intended to be included in the value of </w:t>
            </w:r>
            <w:r w:rsidRPr="002F2828">
              <w:rPr>
                <w:rFonts w:asciiTheme="minorHAnsi" w:hAnsiTheme="minorHAnsi" w:cs="Arial"/>
                <w:b/>
                <w:bCs/>
                <w:lang w:eastAsia="en-NZ"/>
              </w:rPr>
              <w:t>assets commissioned</w:t>
            </w:r>
            <w:r w:rsidRPr="002F2828">
              <w:rPr>
                <w:rFonts w:asciiTheme="minorHAnsi" w:hAnsiTheme="minorHAnsi" w:cs="Arial"/>
                <w:lang w:eastAsia="en-NZ"/>
              </w:rPr>
              <w:t xml:space="preserve"> relating to the </w:t>
            </w:r>
            <w:r w:rsidRPr="002F2828">
              <w:rPr>
                <w:rFonts w:asciiTheme="minorHAnsi" w:hAnsiTheme="minorHAnsi" w:cs="Arial"/>
                <w:b/>
                <w:bCs/>
                <w:lang w:eastAsia="en-NZ"/>
              </w:rPr>
              <w:t>unallocated RAB</w:t>
            </w:r>
            <w:r w:rsidRPr="002F2828">
              <w:rPr>
                <w:rFonts w:asciiTheme="minorHAnsi" w:hAnsiTheme="minorHAnsi" w:cs="Arial"/>
                <w:lang w:eastAsia="en-NZ"/>
              </w:rPr>
              <w:t>;</w:t>
            </w:r>
          </w:p>
          <w:p w:rsidR="00EA556C" w:rsidRPr="002F2828" w:rsidRDefault="00377CB6" w:rsidP="00F82684">
            <w:pPr>
              <w:pStyle w:val="ListParagraph"/>
              <w:numPr>
                <w:ilvl w:val="0"/>
                <w:numId w:val="24"/>
              </w:numPr>
              <w:spacing w:line="264" w:lineRule="auto"/>
              <w:ind w:left="459" w:hanging="425"/>
              <w:rPr>
                <w:rFonts w:asciiTheme="minorHAnsi" w:hAnsiTheme="minorHAnsi" w:cs="Arial"/>
                <w:lang w:eastAsia="en-NZ"/>
              </w:rPr>
            </w:pPr>
            <w:r w:rsidRPr="002F2828">
              <w:rPr>
                <w:rFonts w:asciiTheme="minorHAnsi" w:hAnsiTheme="minorHAnsi" w:cs="Arial"/>
                <w:lang w:eastAsia="en-NZ"/>
              </w:rPr>
              <w:t xml:space="preserve">in relation to the report on </w:t>
            </w:r>
            <w:r w:rsidRPr="002F2828">
              <w:rPr>
                <w:rFonts w:asciiTheme="minorHAnsi" w:hAnsiTheme="minorHAnsi" w:cs="Arial"/>
                <w:b/>
                <w:lang w:eastAsia="en-NZ"/>
              </w:rPr>
              <w:t>related party transactions</w:t>
            </w:r>
            <w:r w:rsidRPr="002F2828">
              <w:rPr>
                <w:rFonts w:asciiTheme="minorHAnsi" w:hAnsiTheme="minorHAnsi" w:cs="Arial"/>
                <w:lang w:eastAsia="en-NZ"/>
              </w:rPr>
              <w:t>, costs:</w:t>
            </w:r>
          </w:p>
          <w:p w:rsidR="00377CB6" w:rsidRPr="002F2828" w:rsidRDefault="00377CB6" w:rsidP="00AE0D10">
            <w:pPr>
              <w:spacing w:line="264" w:lineRule="auto"/>
              <w:ind w:left="884" w:hanging="425"/>
              <w:rPr>
                <w:rFonts w:asciiTheme="minorHAnsi" w:hAnsiTheme="minorHAnsi" w:cs="Arial"/>
                <w:lang w:eastAsia="en-NZ"/>
              </w:rPr>
            </w:pPr>
            <w:r w:rsidRPr="002F2828">
              <w:rPr>
                <w:rFonts w:asciiTheme="minorHAnsi" w:hAnsiTheme="minorHAnsi" w:cs="Arial"/>
                <w:lang w:eastAsia="en-NZ"/>
              </w:rPr>
              <w:t>(</w:t>
            </w:r>
            <w:proofErr w:type="spellStart"/>
            <w:r w:rsidRPr="002F2828">
              <w:rPr>
                <w:rFonts w:asciiTheme="minorHAnsi" w:hAnsiTheme="minorHAnsi" w:cs="Arial"/>
                <w:lang w:eastAsia="en-NZ"/>
              </w:rPr>
              <w:t>i</w:t>
            </w:r>
            <w:proofErr w:type="spellEnd"/>
            <w:r w:rsidRPr="002F2828">
              <w:rPr>
                <w:rFonts w:asciiTheme="minorHAnsi" w:hAnsiTheme="minorHAnsi" w:cs="Arial"/>
                <w:lang w:eastAsia="en-NZ"/>
              </w:rPr>
              <w:t xml:space="preserve">) </w:t>
            </w:r>
            <w:r w:rsidR="00DE6E39" w:rsidRPr="002F2828">
              <w:rPr>
                <w:rFonts w:asciiTheme="minorHAnsi" w:hAnsiTheme="minorHAnsi" w:cs="Arial"/>
                <w:lang w:eastAsia="en-NZ"/>
              </w:rPr>
              <w:tab/>
            </w:r>
            <w:r w:rsidRPr="002F2828">
              <w:rPr>
                <w:rFonts w:asciiTheme="minorHAnsi" w:hAnsiTheme="minorHAnsi" w:cs="Arial"/>
                <w:lang w:eastAsia="en-NZ"/>
              </w:rPr>
              <w:t xml:space="preserve">incurred in the acquisition or development of an asset during the </w:t>
            </w:r>
            <w:r w:rsidRPr="002F2828">
              <w:rPr>
                <w:rFonts w:asciiTheme="minorHAnsi" w:hAnsiTheme="minorHAnsi" w:cs="Arial"/>
                <w:b/>
                <w:lang w:eastAsia="en-NZ"/>
              </w:rPr>
              <w:t>disclosure year</w:t>
            </w:r>
            <w:r w:rsidRPr="002F2828">
              <w:rPr>
                <w:rFonts w:asciiTheme="minorHAnsi" w:hAnsiTheme="minorHAnsi" w:cs="Arial"/>
                <w:lang w:eastAsia="en-NZ"/>
              </w:rPr>
              <w:t xml:space="preserve"> that is, or is intended to be, </w:t>
            </w:r>
            <w:r w:rsidRPr="002F2828">
              <w:rPr>
                <w:rFonts w:asciiTheme="minorHAnsi" w:hAnsiTheme="minorHAnsi" w:cs="Arial"/>
                <w:b/>
                <w:lang w:eastAsia="en-NZ"/>
              </w:rPr>
              <w:t>commissioned</w:t>
            </w:r>
            <w:r w:rsidRPr="002F2828">
              <w:rPr>
                <w:rFonts w:asciiTheme="minorHAnsi" w:hAnsiTheme="minorHAnsi" w:cs="Arial"/>
                <w:lang w:eastAsia="en-NZ"/>
              </w:rPr>
              <w:t>; and</w:t>
            </w:r>
          </w:p>
          <w:p w:rsidR="00377CB6" w:rsidRPr="002F2828" w:rsidRDefault="00377CB6" w:rsidP="00AE0D10">
            <w:pPr>
              <w:spacing w:line="264" w:lineRule="auto"/>
              <w:ind w:left="884" w:hanging="425"/>
              <w:rPr>
                <w:rFonts w:asciiTheme="minorHAnsi" w:hAnsiTheme="minorHAnsi" w:cs="Arial"/>
                <w:lang w:eastAsia="en-NZ"/>
              </w:rPr>
            </w:pPr>
            <w:r w:rsidRPr="002F2828">
              <w:rPr>
                <w:rFonts w:asciiTheme="minorHAnsi" w:hAnsiTheme="minorHAnsi" w:cs="Arial"/>
                <w:lang w:eastAsia="en-NZ"/>
              </w:rPr>
              <w:t>(ii)</w:t>
            </w:r>
            <w:r w:rsidR="00DE6E39" w:rsidRPr="002F2828">
              <w:rPr>
                <w:rFonts w:asciiTheme="minorHAnsi" w:hAnsiTheme="minorHAnsi" w:cs="Arial"/>
                <w:lang w:eastAsia="en-NZ"/>
              </w:rPr>
              <w:tab/>
            </w:r>
            <w:r w:rsidRPr="002F2828">
              <w:rPr>
                <w:rFonts w:asciiTheme="minorHAnsi" w:hAnsiTheme="minorHAnsi" w:cs="Arial"/>
                <w:lang w:eastAsia="en-NZ"/>
              </w:rPr>
              <w:t xml:space="preserve">that are included or are intended to be included in the value of </w:t>
            </w:r>
            <w:r w:rsidRPr="002F2828">
              <w:rPr>
                <w:rFonts w:asciiTheme="minorHAnsi" w:hAnsiTheme="minorHAnsi" w:cs="Arial"/>
                <w:b/>
                <w:lang w:eastAsia="en-NZ"/>
              </w:rPr>
              <w:t>assets commissioned</w:t>
            </w:r>
            <w:r w:rsidRPr="002F2828">
              <w:rPr>
                <w:rFonts w:asciiTheme="minorHAnsi" w:hAnsiTheme="minorHAnsi" w:cs="Arial"/>
                <w:lang w:eastAsia="en-NZ"/>
              </w:rPr>
              <w:t xml:space="preserve"> relating to the </w:t>
            </w:r>
            <w:r w:rsidRPr="002F2828">
              <w:rPr>
                <w:rFonts w:asciiTheme="minorHAnsi" w:hAnsiTheme="minorHAnsi" w:cs="Arial"/>
                <w:b/>
                <w:lang w:eastAsia="en-NZ"/>
              </w:rPr>
              <w:t>RAB</w:t>
            </w:r>
            <w:r w:rsidRPr="002F2828">
              <w:rPr>
                <w:rFonts w:asciiTheme="minorHAnsi" w:hAnsiTheme="minorHAnsi" w:cs="Arial"/>
                <w:lang w:eastAsia="en-NZ"/>
              </w:rPr>
              <w:t>; and</w:t>
            </w:r>
          </w:p>
          <w:p w:rsidR="00377CB6" w:rsidRPr="002F2828" w:rsidRDefault="00377CB6" w:rsidP="00AE0D10">
            <w:pPr>
              <w:spacing w:line="264" w:lineRule="auto"/>
              <w:ind w:left="884" w:hanging="425"/>
              <w:rPr>
                <w:rFonts w:asciiTheme="minorHAnsi" w:hAnsiTheme="minorHAnsi" w:cs="Arial"/>
                <w:lang w:eastAsia="en-NZ"/>
              </w:rPr>
            </w:pPr>
            <w:r w:rsidRPr="002F2828">
              <w:rPr>
                <w:rFonts w:asciiTheme="minorHAnsi" w:hAnsiTheme="minorHAnsi" w:cs="Arial"/>
                <w:lang w:eastAsia="en-NZ"/>
              </w:rPr>
              <w:t xml:space="preserve">(iii) </w:t>
            </w:r>
            <w:r w:rsidR="00DE6E39" w:rsidRPr="002F2828">
              <w:rPr>
                <w:rFonts w:asciiTheme="minorHAnsi" w:hAnsiTheme="minorHAnsi" w:cs="Arial"/>
                <w:lang w:eastAsia="en-NZ"/>
              </w:rPr>
              <w:tab/>
            </w:r>
            <w:r w:rsidRPr="002F2828">
              <w:rPr>
                <w:rFonts w:asciiTheme="minorHAnsi" w:hAnsiTheme="minorHAnsi" w:cs="Arial"/>
                <w:lang w:eastAsia="en-NZ"/>
              </w:rPr>
              <w:t xml:space="preserve">that are as a result of </w:t>
            </w:r>
            <w:r w:rsidRPr="002F2828">
              <w:rPr>
                <w:rFonts w:asciiTheme="minorHAnsi" w:hAnsiTheme="minorHAnsi" w:cs="Arial"/>
                <w:b/>
                <w:lang w:eastAsia="en-NZ"/>
              </w:rPr>
              <w:t>related party transactions</w:t>
            </w:r>
            <w:r w:rsidRPr="002F2828">
              <w:rPr>
                <w:rFonts w:asciiTheme="minorHAnsi" w:hAnsiTheme="minorHAnsi" w:cs="Arial"/>
                <w:lang w:eastAsia="en-NZ"/>
              </w:rPr>
              <w:t>;</w:t>
            </w:r>
          </w:p>
          <w:p w:rsidR="00EA556C" w:rsidRPr="002F2828" w:rsidRDefault="00377CB6" w:rsidP="00F82684">
            <w:pPr>
              <w:pStyle w:val="ListParagraph"/>
              <w:numPr>
                <w:ilvl w:val="0"/>
                <w:numId w:val="24"/>
              </w:numPr>
              <w:spacing w:line="264" w:lineRule="auto"/>
              <w:ind w:left="459" w:hanging="425"/>
              <w:rPr>
                <w:rFonts w:asciiTheme="minorHAnsi" w:hAnsiTheme="minorHAnsi" w:cs="Arial"/>
                <w:lang w:eastAsia="en-NZ"/>
              </w:rPr>
            </w:pPr>
            <w:r w:rsidRPr="002F2828">
              <w:rPr>
                <w:rFonts w:asciiTheme="minorHAnsi" w:hAnsiTheme="minorHAnsi" w:cs="Arial"/>
                <w:lang w:eastAsia="en-NZ"/>
              </w:rPr>
              <w:t>in all other instances, costs:</w:t>
            </w:r>
          </w:p>
          <w:p w:rsidR="00EA556C" w:rsidRPr="002F2828" w:rsidRDefault="00377CB6" w:rsidP="00F82684">
            <w:pPr>
              <w:pStyle w:val="ListParagraph"/>
              <w:numPr>
                <w:ilvl w:val="1"/>
                <w:numId w:val="24"/>
              </w:numPr>
              <w:spacing w:line="264" w:lineRule="auto"/>
              <w:ind w:left="884" w:hanging="425"/>
              <w:rPr>
                <w:rFonts w:asciiTheme="minorHAnsi" w:hAnsiTheme="minorHAnsi" w:cs="Arial"/>
                <w:lang w:eastAsia="en-NZ"/>
              </w:rPr>
            </w:pPr>
            <w:r w:rsidRPr="002F2828">
              <w:rPr>
                <w:rFonts w:asciiTheme="minorHAnsi" w:hAnsiTheme="minorHAnsi" w:cs="Arial"/>
                <w:lang w:eastAsia="en-NZ"/>
              </w:rPr>
              <w:t xml:space="preserve">incurred or forecast to be incurred in the acquisition or development of an asset during the </w:t>
            </w:r>
            <w:r w:rsidRPr="002F2828">
              <w:rPr>
                <w:rFonts w:asciiTheme="minorHAnsi" w:hAnsiTheme="minorHAnsi" w:cs="Arial"/>
                <w:b/>
                <w:bCs/>
                <w:lang w:eastAsia="en-NZ"/>
              </w:rPr>
              <w:t xml:space="preserve">disclosure year </w:t>
            </w:r>
            <w:r w:rsidRPr="002F2828">
              <w:rPr>
                <w:rFonts w:asciiTheme="minorHAnsi" w:hAnsiTheme="minorHAnsi" w:cs="Arial"/>
                <w:lang w:eastAsia="en-NZ"/>
              </w:rPr>
              <w:t xml:space="preserve">that is, or is intended to be, </w:t>
            </w:r>
            <w:r w:rsidRPr="002F2828">
              <w:rPr>
                <w:rFonts w:asciiTheme="minorHAnsi" w:hAnsiTheme="minorHAnsi" w:cs="Arial"/>
                <w:b/>
                <w:bCs/>
                <w:lang w:eastAsia="en-NZ"/>
              </w:rPr>
              <w:t>commissioned;</w:t>
            </w:r>
            <w:r w:rsidR="00866BD4" w:rsidRPr="00866BD4">
              <w:rPr>
                <w:rFonts w:asciiTheme="minorHAnsi" w:hAnsiTheme="minorHAnsi" w:cs="Arial"/>
                <w:bCs/>
                <w:lang w:eastAsia="en-NZ"/>
              </w:rPr>
              <w:t>;</w:t>
            </w:r>
            <w:r w:rsidRPr="002F2828">
              <w:rPr>
                <w:rFonts w:asciiTheme="minorHAnsi" w:hAnsiTheme="minorHAnsi" w:cs="Arial"/>
                <w:lang w:eastAsia="en-NZ"/>
              </w:rPr>
              <w:t xml:space="preserve"> and</w:t>
            </w:r>
          </w:p>
          <w:p w:rsidR="00EA556C" w:rsidRPr="002F2828" w:rsidRDefault="00377CB6" w:rsidP="00F82684">
            <w:pPr>
              <w:pStyle w:val="ListParagraph"/>
              <w:numPr>
                <w:ilvl w:val="1"/>
                <w:numId w:val="24"/>
              </w:numPr>
              <w:spacing w:line="264" w:lineRule="auto"/>
              <w:ind w:left="884" w:hanging="425"/>
              <w:rPr>
                <w:rFonts w:asciiTheme="minorHAnsi" w:hAnsiTheme="minorHAnsi" w:cs="Arial"/>
                <w:lang w:eastAsia="en-NZ"/>
              </w:rPr>
            </w:pPr>
            <w:r w:rsidRPr="002F2828">
              <w:rPr>
                <w:rFonts w:asciiTheme="minorHAnsi" w:hAnsiTheme="minorHAnsi" w:cs="Arial"/>
                <w:lang w:eastAsia="en-NZ"/>
              </w:rPr>
              <w:t xml:space="preserve">that are included or are intended to be included in the value of </w:t>
            </w:r>
            <w:r w:rsidRPr="002F2828">
              <w:rPr>
                <w:rFonts w:asciiTheme="minorHAnsi" w:hAnsiTheme="minorHAnsi" w:cs="Arial"/>
                <w:b/>
                <w:bCs/>
                <w:lang w:eastAsia="en-NZ"/>
              </w:rPr>
              <w:t>assets commissioned</w:t>
            </w:r>
            <w:r w:rsidRPr="002F2828">
              <w:rPr>
                <w:rFonts w:asciiTheme="minorHAnsi" w:hAnsiTheme="minorHAnsi" w:cs="Arial"/>
                <w:lang w:eastAsia="en-NZ"/>
              </w:rPr>
              <w:t xml:space="preserve"> relating to the </w:t>
            </w:r>
            <w:r w:rsidRPr="002F2828">
              <w:rPr>
                <w:rFonts w:asciiTheme="minorHAnsi" w:hAnsiTheme="minorHAnsi" w:cs="Arial"/>
                <w:b/>
                <w:bCs/>
                <w:lang w:eastAsia="en-NZ"/>
              </w:rPr>
              <w:t>RAB</w:t>
            </w:r>
          </w:p>
        </w:tc>
      </w:tr>
      <w:tr w:rsidR="008B2B63" w:rsidRPr="002F2828" w:rsidTr="00A03DC6">
        <w:tc>
          <w:tcPr>
            <w:tcW w:w="3510" w:type="dxa"/>
          </w:tcPr>
          <w:p w:rsidR="008B2B63" w:rsidRPr="002F2828" w:rsidRDefault="008B2B63" w:rsidP="00AE0D10">
            <w:pPr>
              <w:pStyle w:val="BodyText"/>
              <w:spacing w:line="264" w:lineRule="auto"/>
              <w:rPr>
                <w:rFonts w:asciiTheme="minorHAnsi" w:hAnsiTheme="minorHAnsi" w:cs="Arial"/>
                <w:b/>
                <w:bCs/>
                <w:lang w:eastAsia="en-NZ"/>
              </w:rPr>
            </w:pPr>
            <w:r w:rsidRPr="002F2828">
              <w:rPr>
                <w:rFonts w:asciiTheme="minorHAnsi" w:hAnsiTheme="minorHAnsi" w:cs="Arial"/>
                <w:b/>
                <w:bCs/>
                <w:lang w:eastAsia="en-NZ"/>
              </w:rPr>
              <w:t>Commission</w:t>
            </w:r>
          </w:p>
        </w:tc>
        <w:tc>
          <w:tcPr>
            <w:tcW w:w="4882" w:type="dxa"/>
          </w:tcPr>
          <w:p w:rsidR="008B2B63" w:rsidRPr="002F2828" w:rsidRDefault="008B2B63" w:rsidP="00602D86">
            <w:pPr>
              <w:tabs>
                <w:tab w:val="left" w:pos="4045"/>
              </w:tabs>
              <w:spacing w:line="264" w:lineRule="auto"/>
              <w:ind w:left="34"/>
              <w:rPr>
                <w:rFonts w:asciiTheme="minorHAnsi" w:hAnsiTheme="minorHAnsi" w:cs="Arial"/>
                <w:lang w:eastAsia="en-NZ"/>
              </w:rPr>
            </w:pPr>
            <w:r w:rsidRPr="002F2828">
              <w:rPr>
                <w:rFonts w:asciiTheme="minorHAnsi" w:hAnsiTheme="minorHAnsi" w:cs="Arial"/>
                <w:lang w:eastAsia="en-NZ"/>
              </w:rPr>
              <w:t>means the Commerce Commission</w:t>
            </w:r>
          </w:p>
        </w:tc>
      </w:tr>
      <w:tr w:rsidR="00502A77" w:rsidRPr="002F2828" w:rsidTr="00A03DC6">
        <w:tc>
          <w:tcPr>
            <w:tcW w:w="3510" w:type="dxa"/>
          </w:tcPr>
          <w:p w:rsidR="00502A77" w:rsidRPr="002F2828" w:rsidRDefault="00502A77" w:rsidP="00AE0D10">
            <w:pPr>
              <w:pStyle w:val="BodyText"/>
              <w:spacing w:line="264" w:lineRule="auto"/>
              <w:rPr>
                <w:rFonts w:asciiTheme="minorHAnsi" w:hAnsiTheme="minorHAnsi" w:cs="Arial"/>
                <w:b/>
                <w:bCs/>
                <w:lang w:eastAsia="en-NZ"/>
              </w:rPr>
            </w:pPr>
            <w:r w:rsidRPr="002F2828">
              <w:rPr>
                <w:rFonts w:asciiTheme="minorHAnsi" w:hAnsiTheme="minorHAnsi"/>
                <w:b/>
                <w:bCs/>
              </w:rPr>
              <w:t>Consumer</w:t>
            </w:r>
          </w:p>
        </w:tc>
        <w:tc>
          <w:tcPr>
            <w:tcW w:w="4882" w:type="dxa"/>
          </w:tcPr>
          <w:p w:rsidR="00423653" w:rsidRPr="002F2828" w:rsidRDefault="00E3655E" w:rsidP="001E54DF">
            <w:pPr>
              <w:tabs>
                <w:tab w:val="left" w:pos="4045"/>
              </w:tabs>
              <w:spacing w:line="264" w:lineRule="auto"/>
              <w:ind w:left="34"/>
              <w:rPr>
                <w:rFonts w:asciiTheme="minorHAnsi" w:hAnsiTheme="minorHAnsi"/>
                <w:b/>
                <w:bCs/>
              </w:rPr>
            </w:pPr>
            <w:r>
              <w:rPr>
                <w:rFonts w:asciiTheme="minorHAnsi" w:hAnsiTheme="minorHAnsi"/>
              </w:rPr>
              <w:t xml:space="preserve">means a person that consumes or acquires </w:t>
            </w:r>
            <w:r w:rsidR="009764C2" w:rsidRPr="009764C2">
              <w:rPr>
                <w:rFonts w:asciiTheme="minorHAnsi" w:hAnsiTheme="minorHAnsi"/>
                <w:b/>
              </w:rPr>
              <w:t>gas distribution services</w:t>
            </w:r>
            <w:r w:rsidR="005257AA">
              <w:rPr>
                <w:rFonts w:asciiTheme="minorHAnsi" w:hAnsiTheme="minorHAnsi"/>
              </w:rPr>
              <w:t xml:space="preserve"> </w:t>
            </w:r>
          </w:p>
        </w:tc>
      </w:tr>
      <w:tr w:rsidR="00502A77" w:rsidRPr="002F2828" w:rsidTr="00A03DC6">
        <w:tc>
          <w:tcPr>
            <w:tcW w:w="3510" w:type="dxa"/>
          </w:tcPr>
          <w:p w:rsidR="00502A77" w:rsidRPr="002F2828" w:rsidRDefault="00502A77" w:rsidP="00AE0D10">
            <w:pPr>
              <w:pStyle w:val="BodyText"/>
              <w:spacing w:line="264" w:lineRule="auto"/>
              <w:rPr>
                <w:rFonts w:asciiTheme="minorHAnsi" w:hAnsiTheme="minorHAnsi"/>
                <w:b/>
                <w:bCs/>
              </w:rPr>
            </w:pPr>
            <w:r w:rsidRPr="002F2828">
              <w:rPr>
                <w:rFonts w:asciiTheme="minorHAnsi" w:hAnsiTheme="minorHAnsi"/>
                <w:b/>
                <w:bCs/>
              </w:rPr>
              <w:t>Consumer group</w:t>
            </w:r>
          </w:p>
        </w:tc>
        <w:tc>
          <w:tcPr>
            <w:tcW w:w="4882" w:type="dxa"/>
          </w:tcPr>
          <w:p w:rsidR="00502A77" w:rsidRPr="002F2828" w:rsidRDefault="00502A77" w:rsidP="00FF0938">
            <w:pPr>
              <w:rPr>
                <w:rFonts w:asciiTheme="minorHAnsi" w:hAnsiTheme="minorHAnsi" w:cs="Arial"/>
                <w:lang w:eastAsia="en-NZ"/>
              </w:rPr>
            </w:pPr>
            <w:r w:rsidRPr="002F2828">
              <w:rPr>
                <w:rFonts w:asciiTheme="minorHAnsi" w:hAnsiTheme="minorHAnsi"/>
              </w:rPr>
              <w:t xml:space="preserve">means the category of </w:t>
            </w:r>
            <w:r w:rsidRPr="002F2828">
              <w:rPr>
                <w:rFonts w:asciiTheme="minorHAnsi" w:hAnsiTheme="minorHAnsi"/>
                <w:b/>
                <w:bCs/>
              </w:rPr>
              <w:t>consumer</w:t>
            </w:r>
            <w:r w:rsidRPr="002F2828">
              <w:rPr>
                <w:rFonts w:asciiTheme="minorHAnsi" w:hAnsiTheme="minorHAnsi"/>
              </w:rPr>
              <w:t xml:space="preserve"> used by the </w:t>
            </w:r>
            <w:r w:rsidRPr="002F2828">
              <w:rPr>
                <w:rFonts w:asciiTheme="minorHAnsi" w:hAnsiTheme="minorHAnsi"/>
                <w:b/>
              </w:rPr>
              <w:t>GDB</w:t>
            </w:r>
            <w:r w:rsidRPr="002F2828">
              <w:rPr>
                <w:rFonts w:asciiTheme="minorHAnsi" w:hAnsiTheme="minorHAnsi"/>
              </w:rPr>
              <w:t xml:space="preserve"> for the purposes of setting </w:t>
            </w:r>
            <w:r w:rsidRPr="002F2828">
              <w:rPr>
                <w:rFonts w:asciiTheme="minorHAnsi" w:hAnsiTheme="minorHAnsi"/>
                <w:b/>
              </w:rPr>
              <w:t>prices</w:t>
            </w:r>
            <w:r w:rsidRPr="002F2828">
              <w:rPr>
                <w:rFonts w:asciiTheme="minorHAnsi" w:hAnsiTheme="minorHAnsi"/>
              </w:rPr>
              <w:t xml:space="preserve"> </w:t>
            </w:r>
          </w:p>
        </w:tc>
      </w:tr>
      <w:tr w:rsidR="00502A77" w:rsidRPr="002F2828" w:rsidTr="00A03DC6">
        <w:tc>
          <w:tcPr>
            <w:tcW w:w="3510" w:type="dxa"/>
          </w:tcPr>
          <w:p w:rsidR="00502A77" w:rsidRPr="002F2828" w:rsidRDefault="00502A77" w:rsidP="00AE0D10">
            <w:pPr>
              <w:pStyle w:val="BodyText"/>
              <w:spacing w:line="264" w:lineRule="auto"/>
              <w:rPr>
                <w:rFonts w:asciiTheme="minorHAnsi" w:hAnsiTheme="minorHAnsi" w:cs="Arial"/>
                <w:b/>
                <w:bCs/>
                <w:lang w:eastAsia="en-NZ"/>
              </w:rPr>
            </w:pPr>
            <w:r w:rsidRPr="002F2828">
              <w:rPr>
                <w:rFonts w:asciiTheme="minorHAnsi" w:hAnsiTheme="minorHAnsi" w:cs="Arial"/>
                <w:b/>
                <w:bCs/>
                <w:lang w:eastAsia="en-NZ"/>
              </w:rPr>
              <w:t>Contract</w:t>
            </w:r>
          </w:p>
        </w:tc>
        <w:tc>
          <w:tcPr>
            <w:tcW w:w="4882" w:type="dxa"/>
          </w:tcPr>
          <w:p w:rsidR="00502A77" w:rsidRPr="002F2828" w:rsidRDefault="00502A77" w:rsidP="005514F8">
            <w:pPr>
              <w:tabs>
                <w:tab w:val="left" w:pos="4045"/>
              </w:tabs>
              <w:spacing w:line="264" w:lineRule="auto"/>
              <w:ind w:left="34"/>
              <w:rPr>
                <w:rFonts w:asciiTheme="minorHAnsi" w:hAnsiTheme="minorHAnsi" w:cs="Arial"/>
                <w:lang w:eastAsia="en-NZ"/>
              </w:rPr>
            </w:pPr>
            <w:r w:rsidRPr="002F2828">
              <w:rPr>
                <w:rFonts w:asciiTheme="minorHAnsi" w:hAnsiTheme="minorHAnsi" w:cs="Arial"/>
                <w:lang w:eastAsia="en-NZ"/>
              </w:rPr>
              <w:t>means a contract for the supply of goods or services</w:t>
            </w:r>
            <w:r w:rsidR="00CE608F" w:rsidRPr="002F2828">
              <w:rPr>
                <w:rFonts w:asciiTheme="minorHAnsi" w:hAnsiTheme="minorHAnsi" w:cs="Arial"/>
                <w:lang w:eastAsia="en-NZ"/>
              </w:rPr>
              <w:t xml:space="preserve"> (</w:t>
            </w:r>
            <w:r w:rsidRPr="002F2828">
              <w:rPr>
                <w:rFonts w:asciiTheme="minorHAnsi" w:hAnsiTheme="minorHAnsi" w:cs="Arial"/>
                <w:lang w:eastAsia="en-NZ"/>
              </w:rPr>
              <w:t>or both</w:t>
            </w:r>
            <w:r w:rsidR="00CE608F" w:rsidRPr="002F2828">
              <w:rPr>
                <w:rFonts w:asciiTheme="minorHAnsi" w:hAnsiTheme="minorHAnsi" w:cs="Arial"/>
                <w:lang w:eastAsia="en-NZ"/>
              </w:rPr>
              <w:t>)</w:t>
            </w:r>
            <w:r w:rsidRPr="002F2828">
              <w:rPr>
                <w:rFonts w:asciiTheme="minorHAnsi" w:hAnsiTheme="minorHAnsi" w:cs="Arial"/>
                <w:lang w:eastAsia="en-NZ"/>
              </w:rPr>
              <w:t xml:space="preserve"> whether or not the contract, or any part of the contract, is in writing and, for the avoidance of doubt, includes:</w:t>
            </w:r>
          </w:p>
          <w:p w:rsidR="00502A77" w:rsidRPr="002F2828" w:rsidRDefault="00502A77" w:rsidP="00F82684">
            <w:pPr>
              <w:pStyle w:val="ListParagraph"/>
              <w:numPr>
                <w:ilvl w:val="0"/>
                <w:numId w:val="56"/>
              </w:numPr>
              <w:tabs>
                <w:tab w:val="left" w:pos="4045"/>
              </w:tabs>
              <w:spacing w:line="264" w:lineRule="auto"/>
              <w:rPr>
                <w:rFonts w:asciiTheme="minorHAnsi" w:hAnsiTheme="minorHAnsi" w:cs="Arial"/>
                <w:lang w:eastAsia="en-NZ"/>
              </w:rPr>
            </w:pPr>
            <w:r w:rsidRPr="002F2828">
              <w:rPr>
                <w:rFonts w:asciiTheme="minorHAnsi" w:hAnsiTheme="minorHAnsi" w:cs="Arial"/>
                <w:lang w:eastAsia="en-NZ"/>
              </w:rPr>
              <w:t>a contract under which goods or services, (or both) are being supplied, although some or all of the terms and conditions in relation to the supply of those goods or services have not been settled; and</w:t>
            </w:r>
          </w:p>
          <w:p w:rsidR="00502A77" w:rsidRPr="002F2828" w:rsidRDefault="00502A77" w:rsidP="00F82684">
            <w:pPr>
              <w:pStyle w:val="ListParagraph"/>
              <w:numPr>
                <w:ilvl w:val="0"/>
                <w:numId w:val="56"/>
              </w:numPr>
              <w:tabs>
                <w:tab w:val="left" w:pos="4045"/>
              </w:tabs>
              <w:spacing w:line="264" w:lineRule="auto"/>
              <w:rPr>
                <w:rFonts w:asciiTheme="minorHAnsi" w:hAnsiTheme="minorHAnsi" w:cs="Arial"/>
                <w:lang w:eastAsia="en-NZ"/>
              </w:rPr>
            </w:pPr>
            <w:r w:rsidRPr="002F2828">
              <w:rPr>
                <w:rFonts w:asciiTheme="minorHAnsi" w:hAnsiTheme="minorHAnsi" w:cs="Arial"/>
                <w:lang w:eastAsia="en-NZ"/>
              </w:rPr>
              <w:t>any operating agreement, side letter, or documentation that influences, adjusts or amends the terms and conditions of that contract</w:t>
            </w:r>
          </w:p>
        </w:tc>
      </w:tr>
      <w:tr w:rsidR="00A1482A" w:rsidRPr="002F2828" w:rsidDel="00F76E9B" w:rsidTr="006C6A19">
        <w:tc>
          <w:tcPr>
            <w:tcW w:w="3510" w:type="dxa"/>
          </w:tcPr>
          <w:p w:rsidR="00A1482A" w:rsidRPr="002F2828" w:rsidDel="00F76E9B" w:rsidRDefault="00A1482A" w:rsidP="006C6A19">
            <w:pPr>
              <w:rPr>
                <w:rFonts w:asciiTheme="minorHAnsi" w:hAnsiTheme="minorHAnsi"/>
                <w:b/>
                <w:bCs/>
              </w:rPr>
            </w:pPr>
            <w:r>
              <w:rPr>
                <w:rFonts w:cs="Arial"/>
                <w:b/>
                <w:bCs/>
                <w:lang w:eastAsia="en-NZ"/>
              </w:rPr>
              <w:t>Contracting services</w:t>
            </w:r>
          </w:p>
        </w:tc>
        <w:tc>
          <w:tcPr>
            <w:tcW w:w="4882" w:type="dxa"/>
          </w:tcPr>
          <w:p w:rsidR="00A1482A" w:rsidRPr="00B92487" w:rsidRDefault="00A1482A" w:rsidP="00A1482A">
            <w:pPr>
              <w:keepNext/>
              <w:spacing w:after="120"/>
              <w:outlineLvl w:val="1"/>
            </w:pPr>
            <w:r w:rsidRPr="00026B2D">
              <w:t xml:space="preserve">means the following services, when provided under a contract between the </w:t>
            </w:r>
            <w:r>
              <w:rPr>
                <w:b/>
                <w:bCs/>
              </w:rPr>
              <w:t>G</w:t>
            </w:r>
            <w:r w:rsidRPr="00026B2D">
              <w:rPr>
                <w:b/>
                <w:bCs/>
              </w:rPr>
              <w:t>DB</w:t>
            </w:r>
            <w:r w:rsidRPr="00026B2D">
              <w:t xml:space="preserve"> and a </w:t>
            </w:r>
            <w:r w:rsidRPr="00026B2D">
              <w:rPr>
                <w:b/>
                <w:bCs/>
              </w:rPr>
              <w:t>related party</w:t>
            </w:r>
            <w:r w:rsidRPr="00026B2D">
              <w:t xml:space="preserve">: </w:t>
            </w:r>
          </w:p>
          <w:p w:rsidR="00A1482A" w:rsidRDefault="00A1482A" w:rsidP="00A1482A">
            <w:pPr>
              <w:pStyle w:val="ListParagraph"/>
              <w:numPr>
                <w:ilvl w:val="0"/>
                <w:numId w:val="147"/>
              </w:numPr>
              <w:autoSpaceDE w:val="0"/>
              <w:autoSpaceDN w:val="0"/>
              <w:rPr>
                <w:b/>
              </w:rPr>
            </w:pPr>
            <w:r>
              <w:t>c</w:t>
            </w:r>
            <w:r w:rsidRPr="00026B2D">
              <w:t>onstruction and maintenance</w:t>
            </w:r>
          </w:p>
          <w:p w:rsidR="00A1482A" w:rsidRDefault="00A1482A" w:rsidP="00A1482A">
            <w:pPr>
              <w:pStyle w:val="ListParagraph"/>
              <w:numPr>
                <w:ilvl w:val="0"/>
                <w:numId w:val="147"/>
              </w:numPr>
              <w:autoSpaceDE w:val="0"/>
              <w:autoSpaceDN w:val="0"/>
              <w:rPr>
                <w:b/>
              </w:rPr>
            </w:pPr>
            <w:r>
              <w:t>n</w:t>
            </w:r>
            <w:r w:rsidRPr="00026B2D">
              <w:t>etwork management</w:t>
            </w:r>
          </w:p>
          <w:p w:rsidR="00F56F86" w:rsidRDefault="00A1482A">
            <w:pPr>
              <w:pStyle w:val="ListParagraph"/>
              <w:numPr>
                <w:ilvl w:val="0"/>
                <w:numId w:val="147"/>
              </w:numPr>
              <w:autoSpaceDE w:val="0"/>
              <w:autoSpaceDN w:val="0"/>
              <w:rPr>
                <w:b/>
              </w:rPr>
            </w:pPr>
            <w:r>
              <w:t>c</w:t>
            </w:r>
            <w:r w:rsidRPr="00026B2D">
              <w:t>onnection and disconnection services</w:t>
            </w:r>
          </w:p>
        </w:tc>
      </w:tr>
      <w:tr w:rsidR="00E503E3" w:rsidRPr="002F2828" w:rsidTr="00A03DC6">
        <w:tc>
          <w:tcPr>
            <w:tcW w:w="3510" w:type="dxa"/>
          </w:tcPr>
          <w:p w:rsidR="00E503E3" w:rsidRPr="002F2828" w:rsidRDefault="00E503E3" w:rsidP="00AE0D10">
            <w:pPr>
              <w:pStyle w:val="BodyText"/>
              <w:spacing w:line="264" w:lineRule="auto"/>
              <w:rPr>
                <w:rFonts w:asciiTheme="minorHAnsi" w:hAnsiTheme="minorHAnsi" w:cs="Arial"/>
                <w:b/>
                <w:bCs/>
                <w:lang w:eastAsia="en-NZ"/>
              </w:rPr>
            </w:pPr>
            <w:r w:rsidRPr="002F2828">
              <w:rPr>
                <w:rFonts w:asciiTheme="minorHAnsi" w:hAnsiTheme="minorHAnsi" w:cs="Arial"/>
                <w:b/>
                <w:bCs/>
                <w:lang w:eastAsia="en-NZ"/>
              </w:rPr>
              <w:t>Customer connection</w:t>
            </w:r>
          </w:p>
        </w:tc>
        <w:tc>
          <w:tcPr>
            <w:tcW w:w="4882" w:type="dxa"/>
          </w:tcPr>
          <w:p w:rsidR="00E503E3" w:rsidRPr="00E503E3" w:rsidRDefault="00E503E3" w:rsidP="00A472A3">
            <w:pPr>
              <w:pStyle w:val="BodyText"/>
            </w:pPr>
            <w:r w:rsidRPr="00E503E3">
              <w:t xml:space="preserve">In relation to expenditure, means </w:t>
            </w:r>
            <w:r w:rsidRPr="00E503E3">
              <w:rPr>
                <w:b/>
              </w:rPr>
              <w:t>gross capital expenditure</w:t>
            </w:r>
            <w:r w:rsidRPr="00E503E3">
              <w:t xml:space="preserve"> where the primary driver is the establishment of a new customer connection point or alterations to an existing customer connection point. This expenditure category includes </w:t>
            </w:r>
            <w:r w:rsidRPr="00E503E3">
              <w:rPr>
                <w:b/>
              </w:rPr>
              <w:t>gross capital expenditure</w:t>
            </w:r>
            <w:r w:rsidRPr="00E503E3">
              <w:t xml:space="preserve"> relating to: </w:t>
            </w:r>
          </w:p>
          <w:p w:rsidR="00E503E3" w:rsidRPr="00E503E3" w:rsidRDefault="00E503E3" w:rsidP="00E503E3">
            <w:pPr>
              <w:pStyle w:val="Tablebullet"/>
              <w:numPr>
                <w:ilvl w:val="0"/>
                <w:numId w:val="153"/>
              </w:numPr>
              <w:spacing w:after="120"/>
            </w:pPr>
            <w:r w:rsidRPr="00E503E3">
              <w:t xml:space="preserve">connection assets and/or parts of the </w:t>
            </w:r>
            <w:r w:rsidRPr="00E503E3">
              <w:rPr>
                <w:bCs/>
              </w:rPr>
              <w:t>network</w:t>
            </w:r>
            <w:r w:rsidRPr="00E503E3">
              <w:t xml:space="preserve"> for which the expenditure is recoverable in total, or in part, by a contribution from the customer requesting the new or altered connection point; and</w:t>
            </w:r>
          </w:p>
          <w:p w:rsidR="00E503E3" w:rsidRPr="00E503E3" w:rsidRDefault="00E503E3" w:rsidP="00E503E3">
            <w:pPr>
              <w:pStyle w:val="Tablebullet"/>
              <w:numPr>
                <w:ilvl w:val="0"/>
                <w:numId w:val="153"/>
              </w:numPr>
              <w:spacing w:after="120"/>
            </w:pPr>
            <w:r w:rsidRPr="00E503E3">
              <w:t xml:space="preserve">both gas injection and </w:t>
            </w:r>
            <w:proofErr w:type="spellStart"/>
            <w:r w:rsidRPr="00E503E3">
              <w:t>offtake</w:t>
            </w:r>
            <w:proofErr w:type="spellEnd"/>
            <w:r w:rsidRPr="00E503E3">
              <w:t xml:space="preserve"> points of connection</w:t>
            </w:r>
          </w:p>
        </w:tc>
      </w:tr>
      <w:tr w:rsidR="00502A77" w:rsidRPr="002F2828" w:rsidTr="00A03DC6">
        <w:tc>
          <w:tcPr>
            <w:tcW w:w="3510" w:type="dxa"/>
          </w:tcPr>
          <w:p w:rsidR="00502A77" w:rsidRPr="002F2828" w:rsidRDefault="00502A77" w:rsidP="00AE0D10">
            <w:pPr>
              <w:pStyle w:val="BodyText"/>
              <w:spacing w:line="264" w:lineRule="auto"/>
              <w:rPr>
                <w:rFonts w:asciiTheme="minorHAnsi" w:hAnsiTheme="minorHAnsi" w:cs="Arial"/>
                <w:b/>
                <w:bCs/>
                <w:lang w:eastAsia="en-NZ"/>
              </w:rPr>
            </w:pPr>
            <w:r w:rsidRPr="002F2828">
              <w:rPr>
                <w:rFonts w:asciiTheme="minorHAnsi" w:hAnsiTheme="minorHAnsi" w:cs="Arial"/>
                <w:b/>
                <w:bCs/>
                <w:lang w:eastAsia="en-NZ"/>
              </w:rPr>
              <w:t>CY, CY-X or CY+X</w:t>
            </w:r>
          </w:p>
        </w:tc>
        <w:tc>
          <w:tcPr>
            <w:tcW w:w="4882" w:type="dxa"/>
          </w:tcPr>
          <w:p w:rsidR="008F5D7B" w:rsidRDefault="00502A77" w:rsidP="00AE0D10">
            <w:pPr>
              <w:tabs>
                <w:tab w:val="left" w:pos="4045"/>
              </w:tabs>
              <w:spacing w:line="264" w:lineRule="auto"/>
              <w:ind w:left="459" w:hanging="459"/>
              <w:rPr>
                <w:rFonts w:asciiTheme="minorHAnsi" w:hAnsiTheme="minorHAnsi" w:cs="Arial"/>
                <w:lang w:eastAsia="en-NZ"/>
              </w:rPr>
            </w:pPr>
            <w:r w:rsidRPr="002F2828">
              <w:rPr>
                <w:rFonts w:asciiTheme="minorHAnsi" w:hAnsiTheme="minorHAnsi" w:cs="Arial"/>
                <w:lang w:eastAsia="en-NZ"/>
              </w:rPr>
              <w:t>means</w:t>
            </w:r>
          </w:p>
          <w:p w:rsidR="008F5D7B" w:rsidRDefault="00502A77" w:rsidP="00AE0D10">
            <w:pPr>
              <w:tabs>
                <w:tab w:val="left" w:pos="4045"/>
              </w:tabs>
              <w:spacing w:line="264" w:lineRule="auto"/>
              <w:ind w:left="459" w:hanging="459"/>
              <w:rPr>
                <w:rFonts w:asciiTheme="minorHAnsi" w:hAnsiTheme="minorHAnsi" w:cs="Arial"/>
                <w:lang w:eastAsia="en-NZ"/>
              </w:rPr>
            </w:pPr>
            <w:r w:rsidRPr="002F2828">
              <w:rPr>
                <w:rFonts w:asciiTheme="minorHAnsi" w:hAnsiTheme="minorHAnsi" w:cs="Arial"/>
                <w:lang w:eastAsia="en-NZ"/>
              </w:rPr>
              <w:t>(a)</w:t>
            </w:r>
            <w:r w:rsidRPr="002F2828">
              <w:rPr>
                <w:rFonts w:asciiTheme="minorHAnsi" w:hAnsiTheme="minorHAnsi" w:cs="Arial"/>
                <w:lang w:eastAsia="en-NZ"/>
              </w:rPr>
              <w:tab/>
              <w:t xml:space="preserve">the </w:t>
            </w:r>
            <w:r w:rsidRPr="002F2828">
              <w:rPr>
                <w:rFonts w:asciiTheme="minorHAnsi" w:hAnsiTheme="minorHAnsi" w:cs="Arial"/>
                <w:b/>
                <w:bCs/>
                <w:lang w:eastAsia="en-NZ"/>
              </w:rPr>
              <w:t>disclosure year</w:t>
            </w:r>
            <w:r w:rsidRPr="002F2828">
              <w:rPr>
                <w:rFonts w:asciiTheme="minorHAnsi" w:hAnsiTheme="minorHAnsi" w:cs="Arial"/>
                <w:lang w:eastAsia="en-NZ"/>
              </w:rPr>
              <w:t xml:space="preserve"> or</w:t>
            </w:r>
          </w:p>
          <w:p w:rsidR="008F5D7B" w:rsidRDefault="00502A77" w:rsidP="00AE0D10">
            <w:pPr>
              <w:tabs>
                <w:tab w:val="left" w:pos="4045"/>
              </w:tabs>
              <w:spacing w:line="264" w:lineRule="auto"/>
              <w:ind w:left="459" w:hanging="459"/>
              <w:rPr>
                <w:rFonts w:asciiTheme="minorHAnsi" w:hAnsiTheme="minorHAnsi" w:cs="Arial"/>
                <w:lang w:eastAsia="en-NZ"/>
              </w:rPr>
            </w:pPr>
            <w:r w:rsidRPr="002F2828">
              <w:rPr>
                <w:rFonts w:asciiTheme="minorHAnsi" w:hAnsiTheme="minorHAnsi" w:cs="Arial"/>
                <w:lang w:eastAsia="en-NZ"/>
              </w:rPr>
              <w:t>(b)</w:t>
            </w:r>
            <w:r w:rsidRPr="002F2828">
              <w:rPr>
                <w:rFonts w:asciiTheme="minorHAnsi" w:hAnsiTheme="minorHAnsi" w:cs="Arial"/>
                <w:lang w:eastAsia="en-NZ"/>
              </w:rPr>
              <w:tab/>
              <w:t xml:space="preserve">where a '-' precedes 'X', the </w:t>
            </w:r>
            <w:proofErr w:type="spellStart"/>
            <w:r w:rsidRPr="002F2828">
              <w:rPr>
                <w:rFonts w:asciiTheme="minorHAnsi" w:hAnsiTheme="minorHAnsi" w:cs="Arial"/>
                <w:lang w:eastAsia="en-NZ"/>
              </w:rPr>
              <w:t>Xth</w:t>
            </w:r>
            <w:proofErr w:type="spellEnd"/>
            <w:r w:rsidRPr="002F2828">
              <w:rPr>
                <w:rFonts w:asciiTheme="minorHAnsi" w:hAnsiTheme="minorHAnsi" w:cs="Arial"/>
                <w:lang w:eastAsia="en-NZ"/>
              </w:rPr>
              <w:t xml:space="preserve"> year preceding the</w:t>
            </w:r>
            <w:r w:rsidRPr="002F2828">
              <w:rPr>
                <w:rFonts w:asciiTheme="minorHAnsi" w:hAnsiTheme="minorHAnsi" w:cs="Arial"/>
                <w:b/>
                <w:bCs/>
                <w:lang w:eastAsia="en-NZ"/>
              </w:rPr>
              <w:t xml:space="preserve"> disclosure year</w:t>
            </w:r>
            <w:r w:rsidRPr="002F2828">
              <w:rPr>
                <w:rFonts w:asciiTheme="minorHAnsi" w:hAnsiTheme="minorHAnsi" w:cs="Arial"/>
                <w:lang w:eastAsia="en-NZ"/>
              </w:rPr>
              <w:t xml:space="preserve"> or</w:t>
            </w:r>
          </w:p>
          <w:p w:rsidR="00502A77" w:rsidRPr="002F2828" w:rsidRDefault="00502A77" w:rsidP="00961F47">
            <w:pPr>
              <w:tabs>
                <w:tab w:val="left" w:pos="4045"/>
              </w:tabs>
              <w:spacing w:line="264" w:lineRule="auto"/>
              <w:ind w:left="459" w:hanging="459"/>
              <w:rPr>
                <w:rFonts w:asciiTheme="minorHAnsi" w:hAnsiTheme="minorHAnsi"/>
              </w:rPr>
            </w:pPr>
            <w:r w:rsidRPr="002F2828">
              <w:rPr>
                <w:rFonts w:asciiTheme="minorHAnsi" w:hAnsiTheme="minorHAnsi" w:cs="Arial"/>
                <w:lang w:eastAsia="en-NZ"/>
              </w:rPr>
              <w:t>(c)</w:t>
            </w:r>
            <w:r w:rsidRPr="002F2828">
              <w:rPr>
                <w:rFonts w:asciiTheme="minorHAnsi" w:hAnsiTheme="minorHAnsi" w:cs="Arial"/>
                <w:lang w:eastAsia="en-NZ"/>
              </w:rPr>
              <w:tab/>
              <w:t xml:space="preserve">where a '+' precedes the 'X', the </w:t>
            </w:r>
            <w:proofErr w:type="spellStart"/>
            <w:r w:rsidRPr="002F2828">
              <w:rPr>
                <w:rFonts w:asciiTheme="minorHAnsi" w:hAnsiTheme="minorHAnsi" w:cs="Arial"/>
                <w:lang w:eastAsia="en-NZ"/>
              </w:rPr>
              <w:t>Xth</w:t>
            </w:r>
            <w:proofErr w:type="spellEnd"/>
            <w:r w:rsidRPr="002F2828">
              <w:rPr>
                <w:rFonts w:asciiTheme="minorHAnsi" w:hAnsiTheme="minorHAnsi" w:cs="Arial"/>
                <w:lang w:eastAsia="en-NZ"/>
              </w:rPr>
              <w:t xml:space="preserve"> year following the </w:t>
            </w:r>
            <w:r w:rsidRPr="002F2828">
              <w:rPr>
                <w:rFonts w:asciiTheme="minorHAnsi" w:hAnsiTheme="minorHAnsi" w:cs="Arial"/>
                <w:b/>
                <w:bCs/>
                <w:lang w:eastAsia="en-NZ"/>
              </w:rPr>
              <w:t>disclosure year</w:t>
            </w:r>
          </w:p>
        </w:tc>
      </w:tr>
    </w:tbl>
    <w:p w:rsidR="003E69C4" w:rsidRPr="002F2828" w:rsidRDefault="003E69C4" w:rsidP="00AE0D10">
      <w:pPr>
        <w:pStyle w:val="Heading2"/>
        <w:spacing w:before="240" w:after="240" w:line="264" w:lineRule="auto"/>
        <w:jc w:val="center"/>
        <w:rPr>
          <w:rFonts w:asciiTheme="minorHAnsi" w:hAnsiTheme="minorHAnsi"/>
          <w:lang w:eastAsia="en-GB"/>
        </w:rPr>
      </w:pPr>
      <w:r w:rsidRPr="002F2828">
        <w:rPr>
          <w:rFonts w:asciiTheme="minorHAnsi" w:hAnsiTheme="minorHAnsi"/>
          <w:lang w:eastAsia="en-GB"/>
        </w:rPr>
        <w:t>D</w:t>
      </w:r>
    </w:p>
    <w:tbl>
      <w:tblPr>
        <w:tblStyle w:val="TableGrid"/>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510"/>
        <w:gridCol w:w="4882"/>
      </w:tblGrid>
      <w:tr w:rsidR="00765D9D" w:rsidRPr="002F2828" w:rsidTr="00A03DC6">
        <w:tc>
          <w:tcPr>
            <w:tcW w:w="3510" w:type="dxa"/>
          </w:tcPr>
          <w:p w:rsidR="00765D9D" w:rsidRPr="002F2828" w:rsidRDefault="00765D9D" w:rsidP="00AE0D10">
            <w:pPr>
              <w:pStyle w:val="BodyText"/>
              <w:spacing w:line="264" w:lineRule="auto"/>
              <w:rPr>
                <w:rFonts w:asciiTheme="minorHAnsi" w:hAnsiTheme="minorHAnsi" w:cs="Arial"/>
                <w:b/>
                <w:bCs/>
                <w:lang w:eastAsia="en-NZ"/>
              </w:rPr>
            </w:pPr>
            <w:r w:rsidRPr="002F2828">
              <w:rPr>
                <w:rFonts w:asciiTheme="minorHAnsi" w:hAnsiTheme="minorHAnsi"/>
                <w:b/>
              </w:rPr>
              <w:t>Direct billing</w:t>
            </w:r>
          </w:p>
        </w:tc>
        <w:tc>
          <w:tcPr>
            <w:tcW w:w="4882" w:type="dxa"/>
          </w:tcPr>
          <w:p w:rsidR="00765D9D" w:rsidRPr="00765D9D" w:rsidRDefault="00765D9D" w:rsidP="00A472A3">
            <w:pPr>
              <w:pStyle w:val="BodyText"/>
            </w:pPr>
            <w:proofErr w:type="gramStart"/>
            <w:r w:rsidRPr="00765D9D">
              <w:rPr>
                <w:szCs w:val="20"/>
              </w:rPr>
              <w:t>in</w:t>
            </w:r>
            <w:proofErr w:type="gramEnd"/>
            <w:r w:rsidRPr="00765D9D">
              <w:rPr>
                <w:szCs w:val="20"/>
              </w:rPr>
              <w:t xml:space="preserve"> relation to expenditure, </w:t>
            </w:r>
            <w:r w:rsidRPr="00765D9D">
              <w:rPr>
                <w:rFonts w:asciiTheme="minorHAnsi" w:hAnsiTheme="minorHAnsi"/>
                <w:szCs w:val="20"/>
              </w:rPr>
              <w:t xml:space="preserve">means </w:t>
            </w:r>
            <w:r w:rsidRPr="00765D9D">
              <w:rPr>
                <w:rFonts w:asciiTheme="minorHAnsi" w:hAnsiTheme="minorHAnsi"/>
                <w:b/>
                <w:szCs w:val="20"/>
              </w:rPr>
              <w:t>operational expenditure</w:t>
            </w:r>
            <w:r w:rsidRPr="00765D9D">
              <w:rPr>
                <w:rFonts w:asciiTheme="minorHAnsi" w:hAnsiTheme="minorHAnsi"/>
                <w:szCs w:val="20"/>
              </w:rPr>
              <w:t xml:space="preserve"> associated with </w:t>
            </w:r>
            <w:r w:rsidRPr="00765D9D">
              <w:rPr>
                <w:rFonts w:asciiTheme="minorHAnsi" w:hAnsiTheme="minorHAnsi"/>
              </w:rPr>
              <w:t>directly billing end consumers and recovering payments due. This includes billing services, credit and debtor management, associated customer call centres, and customer account management</w:t>
            </w:r>
          </w:p>
        </w:tc>
      </w:tr>
      <w:tr w:rsidR="008539EC" w:rsidRPr="002F2828" w:rsidTr="00A03DC6">
        <w:tc>
          <w:tcPr>
            <w:tcW w:w="3510" w:type="dxa"/>
          </w:tcPr>
          <w:p w:rsidR="008539EC" w:rsidRPr="002F2828" w:rsidRDefault="008539EC" w:rsidP="00AE0D10">
            <w:pPr>
              <w:pStyle w:val="BodyText"/>
              <w:spacing w:line="264" w:lineRule="auto"/>
              <w:rPr>
                <w:rFonts w:asciiTheme="minorHAnsi" w:hAnsiTheme="minorHAnsi"/>
                <w:b/>
              </w:rPr>
            </w:pPr>
            <w:r w:rsidRPr="002F2828">
              <w:rPr>
                <w:rFonts w:asciiTheme="minorHAnsi" w:hAnsiTheme="minorHAnsi" w:cs="Arial"/>
                <w:b/>
                <w:bCs/>
                <w:lang w:eastAsia="en-NZ"/>
              </w:rPr>
              <w:t>Directly attributable</w:t>
            </w:r>
          </w:p>
        </w:tc>
        <w:tc>
          <w:tcPr>
            <w:tcW w:w="4882" w:type="dxa"/>
          </w:tcPr>
          <w:p w:rsidR="00EA556C" w:rsidRPr="002F2828" w:rsidRDefault="008539EC" w:rsidP="007D5C4B">
            <w:pPr>
              <w:tabs>
                <w:tab w:val="left" w:pos="4045"/>
              </w:tabs>
              <w:spacing w:line="264" w:lineRule="auto"/>
              <w:rPr>
                <w:rFonts w:asciiTheme="minorHAnsi" w:hAnsiTheme="minorHAnsi"/>
              </w:rPr>
            </w:pPr>
            <w:r w:rsidRPr="002F2828">
              <w:rPr>
                <w:rFonts w:asciiTheme="minorHAnsi" w:hAnsiTheme="minorHAnsi" w:cs="Arial"/>
                <w:lang w:eastAsia="en-NZ"/>
              </w:rPr>
              <w:t>has the meaning set out in the</w:t>
            </w:r>
            <w:r w:rsidRPr="002F2828">
              <w:rPr>
                <w:rFonts w:asciiTheme="minorHAnsi" w:hAnsiTheme="minorHAnsi" w:cs="Arial"/>
                <w:b/>
                <w:bCs/>
                <w:lang w:eastAsia="en-NZ"/>
              </w:rPr>
              <w:t xml:space="preserve"> IM determination</w:t>
            </w:r>
          </w:p>
        </w:tc>
      </w:tr>
      <w:tr w:rsidR="00E81302" w:rsidRPr="002F2828" w:rsidTr="00A03DC6">
        <w:tc>
          <w:tcPr>
            <w:tcW w:w="3510" w:type="dxa"/>
          </w:tcPr>
          <w:p w:rsidR="00E81302" w:rsidRPr="002F2828" w:rsidRDefault="00E81302" w:rsidP="00AE0D10">
            <w:pPr>
              <w:pStyle w:val="BodyText"/>
              <w:spacing w:line="264" w:lineRule="auto"/>
              <w:rPr>
                <w:rFonts w:asciiTheme="minorHAnsi" w:hAnsiTheme="minorHAnsi" w:cs="Arial"/>
                <w:b/>
                <w:bCs/>
                <w:lang w:eastAsia="en-NZ"/>
              </w:rPr>
            </w:pPr>
            <w:r>
              <w:rPr>
                <w:rFonts w:asciiTheme="minorHAnsi" w:hAnsiTheme="minorHAnsi" w:cs="Arial"/>
                <w:b/>
                <w:bCs/>
                <w:lang w:eastAsia="en-NZ"/>
              </w:rPr>
              <w:t>Director</w:t>
            </w:r>
          </w:p>
        </w:tc>
        <w:tc>
          <w:tcPr>
            <w:tcW w:w="4882" w:type="dxa"/>
          </w:tcPr>
          <w:p w:rsidR="00E81302" w:rsidRPr="002F2828" w:rsidRDefault="00E81302" w:rsidP="007D5C4B">
            <w:pPr>
              <w:tabs>
                <w:tab w:val="left" w:pos="4045"/>
              </w:tabs>
              <w:spacing w:line="264" w:lineRule="auto"/>
              <w:rPr>
                <w:rFonts w:asciiTheme="minorHAnsi" w:hAnsiTheme="minorHAnsi" w:cs="Arial"/>
                <w:lang w:eastAsia="en-NZ"/>
              </w:rPr>
            </w:pPr>
            <w:r w:rsidRPr="00E81302">
              <w:rPr>
                <w:rFonts w:asciiTheme="minorHAnsi" w:hAnsiTheme="minorHAnsi" w:cs="Arial"/>
                <w:lang w:eastAsia="en-NZ"/>
              </w:rPr>
              <w:t xml:space="preserve">has the meaning set out in the </w:t>
            </w:r>
            <w:r w:rsidR="009764C2" w:rsidRPr="009764C2">
              <w:rPr>
                <w:rFonts w:asciiTheme="minorHAnsi" w:hAnsiTheme="minorHAnsi" w:cs="Arial"/>
                <w:b/>
                <w:lang w:eastAsia="en-NZ"/>
              </w:rPr>
              <w:t>IM determination</w:t>
            </w:r>
          </w:p>
        </w:tc>
      </w:tr>
      <w:tr w:rsidR="008539EC" w:rsidRPr="002F2828" w:rsidTr="00A03DC6">
        <w:tc>
          <w:tcPr>
            <w:tcW w:w="3510" w:type="dxa"/>
          </w:tcPr>
          <w:p w:rsidR="008539EC" w:rsidRPr="002F2828" w:rsidRDefault="008539EC" w:rsidP="00AE0D10">
            <w:pPr>
              <w:pStyle w:val="BodyText"/>
              <w:spacing w:line="264" w:lineRule="auto"/>
              <w:rPr>
                <w:rFonts w:asciiTheme="minorHAnsi" w:hAnsiTheme="minorHAnsi" w:cs="Arial"/>
                <w:b/>
                <w:bCs/>
                <w:lang w:eastAsia="en-NZ"/>
              </w:rPr>
            </w:pPr>
            <w:r w:rsidRPr="002F2828">
              <w:rPr>
                <w:rFonts w:asciiTheme="minorHAnsi" w:hAnsiTheme="minorHAnsi" w:cs="Arial"/>
                <w:b/>
                <w:bCs/>
                <w:lang w:eastAsia="en-NZ"/>
              </w:rPr>
              <w:t>Disclosure year</w:t>
            </w:r>
          </w:p>
        </w:tc>
        <w:tc>
          <w:tcPr>
            <w:tcW w:w="4882" w:type="dxa"/>
          </w:tcPr>
          <w:p w:rsidR="003E3DA3" w:rsidRDefault="00E81302" w:rsidP="00031D0C">
            <w:pPr>
              <w:tabs>
                <w:tab w:val="left" w:pos="4045"/>
              </w:tabs>
              <w:spacing w:line="264" w:lineRule="auto"/>
              <w:ind w:left="34"/>
              <w:rPr>
                <w:rFonts w:asciiTheme="minorHAnsi" w:hAnsiTheme="minorHAnsi"/>
              </w:rPr>
            </w:pPr>
            <w:r>
              <w:rPr>
                <w:rFonts w:asciiTheme="minorHAnsi" w:hAnsiTheme="minorHAnsi"/>
              </w:rPr>
              <w:t>m</w:t>
            </w:r>
            <w:r w:rsidR="008539EC" w:rsidRPr="002F2828">
              <w:rPr>
                <w:rFonts w:asciiTheme="minorHAnsi" w:hAnsiTheme="minorHAnsi"/>
              </w:rPr>
              <w:t>eans</w:t>
            </w:r>
            <w:r w:rsidR="003E3DA3">
              <w:rPr>
                <w:rFonts w:asciiTheme="minorHAnsi" w:hAnsiTheme="minorHAnsi"/>
              </w:rPr>
              <w:t>:</w:t>
            </w:r>
          </w:p>
          <w:p w:rsidR="00F56F86" w:rsidRDefault="00FE349C">
            <w:pPr>
              <w:ind w:left="459" w:hanging="425"/>
              <w:rPr>
                <w:rFonts w:asciiTheme="minorHAnsi" w:hAnsiTheme="minorHAnsi"/>
                <w:b/>
              </w:rPr>
            </w:pPr>
            <w:r>
              <w:rPr>
                <w:rFonts w:asciiTheme="minorHAnsi" w:hAnsiTheme="minorHAnsi"/>
              </w:rPr>
              <w:t>(a)</w:t>
            </w:r>
            <w:r>
              <w:rPr>
                <w:rFonts w:asciiTheme="minorHAnsi" w:hAnsiTheme="minorHAnsi"/>
              </w:rPr>
              <w:tab/>
              <w:t>f</w:t>
            </w:r>
            <w:r w:rsidR="003E3DA3">
              <w:rPr>
                <w:rFonts w:asciiTheme="minorHAnsi" w:hAnsiTheme="minorHAnsi"/>
              </w:rPr>
              <w:t xml:space="preserve">or Vector and for </w:t>
            </w:r>
            <w:proofErr w:type="spellStart"/>
            <w:r w:rsidR="003E3DA3">
              <w:rPr>
                <w:rFonts w:asciiTheme="minorHAnsi" w:hAnsiTheme="minorHAnsi"/>
              </w:rPr>
              <w:t>GasNet</w:t>
            </w:r>
            <w:proofErr w:type="spellEnd"/>
            <w:r w:rsidR="003E3DA3">
              <w:rPr>
                <w:rFonts w:asciiTheme="minorHAnsi" w:hAnsiTheme="minorHAnsi"/>
              </w:rPr>
              <w:t xml:space="preserve"> </w:t>
            </w:r>
            <w:r w:rsidR="003E3DA3" w:rsidRPr="002F2828">
              <w:rPr>
                <w:rFonts w:asciiTheme="minorHAnsi" w:hAnsiTheme="minorHAnsi"/>
              </w:rPr>
              <w:t xml:space="preserve">the 12 month period ending on 30 </w:t>
            </w:r>
            <w:r w:rsidR="003E3DA3">
              <w:rPr>
                <w:rFonts w:asciiTheme="minorHAnsi" w:hAnsiTheme="minorHAnsi"/>
              </w:rPr>
              <w:t>June</w:t>
            </w:r>
            <w:r w:rsidR="003E3DA3" w:rsidRPr="002F2828">
              <w:rPr>
                <w:rFonts w:asciiTheme="minorHAnsi" w:hAnsiTheme="minorHAnsi"/>
              </w:rPr>
              <w:t xml:space="preserve"> of the year the disclosure relates or if the term </w:t>
            </w:r>
            <w:r w:rsidR="003E3DA3" w:rsidRPr="002F2828">
              <w:rPr>
                <w:rFonts w:asciiTheme="minorHAnsi" w:hAnsiTheme="minorHAnsi"/>
                <w:b/>
              </w:rPr>
              <w:t>disclosure year</w:t>
            </w:r>
            <w:r w:rsidR="003E3DA3" w:rsidRPr="002F2828">
              <w:rPr>
                <w:rFonts w:asciiTheme="minorHAnsi" w:hAnsiTheme="minorHAnsi"/>
              </w:rPr>
              <w:t xml:space="preserve"> is proceeded by a year, the 12 month period ended on 30 </w:t>
            </w:r>
            <w:r w:rsidR="003E3DA3">
              <w:rPr>
                <w:rFonts w:asciiTheme="minorHAnsi" w:hAnsiTheme="minorHAnsi"/>
              </w:rPr>
              <w:t>June</w:t>
            </w:r>
            <w:r w:rsidR="003E3DA3" w:rsidRPr="002F2828">
              <w:rPr>
                <w:rFonts w:asciiTheme="minorHAnsi" w:hAnsiTheme="minorHAnsi"/>
              </w:rPr>
              <w:t xml:space="preserve"> of that year</w:t>
            </w:r>
          </w:p>
          <w:p w:rsidR="00F56F86" w:rsidRDefault="00FE349C">
            <w:pPr>
              <w:ind w:left="459" w:hanging="425"/>
              <w:rPr>
                <w:rFonts w:asciiTheme="minorHAnsi" w:hAnsiTheme="minorHAnsi"/>
                <w:b/>
              </w:rPr>
            </w:pPr>
            <w:r>
              <w:rPr>
                <w:rFonts w:asciiTheme="minorHAnsi" w:hAnsiTheme="minorHAnsi"/>
              </w:rPr>
              <w:t>(b)</w:t>
            </w:r>
            <w:r>
              <w:rPr>
                <w:rFonts w:asciiTheme="minorHAnsi" w:hAnsiTheme="minorHAnsi"/>
              </w:rPr>
              <w:tab/>
              <w:t>f</w:t>
            </w:r>
            <w:r w:rsidR="003E3DA3">
              <w:rPr>
                <w:rFonts w:asciiTheme="minorHAnsi" w:hAnsiTheme="minorHAnsi"/>
              </w:rPr>
              <w:t xml:space="preserve">or </w:t>
            </w:r>
            <w:proofErr w:type="spellStart"/>
            <w:r w:rsidR="003E3DA3">
              <w:rPr>
                <w:rFonts w:asciiTheme="minorHAnsi" w:hAnsiTheme="minorHAnsi"/>
              </w:rPr>
              <w:t>Powerco</w:t>
            </w:r>
            <w:proofErr w:type="spellEnd"/>
            <w:r w:rsidR="00AD7794">
              <w:rPr>
                <w:rFonts w:asciiTheme="minorHAnsi" w:hAnsiTheme="minorHAnsi"/>
              </w:rPr>
              <w:t xml:space="preserve"> </w:t>
            </w:r>
            <w:r w:rsidR="008539EC" w:rsidRPr="002F2828">
              <w:rPr>
                <w:rFonts w:asciiTheme="minorHAnsi" w:hAnsiTheme="minorHAnsi"/>
              </w:rPr>
              <w:t xml:space="preserve">the 12 month period ending on 30 September of the year the disclosure relates or if the term </w:t>
            </w:r>
            <w:r w:rsidR="008539EC" w:rsidRPr="002F2828">
              <w:rPr>
                <w:rFonts w:asciiTheme="minorHAnsi" w:hAnsiTheme="minorHAnsi"/>
                <w:b/>
              </w:rPr>
              <w:t>disclosure year</w:t>
            </w:r>
            <w:r w:rsidR="008539EC" w:rsidRPr="002F2828">
              <w:rPr>
                <w:rFonts w:asciiTheme="minorHAnsi" w:hAnsiTheme="minorHAnsi"/>
              </w:rPr>
              <w:t xml:space="preserve"> is proceeded by a year, the 12 month period ended on 30 September of that year </w:t>
            </w:r>
          </w:p>
        </w:tc>
      </w:tr>
      <w:tr w:rsidR="0055277E" w:rsidRPr="002F2828" w:rsidTr="00A03DC6">
        <w:tc>
          <w:tcPr>
            <w:tcW w:w="3510" w:type="dxa"/>
          </w:tcPr>
          <w:p w:rsidR="0055277E" w:rsidRPr="002F2828" w:rsidRDefault="0055277E" w:rsidP="00AE0D10">
            <w:pPr>
              <w:pStyle w:val="BodyText"/>
              <w:spacing w:line="264" w:lineRule="auto"/>
              <w:rPr>
                <w:rFonts w:asciiTheme="minorHAnsi" w:hAnsiTheme="minorHAnsi" w:cs="Arial"/>
                <w:b/>
                <w:bCs/>
                <w:lang w:eastAsia="en-NZ"/>
              </w:rPr>
            </w:pPr>
            <w:r>
              <w:rPr>
                <w:rFonts w:asciiTheme="minorHAnsi" w:hAnsiTheme="minorHAnsi" w:cs="Arial"/>
                <w:b/>
                <w:bCs/>
                <w:lang w:eastAsia="en-NZ"/>
              </w:rPr>
              <w:t>Distribution system</w:t>
            </w:r>
          </w:p>
        </w:tc>
        <w:tc>
          <w:tcPr>
            <w:tcW w:w="4882" w:type="dxa"/>
          </w:tcPr>
          <w:p w:rsidR="0055277E" w:rsidRDefault="0055277E" w:rsidP="00031D0C">
            <w:pPr>
              <w:tabs>
                <w:tab w:val="left" w:pos="4045"/>
              </w:tabs>
              <w:spacing w:line="264" w:lineRule="auto"/>
              <w:ind w:left="34"/>
              <w:rPr>
                <w:rFonts w:asciiTheme="minorHAnsi" w:hAnsiTheme="minorHAnsi"/>
              </w:rPr>
            </w:pPr>
          </w:p>
        </w:tc>
      </w:tr>
      <w:tr w:rsidR="007E60DA" w:rsidRPr="002F2828" w:rsidTr="00A03DC6">
        <w:tc>
          <w:tcPr>
            <w:tcW w:w="3510" w:type="dxa"/>
          </w:tcPr>
          <w:p w:rsidR="007E60DA" w:rsidRPr="002F2828" w:rsidRDefault="007E60DA" w:rsidP="00AE0D10">
            <w:pPr>
              <w:pStyle w:val="BodyText"/>
              <w:spacing w:line="264" w:lineRule="auto"/>
              <w:rPr>
                <w:rFonts w:asciiTheme="minorHAnsi" w:hAnsiTheme="minorHAnsi" w:cs="Arial"/>
                <w:b/>
                <w:bCs/>
                <w:lang w:eastAsia="en-NZ"/>
              </w:rPr>
            </w:pPr>
            <w:r>
              <w:rPr>
                <w:rFonts w:asciiTheme="minorHAnsi" w:hAnsiTheme="minorHAnsi" w:cs="Arial"/>
                <w:b/>
                <w:bCs/>
                <w:lang w:eastAsia="en-NZ"/>
              </w:rPr>
              <w:t>DPP regulatory period</w:t>
            </w:r>
          </w:p>
        </w:tc>
        <w:tc>
          <w:tcPr>
            <w:tcW w:w="4882" w:type="dxa"/>
          </w:tcPr>
          <w:p w:rsidR="007E60DA" w:rsidRDefault="007E60DA" w:rsidP="00031D0C">
            <w:pPr>
              <w:tabs>
                <w:tab w:val="left" w:pos="4045"/>
              </w:tabs>
              <w:spacing w:line="264" w:lineRule="auto"/>
              <w:ind w:left="34"/>
              <w:rPr>
                <w:rFonts w:asciiTheme="minorHAnsi" w:hAnsiTheme="minorHAnsi"/>
              </w:rPr>
            </w:pPr>
          </w:p>
        </w:tc>
      </w:tr>
    </w:tbl>
    <w:p w:rsidR="003E69C4" w:rsidRPr="002F2828" w:rsidRDefault="003E69C4" w:rsidP="00AE0D10">
      <w:pPr>
        <w:pStyle w:val="Heading2"/>
        <w:spacing w:before="240" w:after="240" w:line="264" w:lineRule="auto"/>
        <w:jc w:val="center"/>
        <w:rPr>
          <w:rFonts w:asciiTheme="minorHAnsi" w:hAnsiTheme="minorHAnsi"/>
          <w:lang w:eastAsia="en-GB"/>
        </w:rPr>
      </w:pPr>
      <w:r w:rsidRPr="002F2828">
        <w:rPr>
          <w:rFonts w:asciiTheme="minorHAnsi" w:hAnsiTheme="minorHAnsi"/>
          <w:lang w:eastAsia="en-GB"/>
        </w:rPr>
        <w:t>E</w:t>
      </w:r>
    </w:p>
    <w:p w:rsidR="003E69C4" w:rsidRPr="002F2828" w:rsidRDefault="003E69C4" w:rsidP="00AE0D10">
      <w:pPr>
        <w:pStyle w:val="Heading2"/>
        <w:spacing w:before="240" w:after="240" w:line="264" w:lineRule="auto"/>
        <w:jc w:val="center"/>
        <w:rPr>
          <w:rFonts w:asciiTheme="minorHAnsi" w:hAnsiTheme="minorHAnsi"/>
          <w:lang w:eastAsia="en-GB"/>
        </w:rPr>
      </w:pPr>
      <w:r w:rsidRPr="002F2828">
        <w:rPr>
          <w:rFonts w:asciiTheme="minorHAnsi" w:hAnsiTheme="minorHAnsi"/>
          <w:lang w:eastAsia="en-GB"/>
        </w:rPr>
        <w:t>F</w:t>
      </w:r>
    </w:p>
    <w:p w:rsidR="003E69C4" w:rsidRPr="002F2828" w:rsidRDefault="003E69C4" w:rsidP="00DE6E39">
      <w:pPr>
        <w:pStyle w:val="Heading2"/>
        <w:spacing w:before="240" w:after="240"/>
        <w:jc w:val="center"/>
        <w:rPr>
          <w:rFonts w:asciiTheme="minorHAnsi" w:hAnsiTheme="minorHAnsi"/>
          <w:lang w:eastAsia="en-GB"/>
        </w:rPr>
      </w:pPr>
      <w:r w:rsidRPr="002F2828">
        <w:rPr>
          <w:rFonts w:asciiTheme="minorHAnsi" w:hAnsiTheme="minorHAnsi"/>
          <w:lang w:eastAsia="en-GB"/>
        </w:rPr>
        <w:t>G</w:t>
      </w:r>
    </w:p>
    <w:tbl>
      <w:tblPr>
        <w:tblStyle w:val="TableGrid"/>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510"/>
        <w:gridCol w:w="4882"/>
      </w:tblGrid>
      <w:tr w:rsidR="00A02F5E" w:rsidRPr="002F2828" w:rsidTr="00A03DC6">
        <w:tc>
          <w:tcPr>
            <w:tcW w:w="3510" w:type="dxa"/>
          </w:tcPr>
          <w:p w:rsidR="00A02F5E" w:rsidRPr="002F2828" w:rsidRDefault="00A02F5E" w:rsidP="00A03DC6">
            <w:pPr>
              <w:pStyle w:val="BodyText"/>
              <w:rPr>
                <w:rFonts w:asciiTheme="minorHAnsi" w:hAnsiTheme="minorHAnsi" w:cs="Arial"/>
                <w:b/>
                <w:bCs/>
                <w:lang w:eastAsia="en-NZ"/>
              </w:rPr>
            </w:pPr>
            <w:r w:rsidRPr="002F2828">
              <w:rPr>
                <w:rFonts w:asciiTheme="minorHAnsi" w:hAnsiTheme="minorHAnsi" w:cs="Arial"/>
                <w:b/>
                <w:bCs/>
                <w:lang w:eastAsia="en-NZ"/>
              </w:rPr>
              <w:t>GAAP</w:t>
            </w:r>
          </w:p>
        </w:tc>
        <w:tc>
          <w:tcPr>
            <w:tcW w:w="4882" w:type="dxa"/>
          </w:tcPr>
          <w:p w:rsidR="00A02F5E" w:rsidRPr="002F2828" w:rsidRDefault="00A02F5E" w:rsidP="00170E7F">
            <w:pPr>
              <w:ind w:left="34"/>
              <w:rPr>
                <w:rFonts w:asciiTheme="minorHAnsi" w:hAnsiTheme="minorHAnsi" w:cs="Arial"/>
                <w:lang w:eastAsia="en-NZ"/>
              </w:rPr>
            </w:pPr>
            <w:r w:rsidRPr="002F2828">
              <w:rPr>
                <w:rFonts w:asciiTheme="minorHAnsi" w:hAnsiTheme="minorHAnsi" w:cs="Arial"/>
                <w:lang w:eastAsia="en-NZ"/>
              </w:rPr>
              <w:t>means generally accepted accounting practice in New Zealand</w:t>
            </w:r>
          </w:p>
        </w:tc>
      </w:tr>
      <w:tr w:rsidR="005F4CFE" w:rsidRPr="002F2828" w:rsidTr="00A03DC6">
        <w:tc>
          <w:tcPr>
            <w:tcW w:w="3510" w:type="dxa"/>
          </w:tcPr>
          <w:p w:rsidR="005F4CFE" w:rsidRPr="002F2828" w:rsidRDefault="005F4CFE" w:rsidP="000C09C5">
            <w:pPr>
              <w:pStyle w:val="Clausetextunnumbered"/>
              <w:rPr>
                <w:rStyle w:val="Emphasis-Bold"/>
              </w:rPr>
            </w:pPr>
            <w:r w:rsidRPr="002F2828">
              <w:rPr>
                <w:rStyle w:val="Emphasis-Bold"/>
              </w:rPr>
              <w:t>GDB</w:t>
            </w:r>
          </w:p>
        </w:tc>
        <w:tc>
          <w:tcPr>
            <w:tcW w:w="4882" w:type="dxa"/>
          </w:tcPr>
          <w:p w:rsidR="005F4CFE" w:rsidRPr="002F2828" w:rsidRDefault="005F4CFE" w:rsidP="005F4CFE">
            <w:pPr>
              <w:ind w:left="34"/>
              <w:rPr>
                <w:rFonts w:asciiTheme="minorHAnsi" w:hAnsiTheme="minorHAnsi" w:cs="Arial"/>
                <w:b/>
                <w:lang w:eastAsia="en-NZ"/>
              </w:rPr>
            </w:pPr>
            <w:r w:rsidRPr="002F2828">
              <w:rPr>
                <w:rFonts w:asciiTheme="minorHAnsi" w:hAnsiTheme="minorHAnsi" w:cs="Arial"/>
                <w:lang w:eastAsia="en-NZ"/>
              </w:rPr>
              <w:t>means gas distribution business</w:t>
            </w:r>
            <w:r w:rsidR="00FF0938" w:rsidRPr="002F2828">
              <w:rPr>
                <w:rFonts w:asciiTheme="minorHAnsi" w:hAnsiTheme="minorHAnsi" w:cs="Arial"/>
                <w:lang w:eastAsia="en-NZ"/>
              </w:rPr>
              <w:t xml:space="preserve"> as that term is defined in the </w:t>
            </w:r>
            <w:r w:rsidR="00181319" w:rsidRPr="002F2828">
              <w:rPr>
                <w:rFonts w:asciiTheme="minorHAnsi" w:hAnsiTheme="minorHAnsi" w:cs="Arial"/>
                <w:b/>
                <w:lang w:eastAsia="en-NZ"/>
              </w:rPr>
              <w:t>IM d</w:t>
            </w:r>
            <w:r w:rsidR="00FF0938" w:rsidRPr="002F2828">
              <w:rPr>
                <w:rFonts w:asciiTheme="minorHAnsi" w:hAnsiTheme="minorHAnsi" w:cs="Arial"/>
                <w:b/>
                <w:lang w:eastAsia="en-NZ"/>
              </w:rPr>
              <w:t>etermination</w:t>
            </w:r>
          </w:p>
        </w:tc>
      </w:tr>
      <w:tr w:rsidR="00FF0938" w:rsidRPr="002F2828" w:rsidTr="00A03DC6">
        <w:tc>
          <w:tcPr>
            <w:tcW w:w="3510" w:type="dxa"/>
          </w:tcPr>
          <w:p w:rsidR="00FF0938" w:rsidRPr="002F2828" w:rsidRDefault="00FF0938" w:rsidP="000C09C5">
            <w:pPr>
              <w:pStyle w:val="Clausetextunnumbered"/>
              <w:rPr>
                <w:rStyle w:val="Emphasis-Bold"/>
              </w:rPr>
            </w:pPr>
            <w:r w:rsidRPr="002F2828">
              <w:rPr>
                <w:rStyle w:val="Emphasis-Bold"/>
              </w:rPr>
              <w:t>GPB</w:t>
            </w:r>
          </w:p>
        </w:tc>
        <w:tc>
          <w:tcPr>
            <w:tcW w:w="4882" w:type="dxa"/>
          </w:tcPr>
          <w:p w:rsidR="00FF0938" w:rsidRPr="002F2828" w:rsidRDefault="00FF0938" w:rsidP="00FF0938">
            <w:pPr>
              <w:ind w:left="34"/>
              <w:rPr>
                <w:rFonts w:asciiTheme="minorHAnsi" w:hAnsiTheme="minorHAnsi" w:cs="Arial"/>
                <w:lang w:eastAsia="en-NZ"/>
              </w:rPr>
            </w:pPr>
            <w:r w:rsidRPr="002F2828">
              <w:rPr>
                <w:rFonts w:asciiTheme="minorHAnsi" w:hAnsiTheme="minorHAnsi" w:cs="Arial"/>
                <w:lang w:eastAsia="en-NZ"/>
              </w:rPr>
              <w:t xml:space="preserve">means gas pipeline businesses, and includes </w:t>
            </w:r>
            <w:proofErr w:type="spellStart"/>
            <w:r w:rsidRPr="002F2828">
              <w:rPr>
                <w:rFonts w:asciiTheme="minorHAnsi" w:hAnsiTheme="minorHAnsi" w:cs="Arial"/>
                <w:b/>
                <w:lang w:eastAsia="en-NZ"/>
              </w:rPr>
              <w:t>GDB</w:t>
            </w:r>
            <w:r w:rsidRPr="002F2828">
              <w:rPr>
                <w:rFonts w:asciiTheme="minorHAnsi" w:hAnsiTheme="minorHAnsi" w:cs="Arial"/>
                <w:lang w:eastAsia="en-NZ"/>
              </w:rPr>
              <w:t>s</w:t>
            </w:r>
            <w:proofErr w:type="spellEnd"/>
            <w:r w:rsidRPr="002F2828">
              <w:rPr>
                <w:rFonts w:asciiTheme="minorHAnsi" w:hAnsiTheme="minorHAnsi" w:cs="Arial"/>
                <w:lang w:eastAsia="en-NZ"/>
              </w:rPr>
              <w:t xml:space="preserve"> and </w:t>
            </w:r>
            <w:proofErr w:type="spellStart"/>
            <w:r w:rsidRPr="002F2828">
              <w:rPr>
                <w:rFonts w:asciiTheme="minorHAnsi" w:hAnsiTheme="minorHAnsi" w:cs="Arial"/>
                <w:b/>
                <w:lang w:eastAsia="en-NZ"/>
              </w:rPr>
              <w:t>GTB</w:t>
            </w:r>
            <w:r w:rsidRPr="002F2828">
              <w:rPr>
                <w:rFonts w:asciiTheme="minorHAnsi" w:hAnsiTheme="minorHAnsi" w:cs="Arial"/>
                <w:lang w:eastAsia="en-NZ"/>
              </w:rPr>
              <w:t>s</w:t>
            </w:r>
            <w:proofErr w:type="spellEnd"/>
          </w:p>
        </w:tc>
      </w:tr>
      <w:tr w:rsidR="00FF0938" w:rsidRPr="002F2828" w:rsidTr="00A03DC6">
        <w:tc>
          <w:tcPr>
            <w:tcW w:w="3510" w:type="dxa"/>
          </w:tcPr>
          <w:p w:rsidR="00FF0938" w:rsidRPr="002F2828" w:rsidRDefault="00FF0938" w:rsidP="000C09C5">
            <w:pPr>
              <w:pStyle w:val="Clausetextunnumbered"/>
              <w:rPr>
                <w:rStyle w:val="Emphasis-Bold"/>
              </w:rPr>
            </w:pPr>
            <w:r w:rsidRPr="002F2828">
              <w:rPr>
                <w:rStyle w:val="Emphasis-Bold"/>
              </w:rPr>
              <w:t>GTB</w:t>
            </w:r>
          </w:p>
        </w:tc>
        <w:tc>
          <w:tcPr>
            <w:tcW w:w="4882" w:type="dxa"/>
          </w:tcPr>
          <w:p w:rsidR="00FF0938" w:rsidRPr="002F2828" w:rsidRDefault="00423653" w:rsidP="00181319">
            <w:pPr>
              <w:ind w:left="34"/>
              <w:rPr>
                <w:rFonts w:asciiTheme="minorHAnsi" w:hAnsiTheme="minorHAnsi" w:cs="Arial"/>
                <w:lang w:eastAsia="en-NZ"/>
              </w:rPr>
            </w:pPr>
            <w:r w:rsidRPr="002F2828">
              <w:rPr>
                <w:rFonts w:asciiTheme="minorHAnsi" w:hAnsiTheme="minorHAnsi" w:cs="Arial"/>
                <w:lang w:eastAsia="en-NZ"/>
              </w:rPr>
              <w:t>has the meaning set out in the Commerce Act (Gas Transmission Services Input Methodologies) Determination 2010</w:t>
            </w:r>
          </w:p>
        </w:tc>
      </w:tr>
      <w:tr w:rsidR="00502A77" w:rsidRPr="002F2828" w:rsidTr="00A03DC6">
        <w:tc>
          <w:tcPr>
            <w:tcW w:w="3510" w:type="dxa"/>
          </w:tcPr>
          <w:p w:rsidR="00502A77" w:rsidRPr="002F2828" w:rsidRDefault="00502A77" w:rsidP="000C09C5">
            <w:pPr>
              <w:pStyle w:val="Clausetextunnumbered"/>
              <w:rPr>
                <w:rStyle w:val="Emphasis-Bold"/>
              </w:rPr>
            </w:pPr>
            <w:r w:rsidRPr="002F2828">
              <w:rPr>
                <w:rStyle w:val="Emphasis-Bold"/>
              </w:rPr>
              <w:t>Gas distribution services</w:t>
            </w:r>
          </w:p>
        </w:tc>
        <w:tc>
          <w:tcPr>
            <w:tcW w:w="4882" w:type="dxa"/>
          </w:tcPr>
          <w:p w:rsidR="00502A77" w:rsidRPr="002F2828" w:rsidRDefault="00C94718" w:rsidP="000C09C5">
            <w:pPr>
              <w:pStyle w:val="Clausetextunnumbered"/>
              <w:rPr>
                <w:rStyle w:val="Emphasis-Bold"/>
              </w:rPr>
            </w:pPr>
            <w:r w:rsidRPr="002F2828">
              <w:rPr>
                <w:lang w:eastAsia="en-NZ"/>
              </w:rPr>
              <w:t xml:space="preserve">has the meaning set out in the </w:t>
            </w:r>
            <w:r w:rsidRPr="002F2828">
              <w:rPr>
                <w:b/>
                <w:lang w:eastAsia="en-NZ"/>
              </w:rPr>
              <w:t>IM determination</w:t>
            </w:r>
          </w:p>
        </w:tc>
      </w:tr>
      <w:tr w:rsidR="00502A77" w:rsidRPr="002F2828" w:rsidTr="00A03DC6">
        <w:tc>
          <w:tcPr>
            <w:tcW w:w="3510" w:type="dxa"/>
          </w:tcPr>
          <w:p w:rsidR="00502A77" w:rsidRPr="002F2828" w:rsidRDefault="00502A77" w:rsidP="000C09C5">
            <w:pPr>
              <w:pStyle w:val="Clausetextunnumbered"/>
              <w:rPr>
                <w:rStyle w:val="Emphasis-Bold"/>
              </w:rPr>
            </w:pPr>
            <w:r w:rsidRPr="002F2828">
              <w:rPr>
                <w:rStyle w:val="Emphasis-Bold"/>
              </w:rPr>
              <w:t>Gas pipeline services</w:t>
            </w:r>
          </w:p>
        </w:tc>
        <w:tc>
          <w:tcPr>
            <w:tcW w:w="4882" w:type="dxa"/>
          </w:tcPr>
          <w:p w:rsidR="00502A77" w:rsidRPr="002F2828" w:rsidRDefault="00502A77" w:rsidP="000C09C5">
            <w:pPr>
              <w:pStyle w:val="Clausetextunnumbered"/>
              <w:rPr>
                <w:rStyle w:val="Emphasis-Bold"/>
              </w:rPr>
            </w:pPr>
            <w:r w:rsidRPr="002F2828">
              <w:rPr>
                <w:rStyle w:val="Emphasis-Bold"/>
                <w:b w:val="0"/>
              </w:rPr>
              <w:t xml:space="preserve">has the meaning set out in s 55 of the </w:t>
            </w:r>
            <w:r w:rsidRPr="002F2828">
              <w:rPr>
                <w:rStyle w:val="Emphasis-Bold"/>
              </w:rPr>
              <w:t>Act</w:t>
            </w:r>
          </w:p>
        </w:tc>
      </w:tr>
      <w:tr w:rsidR="007E60DA" w:rsidRPr="002F2828" w:rsidTr="00A03DC6">
        <w:tc>
          <w:tcPr>
            <w:tcW w:w="3510" w:type="dxa"/>
          </w:tcPr>
          <w:p w:rsidR="007E60DA" w:rsidRPr="002F2828" w:rsidRDefault="007E60DA" w:rsidP="00A03DC6">
            <w:pPr>
              <w:pStyle w:val="BodyText"/>
              <w:rPr>
                <w:rFonts w:asciiTheme="minorHAnsi" w:hAnsiTheme="minorHAnsi" w:cs="Arial"/>
                <w:b/>
                <w:bCs/>
                <w:lang w:eastAsia="en-NZ"/>
              </w:rPr>
            </w:pPr>
            <w:r>
              <w:rPr>
                <w:rFonts w:asciiTheme="minorHAnsi" w:hAnsiTheme="minorHAnsi" w:cs="Arial"/>
                <w:b/>
                <w:bCs/>
                <w:lang w:eastAsia="en-NZ"/>
              </w:rPr>
              <w:t>Gate station</w:t>
            </w:r>
          </w:p>
        </w:tc>
        <w:tc>
          <w:tcPr>
            <w:tcW w:w="4882" w:type="dxa"/>
          </w:tcPr>
          <w:p w:rsidR="007E60DA" w:rsidRPr="002F2828" w:rsidRDefault="007E60DA" w:rsidP="00170E7F">
            <w:pPr>
              <w:ind w:left="34"/>
              <w:rPr>
                <w:rFonts w:asciiTheme="minorHAnsi" w:hAnsiTheme="minorHAnsi" w:cs="Arial"/>
                <w:lang w:eastAsia="en-NZ"/>
              </w:rPr>
            </w:pPr>
          </w:p>
        </w:tc>
      </w:tr>
      <w:tr w:rsidR="00502A77" w:rsidRPr="002F2828" w:rsidTr="00A03DC6">
        <w:tc>
          <w:tcPr>
            <w:tcW w:w="3510" w:type="dxa"/>
          </w:tcPr>
          <w:p w:rsidR="00502A77" w:rsidRPr="002F2828" w:rsidRDefault="00502A77" w:rsidP="00A03DC6">
            <w:pPr>
              <w:pStyle w:val="BodyText"/>
              <w:rPr>
                <w:rFonts w:asciiTheme="minorHAnsi" w:hAnsiTheme="minorHAnsi" w:cs="Arial"/>
                <w:b/>
                <w:bCs/>
                <w:lang w:eastAsia="en-NZ"/>
              </w:rPr>
            </w:pPr>
            <w:r w:rsidRPr="002F2828">
              <w:rPr>
                <w:rFonts w:asciiTheme="minorHAnsi" w:hAnsiTheme="minorHAnsi" w:cs="Arial"/>
                <w:b/>
                <w:bCs/>
                <w:lang w:eastAsia="en-NZ"/>
              </w:rPr>
              <w:t>Gross capital expenditure</w:t>
            </w:r>
          </w:p>
        </w:tc>
        <w:tc>
          <w:tcPr>
            <w:tcW w:w="4882" w:type="dxa"/>
          </w:tcPr>
          <w:p w:rsidR="00502A77" w:rsidRPr="002F2828" w:rsidRDefault="00502A77" w:rsidP="00170E7F">
            <w:pPr>
              <w:ind w:left="34"/>
              <w:rPr>
                <w:rFonts w:asciiTheme="minorHAnsi" w:hAnsiTheme="minorHAnsi" w:cs="Arial"/>
                <w:lang w:eastAsia="en-NZ"/>
              </w:rPr>
            </w:pPr>
            <w:r w:rsidRPr="002F2828">
              <w:rPr>
                <w:rFonts w:asciiTheme="minorHAnsi" w:hAnsiTheme="minorHAnsi" w:cs="Arial"/>
                <w:lang w:eastAsia="en-NZ"/>
              </w:rPr>
              <w:t xml:space="preserve">means </w:t>
            </w:r>
            <w:r w:rsidRPr="002F2828">
              <w:rPr>
                <w:rFonts w:asciiTheme="minorHAnsi" w:hAnsiTheme="minorHAnsi" w:cs="Arial"/>
                <w:b/>
                <w:lang w:eastAsia="en-NZ"/>
              </w:rPr>
              <w:t>capital expenditure</w:t>
            </w:r>
            <w:r w:rsidRPr="002F2828">
              <w:rPr>
                <w:rFonts w:asciiTheme="minorHAnsi" w:hAnsiTheme="minorHAnsi" w:cs="Arial"/>
                <w:lang w:eastAsia="en-NZ"/>
              </w:rPr>
              <w:t xml:space="preserve"> plus </w:t>
            </w:r>
            <w:r w:rsidRPr="002F2828">
              <w:rPr>
                <w:rFonts w:asciiTheme="minorHAnsi" w:hAnsiTheme="minorHAnsi" w:cs="Arial"/>
                <w:b/>
                <w:lang w:eastAsia="en-NZ"/>
              </w:rPr>
              <w:t>capital contributions</w:t>
            </w:r>
            <w:r w:rsidRPr="002F2828">
              <w:rPr>
                <w:rFonts w:asciiTheme="minorHAnsi" w:hAnsiTheme="minorHAnsi" w:cs="Arial"/>
                <w:lang w:eastAsia="en-NZ"/>
              </w:rPr>
              <w:t xml:space="preserve"> and </w:t>
            </w:r>
            <w:r w:rsidRPr="002F2828">
              <w:rPr>
                <w:rFonts w:asciiTheme="minorHAnsi" w:hAnsiTheme="minorHAnsi" w:cs="Arial"/>
                <w:b/>
                <w:lang w:eastAsia="en-NZ"/>
              </w:rPr>
              <w:t xml:space="preserve">net value of vested assets </w:t>
            </w:r>
          </w:p>
        </w:tc>
      </w:tr>
    </w:tbl>
    <w:p w:rsidR="003E69C4" w:rsidRPr="002F2828" w:rsidRDefault="003E69C4" w:rsidP="00DE6E39">
      <w:pPr>
        <w:pStyle w:val="Heading2"/>
        <w:spacing w:before="240" w:after="240"/>
        <w:jc w:val="center"/>
        <w:rPr>
          <w:rFonts w:asciiTheme="minorHAnsi" w:hAnsiTheme="minorHAnsi"/>
          <w:lang w:eastAsia="en-GB"/>
        </w:rPr>
      </w:pPr>
      <w:r w:rsidRPr="002F2828">
        <w:rPr>
          <w:rFonts w:asciiTheme="minorHAnsi" w:hAnsiTheme="minorHAnsi"/>
          <w:lang w:eastAsia="en-GB"/>
        </w:rPr>
        <w:t>H</w:t>
      </w:r>
    </w:p>
    <w:p w:rsidR="003E69C4" w:rsidRPr="002F2828" w:rsidRDefault="003E69C4" w:rsidP="00DE6E39">
      <w:pPr>
        <w:pStyle w:val="Heading2"/>
        <w:spacing w:before="240" w:after="240"/>
        <w:jc w:val="center"/>
        <w:rPr>
          <w:rFonts w:asciiTheme="minorHAnsi" w:hAnsiTheme="minorHAnsi"/>
          <w:lang w:eastAsia="en-GB"/>
        </w:rPr>
      </w:pPr>
      <w:r w:rsidRPr="002F2828">
        <w:rPr>
          <w:rFonts w:asciiTheme="minorHAnsi" w:hAnsiTheme="minorHAnsi"/>
          <w:lang w:eastAsia="en-GB"/>
        </w:rPr>
        <w:t>I</w:t>
      </w:r>
    </w:p>
    <w:tbl>
      <w:tblPr>
        <w:tblStyle w:val="TableGrid"/>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510"/>
        <w:gridCol w:w="4882"/>
      </w:tblGrid>
      <w:tr w:rsidR="00FF0938" w:rsidRPr="002F2828" w:rsidDel="005F4CFE" w:rsidTr="00F43885">
        <w:tc>
          <w:tcPr>
            <w:tcW w:w="3510" w:type="dxa"/>
          </w:tcPr>
          <w:p w:rsidR="00FF0938" w:rsidRPr="002F2828" w:rsidDel="005F4CFE" w:rsidRDefault="00FF0938" w:rsidP="00AE0D10">
            <w:pPr>
              <w:pStyle w:val="BodyText"/>
              <w:spacing w:line="264" w:lineRule="auto"/>
              <w:rPr>
                <w:rFonts w:asciiTheme="minorHAnsi" w:hAnsiTheme="minorHAnsi" w:cs="Arial"/>
                <w:b/>
                <w:bCs/>
                <w:lang w:eastAsia="en-NZ"/>
              </w:rPr>
            </w:pPr>
            <w:r w:rsidRPr="002F2828">
              <w:rPr>
                <w:rFonts w:asciiTheme="minorHAnsi" w:hAnsiTheme="minorHAnsi" w:cs="Arial"/>
                <w:b/>
                <w:bCs/>
                <w:lang w:eastAsia="en-NZ"/>
              </w:rPr>
              <w:t>IM determination</w:t>
            </w:r>
          </w:p>
        </w:tc>
        <w:tc>
          <w:tcPr>
            <w:tcW w:w="4882" w:type="dxa"/>
          </w:tcPr>
          <w:p w:rsidR="00FF0938" w:rsidRPr="002F2828" w:rsidDel="005F4CFE" w:rsidRDefault="00FF0938" w:rsidP="00D23B5C">
            <w:pPr>
              <w:tabs>
                <w:tab w:val="left" w:pos="4045"/>
              </w:tabs>
              <w:spacing w:line="264" w:lineRule="auto"/>
              <w:rPr>
                <w:rFonts w:asciiTheme="minorHAnsi" w:hAnsiTheme="minorHAnsi" w:cs="Arial"/>
                <w:lang w:eastAsia="en-NZ"/>
              </w:rPr>
            </w:pPr>
            <w:r w:rsidRPr="002F2828">
              <w:rPr>
                <w:rFonts w:asciiTheme="minorHAnsi" w:hAnsiTheme="minorHAnsi" w:cs="Arial"/>
                <w:lang w:eastAsia="en-NZ"/>
              </w:rPr>
              <w:t xml:space="preserve">means the Commerce Act (Gas </w:t>
            </w:r>
            <w:r w:rsidR="00D23B5C" w:rsidRPr="002F2828">
              <w:rPr>
                <w:rFonts w:asciiTheme="minorHAnsi" w:hAnsiTheme="minorHAnsi" w:cs="Arial"/>
                <w:lang w:eastAsia="en-NZ"/>
              </w:rPr>
              <w:t>Distribution</w:t>
            </w:r>
            <w:r w:rsidR="00955173" w:rsidRPr="002F2828">
              <w:rPr>
                <w:rFonts w:asciiTheme="minorHAnsi" w:hAnsiTheme="minorHAnsi" w:cs="Arial"/>
                <w:lang w:eastAsia="en-NZ"/>
              </w:rPr>
              <w:t xml:space="preserve"> </w:t>
            </w:r>
            <w:r w:rsidRPr="002F2828">
              <w:rPr>
                <w:rFonts w:asciiTheme="minorHAnsi" w:hAnsiTheme="minorHAnsi" w:cs="Arial"/>
                <w:lang w:eastAsia="en-NZ"/>
              </w:rPr>
              <w:t>Services Input Methodologies) Determination 2010</w:t>
            </w:r>
          </w:p>
        </w:tc>
      </w:tr>
      <w:tr w:rsidR="00307644" w:rsidRPr="002F2828" w:rsidTr="00F43885">
        <w:tc>
          <w:tcPr>
            <w:tcW w:w="3510" w:type="dxa"/>
          </w:tcPr>
          <w:p w:rsidR="00307644" w:rsidRPr="002F2828" w:rsidRDefault="00307644" w:rsidP="00AE0D10">
            <w:pPr>
              <w:pStyle w:val="BodyText"/>
              <w:spacing w:line="264" w:lineRule="auto"/>
              <w:rPr>
                <w:rFonts w:asciiTheme="minorHAnsi" w:hAnsiTheme="minorHAnsi" w:cs="Arial"/>
                <w:b/>
                <w:bCs/>
                <w:lang w:eastAsia="en-NZ"/>
              </w:rPr>
            </w:pPr>
            <w:r w:rsidRPr="002F2828">
              <w:rPr>
                <w:rFonts w:asciiTheme="minorHAnsi" w:hAnsiTheme="minorHAnsi"/>
                <w:b/>
              </w:rPr>
              <w:t>Independent auditor</w:t>
            </w:r>
          </w:p>
        </w:tc>
        <w:tc>
          <w:tcPr>
            <w:tcW w:w="4882" w:type="dxa"/>
          </w:tcPr>
          <w:p w:rsidR="00307644" w:rsidRPr="002F2828" w:rsidRDefault="00307644" w:rsidP="008C1A91">
            <w:pPr>
              <w:spacing w:line="264" w:lineRule="auto"/>
              <w:ind w:left="459" w:hanging="459"/>
              <w:rPr>
                <w:rFonts w:asciiTheme="minorHAnsi" w:hAnsiTheme="minorHAnsi"/>
                <w:b/>
              </w:rPr>
            </w:pPr>
            <w:r w:rsidRPr="002F2828">
              <w:rPr>
                <w:rFonts w:asciiTheme="minorHAnsi" w:hAnsiTheme="minorHAnsi"/>
              </w:rPr>
              <w:t>means a person who:</w:t>
            </w:r>
          </w:p>
          <w:p w:rsidR="00307644" w:rsidRPr="002F2828" w:rsidRDefault="00307644" w:rsidP="008C1A91">
            <w:pPr>
              <w:pStyle w:val="ListParagraph"/>
              <w:numPr>
                <w:ilvl w:val="0"/>
                <w:numId w:val="37"/>
              </w:numPr>
              <w:spacing w:line="264" w:lineRule="auto"/>
              <w:ind w:left="459" w:hanging="459"/>
              <w:rPr>
                <w:rFonts w:asciiTheme="minorHAnsi" w:hAnsiTheme="minorHAnsi"/>
                <w:b/>
              </w:rPr>
            </w:pPr>
            <w:r w:rsidRPr="002F2828">
              <w:rPr>
                <w:rFonts w:asciiTheme="minorHAnsi" w:hAnsiTheme="minorHAnsi"/>
              </w:rPr>
              <w:t xml:space="preserve">is qualified for appointment as auditor of a company under the Companies Act 1993 or, where the </w:t>
            </w:r>
            <w:r w:rsidRPr="002F2828">
              <w:rPr>
                <w:rFonts w:asciiTheme="minorHAnsi" w:hAnsiTheme="minorHAnsi"/>
                <w:b/>
              </w:rPr>
              <w:t>GPB</w:t>
            </w:r>
            <w:r w:rsidRPr="002F2828">
              <w:rPr>
                <w:rFonts w:asciiTheme="minorHAnsi" w:hAnsiTheme="minorHAnsi"/>
              </w:rPr>
              <w:t xml:space="preserve"> is a public entity (as defined in s 4 of the Public Audit Act 2001), is the Auditor-General;</w:t>
            </w:r>
          </w:p>
          <w:p w:rsidR="00307644" w:rsidRPr="002F2828" w:rsidRDefault="00307644" w:rsidP="008C1A91">
            <w:pPr>
              <w:pStyle w:val="ListParagraph"/>
              <w:numPr>
                <w:ilvl w:val="0"/>
                <w:numId w:val="37"/>
              </w:numPr>
              <w:spacing w:line="264" w:lineRule="auto"/>
              <w:ind w:left="459" w:hanging="459"/>
              <w:rPr>
                <w:rFonts w:asciiTheme="minorHAnsi" w:hAnsiTheme="minorHAnsi"/>
                <w:b/>
              </w:rPr>
            </w:pPr>
            <w:r w:rsidRPr="002F2828">
              <w:rPr>
                <w:rFonts w:asciiTheme="minorHAnsi" w:hAnsiTheme="minorHAnsi"/>
              </w:rPr>
              <w:t xml:space="preserve">has no relationship with, or interest in, the </w:t>
            </w:r>
            <w:r w:rsidRPr="002F2828">
              <w:rPr>
                <w:rFonts w:asciiTheme="minorHAnsi" w:hAnsiTheme="minorHAnsi"/>
                <w:b/>
              </w:rPr>
              <w:t>GPB</w:t>
            </w:r>
            <w:r w:rsidRPr="002F2828">
              <w:rPr>
                <w:rFonts w:asciiTheme="minorHAnsi" w:hAnsiTheme="minorHAnsi"/>
              </w:rPr>
              <w:t xml:space="preserve"> that is likely to involve a conflict of interest;</w:t>
            </w:r>
          </w:p>
          <w:p w:rsidR="00307644" w:rsidRPr="002F2828" w:rsidRDefault="00307644" w:rsidP="008C1A91">
            <w:pPr>
              <w:pStyle w:val="ListParagraph"/>
              <w:numPr>
                <w:ilvl w:val="0"/>
                <w:numId w:val="37"/>
              </w:numPr>
              <w:spacing w:line="264" w:lineRule="auto"/>
              <w:ind w:left="459" w:hanging="459"/>
              <w:rPr>
                <w:rFonts w:asciiTheme="minorHAnsi" w:hAnsiTheme="minorHAnsi"/>
                <w:b/>
              </w:rPr>
            </w:pPr>
            <w:r w:rsidRPr="002F2828">
              <w:rPr>
                <w:rFonts w:asciiTheme="minorHAnsi" w:hAnsiTheme="minorHAnsi"/>
              </w:rPr>
              <w:t>has not assisted with the compilation of the information or provided advice or opinions (other than in relation to audit reports) on the methodologies or processes used in compiling the information; and</w:t>
            </w:r>
          </w:p>
          <w:p w:rsidR="00307644" w:rsidRPr="002F2828" w:rsidRDefault="00307644" w:rsidP="008C1A91">
            <w:pPr>
              <w:pStyle w:val="ListParagraph"/>
              <w:numPr>
                <w:ilvl w:val="0"/>
                <w:numId w:val="37"/>
              </w:numPr>
              <w:tabs>
                <w:tab w:val="left" w:pos="4045"/>
              </w:tabs>
              <w:spacing w:line="264" w:lineRule="auto"/>
              <w:ind w:left="459" w:hanging="459"/>
              <w:rPr>
                <w:rFonts w:asciiTheme="minorHAnsi" w:hAnsiTheme="minorHAnsi" w:cs="Arial"/>
                <w:lang w:eastAsia="en-NZ"/>
              </w:rPr>
            </w:pPr>
            <w:r w:rsidRPr="002F2828">
              <w:rPr>
                <w:rFonts w:asciiTheme="minorHAnsi" w:hAnsiTheme="minorHAnsi"/>
              </w:rPr>
              <w:t xml:space="preserve">is not associated with nor directed by any </w:t>
            </w:r>
            <w:r w:rsidRPr="002F2828">
              <w:rPr>
                <w:rFonts w:asciiTheme="minorHAnsi" w:hAnsiTheme="minorHAnsi"/>
                <w:b/>
              </w:rPr>
              <w:t>person</w:t>
            </w:r>
            <w:r w:rsidRPr="002F2828">
              <w:rPr>
                <w:rFonts w:asciiTheme="minorHAnsi" w:hAnsiTheme="minorHAnsi"/>
              </w:rPr>
              <w:t xml:space="preserve"> who has provided any such assistance, advice, or opinion</w:t>
            </w:r>
          </w:p>
        </w:tc>
      </w:tr>
      <w:tr w:rsidR="00884D99" w:rsidRPr="002F2828" w:rsidTr="00A1482A">
        <w:tc>
          <w:tcPr>
            <w:tcW w:w="3510" w:type="dxa"/>
          </w:tcPr>
          <w:p w:rsidR="00884D99" w:rsidRPr="002F2828" w:rsidRDefault="00884D99" w:rsidP="00AE0D10">
            <w:pPr>
              <w:pStyle w:val="BodyText"/>
              <w:spacing w:line="264" w:lineRule="auto"/>
              <w:rPr>
                <w:rFonts w:asciiTheme="minorHAnsi" w:hAnsiTheme="minorHAnsi"/>
                <w:b/>
              </w:rPr>
            </w:pPr>
            <w:r>
              <w:rPr>
                <w:rFonts w:asciiTheme="minorHAnsi" w:hAnsiTheme="minorHAnsi"/>
                <w:b/>
              </w:rPr>
              <w:t>Initial RAB</w:t>
            </w:r>
          </w:p>
        </w:tc>
        <w:tc>
          <w:tcPr>
            <w:tcW w:w="4882" w:type="dxa"/>
          </w:tcPr>
          <w:p w:rsidR="00884D99" w:rsidRPr="002F2828" w:rsidRDefault="00A1482A" w:rsidP="00A1482A">
            <w:pPr>
              <w:spacing w:line="264" w:lineRule="auto"/>
              <w:ind w:left="459" w:hanging="459"/>
              <w:rPr>
                <w:rFonts w:asciiTheme="minorHAnsi" w:hAnsiTheme="minorHAnsi"/>
              </w:rPr>
            </w:pPr>
            <w:r w:rsidRPr="004620BF">
              <w:rPr>
                <w:rFonts w:cs="Arial"/>
                <w:lang w:eastAsia="en-NZ"/>
              </w:rPr>
              <w:t xml:space="preserve">has the meaning set out in the </w:t>
            </w:r>
            <w:r w:rsidRPr="004620BF">
              <w:rPr>
                <w:rFonts w:cs="Arial"/>
                <w:b/>
                <w:lang w:eastAsia="en-NZ"/>
              </w:rPr>
              <w:t>IM determination</w:t>
            </w:r>
          </w:p>
        </w:tc>
      </w:tr>
      <w:tr w:rsidR="00423653" w:rsidRPr="002F2828" w:rsidTr="004068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10" w:type="dxa"/>
            <w:tcBorders>
              <w:top w:val="nil"/>
              <w:left w:val="nil"/>
              <w:bottom w:val="nil"/>
              <w:right w:val="nil"/>
            </w:tcBorders>
          </w:tcPr>
          <w:p w:rsidR="00423653" w:rsidRPr="002F2828" w:rsidRDefault="00423653" w:rsidP="00F43885">
            <w:pPr>
              <w:pStyle w:val="BodyText"/>
              <w:spacing w:line="264" w:lineRule="auto"/>
              <w:rPr>
                <w:rFonts w:asciiTheme="minorHAnsi" w:hAnsiTheme="minorHAnsi" w:cs="Arial"/>
                <w:b/>
                <w:lang w:eastAsia="en-NZ"/>
              </w:rPr>
            </w:pPr>
            <w:r w:rsidRPr="002F2828">
              <w:rPr>
                <w:rFonts w:asciiTheme="minorHAnsi" w:hAnsiTheme="minorHAnsi" w:cs="Arial"/>
                <w:b/>
                <w:lang w:eastAsia="en-NZ"/>
              </w:rPr>
              <w:t>Interruption</w:t>
            </w:r>
          </w:p>
        </w:tc>
        <w:tc>
          <w:tcPr>
            <w:tcW w:w="4882" w:type="dxa"/>
            <w:tcBorders>
              <w:top w:val="nil"/>
              <w:left w:val="nil"/>
              <w:bottom w:val="nil"/>
              <w:right w:val="nil"/>
            </w:tcBorders>
          </w:tcPr>
          <w:p w:rsidR="00423653" w:rsidRPr="002F2828" w:rsidRDefault="00703AF4" w:rsidP="008F5D7B">
            <w:pPr>
              <w:pStyle w:val="BodyText"/>
              <w:spacing w:after="0" w:line="264" w:lineRule="auto"/>
              <w:rPr>
                <w:rFonts w:asciiTheme="minorHAnsi" w:hAnsiTheme="minorHAnsi" w:cs="Arial"/>
                <w:bCs/>
                <w:lang w:eastAsia="en-NZ"/>
              </w:rPr>
            </w:pPr>
            <w:r w:rsidRPr="002F2828">
              <w:rPr>
                <w:rFonts w:asciiTheme="minorHAnsi" w:hAnsiTheme="minorHAnsi" w:cs="Arial"/>
                <w:bCs/>
                <w:lang w:eastAsia="en-NZ"/>
              </w:rPr>
              <w:t>m</w:t>
            </w:r>
            <w:r w:rsidR="00423653" w:rsidRPr="002F2828">
              <w:rPr>
                <w:rFonts w:asciiTheme="minorHAnsi" w:hAnsiTheme="minorHAnsi" w:cs="Arial"/>
                <w:bCs/>
                <w:lang w:eastAsia="en-NZ"/>
              </w:rPr>
              <w:t>eans</w:t>
            </w:r>
            <w:r w:rsidRPr="002F2828">
              <w:rPr>
                <w:rFonts w:asciiTheme="minorHAnsi" w:hAnsiTheme="minorHAnsi" w:cs="Arial"/>
                <w:bCs/>
                <w:lang w:eastAsia="en-NZ"/>
              </w:rPr>
              <w:t xml:space="preserve">, in relation to the supply </w:t>
            </w:r>
            <w:r w:rsidR="00764CF6" w:rsidRPr="002F2828">
              <w:rPr>
                <w:rFonts w:asciiTheme="minorHAnsi" w:hAnsiTheme="minorHAnsi" w:cs="Arial"/>
                <w:bCs/>
                <w:lang w:eastAsia="en-NZ"/>
              </w:rPr>
              <w:t>of gas to a connection point, the cessation of supply of gas to that connection point for a period of 1</w:t>
            </w:r>
            <w:r w:rsidR="008F5D7B">
              <w:rPr>
                <w:rFonts w:asciiTheme="minorHAnsi" w:hAnsiTheme="minorHAnsi" w:cs="Arial"/>
                <w:bCs/>
                <w:lang w:eastAsia="en-NZ"/>
              </w:rPr>
              <w:t> </w:t>
            </w:r>
            <w:r w:rsidR="00764CF6" w:rsidRPr="002F2828">
              <w:rPr>
                <w:rFonts w:asciiTheme="minorHAnsi" w:hAnsiTheme="minorHAnsi" w:cs="Arial"/>
                <w:bCs/>
                <w:lang w:eastAsia="en-NZ"/>
              </w:rPr>
              <w:t>minute or longer, including the short time taken to replace a defective regulator</w:t>
            </w:r>
          </w:p>
        </w:tc>
      </w:tr>
    </w:tbl>
    <w:p w:rsidR="003E69C4" w:rsidRPr="002F2828" w:rsidRDefault="003E69C4" w:rsidP="00DE6E39">
      <w:pPr>
        <w:pStyle w:val="Heading2"/>
        <w:spacing w:before="240" w:after="240"/>
        <w:jc w:val="center"/>
        <w:rPr>
          <w:rFonts w:asciiTheme="minorHAnsi" w:hAnsiTheme="minorHAnsi"/>
          <w:lang w:eastAsia="en-GB"/>
        </w:rPr>
      </w:pPr>
      <w:r w:rsidRPr="002F2828">
        <w:rPr>
          <w:rFonts w:asciiTheme="minorHAnsi" w:hAnsiTheme="minorHAnsi"/>
          <w:lang w:eastAsia="en-GB"/>
        </w:rPr>
        <w:t>L</w:t>
      </w:r>
    </w:p>
    <w:tbl>
      <w:tblPr>
        <w:tblStyle w:val="TableGrid"/>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510"/>
        <w:gridCol w:w="4882"/>
      </w:tblGrid>
      <w:tr w:rsidR="00E503E3" w:rsidRPr="002F2828" w:rsidTr="00CD75EF">
        <w:tc>
          <w:tcPr>
            <w:tcW w:w="3510" w:type="dxa"/>
          </w:tcPr>
          <w:p w:rsidR="00E503E3" w:rsidRPr="002F2828" w:rsidRDefault="00E503E3" w:rsidP="00AE0D10">
            <w:pPr>
              <w:pStyle w:val="BodyText"/>
              <w:spacing w:line="264" w:lineRule="auto"/>
              <w:rPr>
                <w:rFonts w:asciiTheme="minorHAnsi" w:hAnsiTheme="minorHAnsi" w:cs="Arial"/>
                <w:b/>
                <w:bCs/>
                <w:lang w:eastAsia="en-NZ"/>
              </w:rPr>
            </w:pPr>
            <w:r w:rsidRPr="002F2828">
              <w:rPr>
                <w:rFonts w:asciiTheme="minorHAnsi" w:hAnsiTheme="minorHAnsi"/>
                <w:b/>
              </w:rPr>
              <w:t>Legislative and regulatory</w:t>
            </w:r>
          </w:p>
        </w:tc>
        <w:tc>
          <w:tcPr>
            <w:tcW w:w="4882" w:type="dxa"/>
          </w:tcPr>
          <w:p w:rsidR="00E503E3" w:rsidRPr="00E503E3" w:rsidRDefault="00E503E3" w:rsidP="00A472A3">
            <w:pPr>
              <w:pStyle w:val="BodyText"/>
            </w:pPr>
            <w:r w:rsidRPr="00E503E3">
              <w:t xml:space="preserve">in relation to expenditure, means </w:t>
            </w:r>
            <w:r w:rsidRPr="00E503E3">
              <w:rPr>
                <w:b/>
              </w:rPr>
              <w:t>gross capital expenditure</w:t>
            </w:r>
            <w:r w:rsidRPr="00E503E3">
              <w:t xml:space="preserve"> where the </w:t>
            </w:r>
            <w:r w:rsidRPr="00E503E3">
              <w:rPr>
                <w:b/>
              </w:rPr>
              <w:t>primary driver</w:t>
            </w:r>
            <w:r w:rsidRPr="00E503E3">
              <w:t xml:space="preserve"> is a new regulatory or legal requirement that results in the creation of, or modification to, </w:t>
            </w:r>
            <w:r w:rsidRPr="00E503E3">
              <w:rPr>
                <w:b/>
              </w:rPr>
              <w:t>network</w:t>
            </w:r>
            <w:r w:rsidRPr="00E503E3">
              <w:t xml:space="preserve"> assets</w:t>
            </w:r>
          </w:p>
        </w:tc>
      </w:tr>
      <w:tr w:rsidR="00020D17" w:rsidRPr="002F2828" w:rsidTr="00CD75EF">
        <w:tc>
          <w:tcPr>
            <w:tcW w:w="3510" w:type="dxa"/>
          </w:tcPr>
          <w:p w:rsidR="00020D17" w:rsidRPr="002F2828" w:rsidRDefault="00020D17" w:rsidP="001204E5">
            <w:pPr>
              <w:pStyle w:val="BodyText"/>
              <w:spacing w:line="264" w:lineRule="auto"/>
              <w:rPr>
                <w:rFonts w:asciiTheme="minorHAnsi" w:hAnsiTheme="minorHAnsi" w:cs="Arial"/>
                <w:b/>
                <w:bCs/>
                <w:lang w:eastAsia="en-NZ"/>
              </w:rPr>
            </w:pPr>
            <w:r w:rsidRPr="002F2828">
              <w:rPr>
                <w:rFonts w:asciiTheme="minorHAnsi" w:hAnsiTheme="minorHAnsi" w:cs="Arial"/>
                <w:b/>
                <w:bCs/>
                <w:lang w:eastAsia="en-NZ"/>
              </w:rPr>
              <w:t xml:space="preserve">Line charge </w:t>
            </w:r>
            <w:r w:rsidR="001204E5">
              <w:rPr>
                <w:rFonts w:asciiTheme="minorHAnsi" w:hAnsiTheme="minorHAnsi" w:cs="Arial"/>
                <w:b/>
                <w:bCs/>
                <w:lang w:eastAsia="en-NZ"/>
              </w:rPr>
              <w:t>revenue</w:t>
            </w:r>
          </w:p>
        </w:tc>
        <w:tc>
          <w:tcPr>
            <w:tcW w:w="4882" w:type="dxa"/>
          </w:tcPr>
          <w:p w:rsidR="00020D17" w:rsidRPr="002F2828" w:rsidRDefault="00020D17" w:rsidP="00AE0D10">
            <w:pPr>
              <w:tabs>
                <w:tab w:val="left" w:pos="4045"/>
              </w:tabs>
              <w:spacing w:line="264" w:lineRule="auto"/>
              <w:ind w:left="34"/>
              <w:rPr>
                <w:rFonts w:asciiTheme="minorHAnsi" w:hAnsiTheme="minorHAnsi" w:cs="Arial"/>
                <w:b/>
                <w:lang w:eastAsia="en-NZ"/>
              </w:rPr>
            </w:pPr>
            <w:r w:rsidRPr="002F2828">
              <w:rPr>
                <w:rFonts w:asciiTheme="minorHAnsi" w:hAnsiTheme="minorHAnsi" w:cs="Arial"/>
                <w:lang w:eastAsia="en-NZ"/>
              </w:rPr>
              <w:t xml:space="preserve">means revenue from </w:t>
            </w:r>
            <w:r w:rsidRPr="002F2828">
              <w:rPr>
                <w:rFonts w:asciiTheme="minorHAnsi" w:hAnsiTheme="minorHAnsi" w:cs="Arial"/>
                <w:b/>
                <w:lang w:eastAsia="en-NZ"/>
              </w:rPr>
              <w:t>prices</w:t>
            </w:r>
          </w:p>
        </w:tc>
      </w:tr>
    </w:tbl>
    <w:p w:rsidR="003E69C4" w:rsidRPr="002F2828" w:rsidRDefault="003E69C4" w:rsidP="00DE6E39">
      <w:pPr>
        <w:pStyle w:val="Heading2"/>
        <w:spacing w:before="240" w:after="240"/>
        <w:jc w:val="center"/>
        <w:rPr>
          <w:rFonts w:asciiTheme="minorHAnsi" w:hAnsiTheme="minorHAnsi"/>
          <w:lang w:eastAsia="en-GB"/>
        </w:rPr>
      </w:pPr>
      <w:r w:rsidRPr="002F2828">
        <w:rPr>
          <w:rFonts w:asciiTheme="minorHAnsi" w:hAnsiTheme="minorHAnsi"/>
          <w:lang w:eastAsia="en-GB"/>
        </w:rPr>
        <w:t>M</w:t>
      </w:r>
    </w:p>
    <w:tbl>
      <w:tblPr>
        <w:tblStyle w:val="TableGrid"/>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510"/>
        <w:gridCol w:w="4882"/>
      </w:tblGrid>
      <w:tr w:rsidR="00A56499" w:rsidRPr="002F2828" w:rsidTr="00CD75EF">
        <w:tc>
          <w:tcPr>
            <w:tcW w:w="3510" w:type="dxa"/>
          </w:tcPr>
          <w:p w:rsidR="00A56499" w:rsidRPr="002F2828" w:rsidRDefault="00A56499" w:rsidP="00A56499">
            <w:pPr>
              <w:pStyle w:val="BodyText"/>
              <w:spacing w:line="264" w:lineRule="auto"/>
              <w:rPr>
                <w:rFonts w:asciiTheme="minorHAnsi" w:hAnsiTheme="minorHAnsi"/>
                <w:b/>
                <w:bCs/>
              </w:rPr>
            </w:pPr>
            <w:r w:rsidRPr="002F2828">
              <w:rPr>
                <w:rFonts w:asciiTheme="minorHAnsi" w:hAnsiTheme="minorHAnsi"/>
                <w:b/>
                <w:bCs/>
              </w:rPr>
              <w:t>Main pipe</w:t>
            </w:r>
          </w:p>
        </w:tc>
        <w:tc>
          <w:tcPr>
            <w:tcW w:w="4882" w:type="dxa"/>
          </w:tcPr>
          <w:p w:rsidR="00A56499" w:rsidRPr="00A56499" w:rsidRDefault="00A56499" w:rsidP="00A472A3">
            <w:pPr>
              <w:pStyle w:val="BodyText"/>
              <w:rPr>
                <w:rFonts w:asciiTheme="minorHAnsi" w:hAnsiTheme="minorHAnsi"/>
                <w:lang w:val="en-AU"/>
              </w:rPr>
            </w:pPr>
            <w:r w:rsidRPr="00A56499">
              <w:rPr>
                <w:rFonts w:asciiTheme="minorHAnsi" w:hAnsiTheme="minorHAnsi" w:cs="Times-Roman"/>
                <w:lang w:eastAsia="en-NZ"/>
              </w:rPr>
              <w:t xml:space="preserve">means the pipes that transport gas from the bulk supply transmission system to each </w:t>
            </w:r>
            <w:r w:rsidRPr="00A56499">
              <w:rPr>
                <w:rFonts w:asciiTheme="minorHAnsi" w:hAnsiTheme="minorHAnsi" w:cs="Times-Roman"/>
                <w:b/>
                <w:lang w:eastAsia="en-NZ"/>
              </w:rPr>
              <w:t>service pipe</w:t>
            </w:r>
          </w:p>
        </w:tc>
      </w:tr>
      <w:tr w:rsidR="00FB1379" w:rsidRPr="002F2828" w:rsidTr="00CD75EF">
        <w:tc>
          <w:tcPr>
            <w:tcW w:w="3510" w:type="dxa"/>
          </w:tcPr>
          <w:p w:rsidR="00FB1379" w:rsidRDefault="00FB1379" w:rsidP="006C6A19">
            <w:pPr>
              <w:pStyle w:val="BodyText"/>
              <w:spacing w:line="264" w:lineRule="auto"/>
              <w:rPr>
                <w:rFonts w:asciiTheme="minorHAnsi" w:hAnsiTheme="minorHAnsi"/>
                <w:b/>
                <w:bCs/>
              </w:rPr>
            </w:pPr>
            <w:r w:rsidRPr="00026B2D">
              <w:rPr>
                <w:b/>
              </w:rPr>
              <w:t>Mark-up</w:t>
            </w:r>
          </w:p>
        </w:tc>
        <w:tc>
          <w:tcPr>
            <w:tcW w:w="4882" w:type="dxa"/>
          </w:tcPr>
          <w:p w:rsidR="00FB1379" w:rsidRPr="002F2828" w:rsidRDefault="009764C2" w:rsidP="00FB1379">
            <w:pPr>
              <w:spacing w:line="264" w:lineRule="auto"/>
              <w:rPr>
                <w:rFonts w:asciiTheme="minorHAnsi" w:hAnsiTheme="minorHAnsi"/>
              </w:rPr>
            </w:pPr>
            <w:proofErr w:type="gramStart"/>
            <w:r w:rsidRPr="009764C2">
              <w:rPr>
                <w:rFonts w:cs="Arial"/>
                <w:lang w:eastAsia="en-NZ"/>
              </w:rPr>
              <w:t>means</w:t>
            </w:r>
            <w:proofErr w:type="gramEnd"/>
            <w:r w:rsidRPr="009764C2">
              <w:rPr>
                <w:rFonts w:cs="Arial"/>
                <w:lang w:eastAsia="en-NZ"/>
              </w:rPr>
              <w:t xml:space="preserve"> </w:t>
            </w:r>
            <w:r w:rsidRPr="009764C2">
              <w:t xml:space="preserve">the margin charged on the directly attributed cost incurred by the related party in providing a good or service which is included in the price of the good or service. </w:t>
            </w:r>
          </w:p>
        </w:tc>
      </w:tr>
      <w:tr w:rsidR="00661624" w:rsidRPr="002F2828" w:rsidTr="00CD75EF">
        <w:tc>
          <w:tcPr>
            <w:tcW w:w="3510" w:type="dxa"/>
          </w:tcPr>
          <w:p w:rsidR="00661624" w:rsidRPr="002F2828" w:rsidRDefault="00661624" w:rsidP="006C6A19">
            <w:pPr>
              <w:pStyle w:val="BodyText"/>
              <w:spacing w:line="264" w:lineRule="auto"/>
              <w:rPr>
                <w:rFonts w:asciiTheme="minorHAnsi" w:hAnsiTheme="minorHAnsi"/>
                <w:b/>
                <w:bCs/>
              </w:rPr>
            </w:pPr>
            <w:r>
              <w:rPr>
                <w:rFonts w:asciiTheme="minorHAnsi" w:hAnsiTheme="minorHAnsi"/>
                <w:b/>
                <w:bCs/>
              </w:rPr>
              <w:t>Month</w:t>
            </w:r>
          </w:p>
        </w:tc>
        <w:tc>
          <w:tcPr>
            <w:tcW w:w="4882" w:type="dxa"/>
          </w:tcPr>
          <w:p w:rsidR="00661624" w:rsidRPr="002F2828" w:rsidRDefault="00661624" w:rsidP="00CD75EF">
            <w:pPr>
              <w:spacing w:line="264" w:lineRule="auto"/>
              <w:rPr>
                <w:rFonts w:asciiTheme="minorHAnsi" w:hAnsiTheme="minorHAnsi"/>
              </w:rPr>
            </w:pPr>
          </w:p>
        </w:tc>
      </w:tr>
    </w:tbl>
    <w:p w:rsidR="003E69C4" w:rsidRPr="002F2828" w:rsidRDefault="003E69C4" w:rsidP="00AE0D10">
      <w:pPr>
        <w:pStyle w:val="Heading2"/>
        <w:spacing w:before="240" w:after="240" w:line="264" w:lineRule="auto"/>
        <w:jc w:val="center"/>
        <w:rPr>
          <w:rFonts w:asciiTheme="minorHAnsi" w:hAnsiTheme="minorHAnsi"/>
          <w:lang w:eastAsia="en-GB"/>
        </w:rPr>
      </w:pPr>
      <w:r w:rsidRPr="002F2828">
        <w:rPr>
          <w:rFonts w:asciiTheme="minorHAnsi" w:hAnsiTheme="minorHAnsi"/>
          <w:lang w:eastAsia="en-GB"/>
        </w:rPr>
        <w:t>N</w:t>
      </w:r>
    </w:p>
    <w:tbl>
      <w:tblPr>
        <w:tblStyle w:val="TableGrid"/>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510"/>
        <w:gridCol w:w="4882"/>
      </w:tblGrid>
      <w:tr w:rsidR="00A56499" w:rsidRPr="002F2828" w:rsidTr="00A03DC6">
        <w:tc>
          <w:tcPr>
            <w:tcW w:w="3510" w:type="dxa"/>
          </w:tcPr>
          <w:p w:rsidR="00A56499" w:rsidRPr="002F2828" w:rsidRDefault="00A56499" w:rsidP="00AE0D10">
            <w:pPr>
              <w:pStyle w:val="BodyText"/>
              <w:spacing w:line="264" w:lineRule="auto"/>
              <w:rPr>
                <w:rFonts w:asciiTheme="minorHAnsi" w:hAnsiTheme="minorHAnsi" w:cs="Arial"/>
                <w:b/>
                <w:bCs/>
                <w:lang w:eastAsia="en-NZ"/>
              </w:rPr>
            </w:pPr>
            <w:r w:rsidRPr="002F2828">
              <w:rPr>
                <w:rFonts w:asciiTheme="minorHAnsi" w:hAnsiTheme="minorHAnsi" w:cs="Arial"/>
                <w:b/>
                <w:bCs/>
                <w:lang w:eastAsia="en-NZ"/>
              </w:rPr>
              <w:t>Net value of vested assets</w:t>
            </w:r>
          </w:p>
        </w:tc>
        <w:tc>
          <w:tcPr>
            <w:tcW w:w="4882" w:type="dxa"/>
          </w:tcPr>
          <w:p w:rsidR="00A56499" w:rsidRPr="00A56499" w:rsidRDefault="00A56499" w:rsidP="00A472A3">
            <w:pPr>
              <w:pStyle w:val="BodyText"/>
              <w:rPr>
                <w:rFonts w:asciiTheme="minorHAnsi" w:hAnsiTheme="minorHAnsi"/>
                <w:lang w:val="en-AU"/>
              </w:rPr>
            </w:pPr>
            <w:r w:rsidRPr="00A56499">
              <w:rPr>
                <w:rFonts w:asciiTheme="minorHAnsi" w:hAnsiTheme="minorHAnsi" w:cs="Arial"/>
                <w:lang w:eastAsia="en-NZ"/>
              </w:rPr>
              <w:t xml:space="preserve">means the fair value of assets whose ownership is vested in a </w:t>
            </w:r>
            <w:r w:rsidRPr="00A56499">
              <w:rPr>
                <w:rFonts w:asciiTheme="minorHAnsi" w:hAnsiTheme="minorHAnsi" w:cs="Arial"/>
                <w:b/>
                <w:bCs/>
                <w:lang w:eastAsia="en-NZ"/>
              </w:rPr>
              <w:t>GDB</w:t>
            </w:r>
            <w:r w:rsidRPr="00A56499">
              <w:rPr>
                <w:rFonts w:asciiTheme="minorHAnsi" w:hAnsiTheme="minorHAnsi" w:cs="Arial"/>
                <w:lang w:eastAsia="en-NZ"/>
              </w:rPr>
              <w:t xml:space="preserve"> (whether or not for some consideration) less any consideration paid for those assets</w:t>
            </w:r>
          </w:p>
        </w:tc>
      </w:tr>
      <w:tr w:rsidR="00A47D39" w:rsidRPr="002F2828" w:rsidTr="00A03DC6">
        <w:tc>
          <w:tcPr>
            <w:tcW w:w="3510" w:type="dxa"/>
          </w:tcPr>
          <w:p w:rsidR="00A47D39" w:rsidRPr="002F2828" w:rsidRDefault="00A47D39" w:rsidP="00AE0D10">
            <w:pPr>
              <w:pStyle w:val="BodyText"/>
              <w:spacing w:line="264" w:lineRule="auto"/>
              <w:rPr>
                <w:rFonts w:asciiTheme="minorHAnsi" w:hAnsiTheme="minorHAnsi"/>
                <w:b/>
              </w:rPr>
            </w:pPr>
            <w:r w:rsidRPr="002F2828">
              <w:rPr>
                <w:rFonts w:asciiTheme="minorHAnsi" w:hAnsiTheme="minorHAnsi"/>
                <w:b/>
                <w:bCs/>
              </w:rPr>
              <w:t>Network</w:t>
            </w:r>
          </w:p>
        </w:tc>
        <w:tc>
          <w:tcPr>
            <w:tcW w:w="4882" w:type="dxa"/>
          </w:tcPr>
          <w:p w:rsidR="00A47D39" w:rsidRPr="002F2828" w:rsidRDefault="00423653" w:rsidP="005F4CFE">
            <w:pPr>
              <w:spacing w:line="264" w:lineRule="auto"/>
              <w:rPr>
                <w:rFonts w:asciiTheme="minorHAnsi" w:hAnsiTheme="minorHAnsi" w:cs="Arial"/>
                <w:b/>
                <w:lang w:eastAsia="en-NZ"/>
              </w:rPr>
            </w:pPr>
            <w:r w:rsidRPr="002F2828">
              <w:rPr>
                <w:rFonts w:asciiTheme="minorHAnsi" w:hAnsiTheme="minorHAnsi" w:cs="Arial"/>
                <w:lang w:eastAsia="en-NZ"/>
              </w:rPr>
              <w:t xml:space="preserve">has the meaning set out in the </w:t>
            </w:r>
            <w:r w:rsidRPr="002F2828">
              <w:rPr>
                <w:rFonts w:asciiTheme="minorHAnsi" w:hAnsiTheme="minorHAnsi" w:cs="Arial"/>
                <w:b/>
                <w:lang w:eastAsia="en-NZ"/>
              </w:rPr>
              <w:t>IM determination</w:t>
            </w:r>
          </w:p>
        </w:tc>
      </w:tr>
      <w:tr w:rsidR="008539EC" w:rsidRPr="002F2828" w:rsidTr="00A03DC6">
        <w:tc>
          <w:tcPr>
            <w:tcW w:w="3510" w:type="dxa"/>
          </w:tcPr>
          <w:p w:rsidR="008539EC" w:rsidRPr="002F2828" w:rsidRDefault="008539EC" w:rsidP="000C09C5">
            <w:pPr>
              <w:pStyle w:val="Clausetextunnumbered"/>
            </w:pPr>
            <w:r w:rsidRPr="002F2828">
              <w:rPr>
                <w:rStyle w:val="Emphasis-Bold"/>
              </w:rPr>
              <w:t xml:space="preserve">Nominal New Zealand dollars </w:t>
            </w:r>
          </w:p>
        </w:tc>
        <w:tc>
          <w:tcPr>
            <w:tcW w:w="4882" w:type="dxa"/>
          </w:tcPr>
          <w:p w:rsidR="008539EC" w:rsidRPr="002F2828" w:rsidRDefault="009D0912" w:rsidP="009D0912">
            <w:pPr>
              <w:spacing w:line="264" w:lineRule="auto"/>
              <w:rPr>
                <w:rFonts w:asciiTheme="minorHAnsi" w:hAnsiTheme="minorHAnsi" w:cs="Arial"/>
                <w:lang w:eastAsia="en-NZ"/>
              </w:rPr>
            </w:pPr>
            <w:r w:rsidRPr="002F2828">
              <w:rPr>
                <w:rFonts w:asciiTheme="minorHAnsi" w:hAnsiTheme="minorHAnsi" w:cs="Arial"/>
                <w:lang w:eastAsia="en-NZ"/>
              </w:rPr>
              <w:t>in relation to an expenditure or revenue forecast, means the New Zealand dollar prices expected to apply at the time of transaction</w:t>
            </w:r>
          </w:p>
        </w:tc>
      </w:tr>
      <w:tr w:rsidR="00A56499" w:rsidRPr="002F2828" w:rsidTr="00446527">
        <w:tc>
          <w:tcPr>
            <w:tcW w:w="3510" w:type="dxa"/>
          </w:tcPr>
          <w:p w:rsidR="00A56499" w:rsidRPr="002F2828" w:rsidRDefault="00A56499" w:rsidP="00A56499">
            <w:pPr>
              <w:pStyle w:val="BodyText"/>
              <w:spacing w:line="264" w:lineRule="auto"/>
              <w:rPr>
                <w:rFonts w:asciiTheme="minorHAnsi" w:hAnsiTheme="minorHAnsi" w:cs="Arial"/>
                <w:b/>
                <w:bCs/>
                <w:lang w:eastAsia="en-NZ"/>
              </w:rPr>
            </w:pPr>
            <w:r>
              <w:rPr>
                <w:rFonts w:asciiTheme="minorHAnsi" w:hAnsiTheme="minorHAnsi"/>
                <w:b/>
              </w:rPr>
              <w:t xml:space="preserve">Non-network </w:t>
            </w:r>
            <w:proofErr w:type="spellStart"/>
            <w:r>
              <w:rPr>
                <w:rFonts w:asciiTheme="minorHAnsi" w:hAnsiTheme="minorHAnsi"/>
                <w:b/>
              </w:rPr>
              <w:t>capex</w:t>
            </w:r>
            <w:proofErr w:type="spellEnd"/>
            <w:r w:rsidRPr="00A56499">
              <w:rPr>
                <w:rFonts w:asciiTheme="minorHAnsi" w:hAnsiTheme="minorHAnsi"/>
              </w:rPr>
              <w:t xml:space="preserve"> (or </w:t>
            </w:r>
            <w:r>
              <w:rPr>
                <w:rFonts w:asciiTheme="minorHAnsi" w:hAnsiTheme="minorHAnsi"/>
                <w:b/>
              </w:rPr>
              <w:t>n</w:t>
            </w:r>
            <w:r w:rsidRPr="002F2828">
              <w:rPr>
                <w:rFonts w:asciiTheme="minorHAnsi" w:hAnsiTheme="minorHAnsi"/>
                <w:b/>
              </w:rPr>
              <w:t>on-system fixed assets</w:t>
            </w:r>
            <w:r>
              <w:rPr>
                <w:rFonts w:asciiTheme="minorHAnsi" w:hAnsiTheme="minorHAnsi"/>
                <w:b/>
              </w:rPr>
              <w:t>)</w:t>
            </w:r>
          </w:p>
        </w:tc>
        <w:tc>
          <w:tcPr>
            <w:tcW w:w="4882" w:type="dxa"/>
          </w:tcPr>
          <w:p w:rsidR="00A56499" w:rsidRPr="00A56499" w:rsidRDefault="00A56499" w:rsidP="00A472A3">
            <w:pPr>
              <w:spacing w:line="264" w:lineRule="auto"/>
              <w:rPr>
                <w:rFonts w:asciiTheme="minorHAnsi" w:hAnsiTheme="minorHAnsi"/>
              </w:rPr>
            </w:pPr>
            <w:r w:rsidRPr="00A56499">
              <w:t>in</w:t>
            </w:r>
            <w:r w:rsidRPr="00A56499">
              <w:rPr>
                <w:rFonts w:asciiTheme="minorHAnsi" w:hAnsiTheme="minorHAnsi"/>
              </w:rPr>
              <w:t xml:space="preserve"> relation to expenditure, means </w:t>
            </w:r>
            <w:r w:rsidRPr="00A56499">
              <w:rPr>
                <w:rFonts w:asciiTheme="minorHAnsi" w:hAnsiTheme="minorHAnsi"/>
                <w:b/>
              </w:rPr>
              <w:t>gross capital expenditure</w:t>
            </w:r>
            <w:r w:rsidRPr="00A56499">
              <w:rPr>
                <w:rFonts w:asciiTheme="minorHAnsi" w:hAnsiTheme="minorHAnsi"/>
              </w:rPr>
              <w:t xml:space="preserve"> related to the provision of </w:t>
            </w:r>
            <w:r w:rsidRPr="00A56499">
              <w:rPr>
                <w:rFonts w:asciiTheme="minorHAnsi" w:hAnsiTheme="minorHAnsi"/>
                <w:b/>
              </w:rPr>
              <w:t>gas pipeline services</w:t>
            </w:r>
            <w:r w:rsidRPr="00A56499">
              <w:rPr>
                <w:rFonts w:asciiTheme="minorHAnsi" w:hAnsiTheme="minorHAnsi"/>
              </w:rPr>
              <w:t xml:space="preserve"> but that is not directly related to any </w:t>
            </w:r>
            <w:r w:rsidRPr="00A56499">
              <w:rPr>
                <w:rFonts w:asciiTheme="minorHAnsi" w:hAnsiTheme="minorHAnsi"/>
                <w:b/>
              </w:rPr>
              <w:t xml:space="preserve">network </w:t>
            </w:r>
            <w:r w:rsidRPr="00A56499">
              <w:rPr>
                <w:rFonts w:asciiTheme="minorHAnsi" w:hAnsiTheme="minorHAnsi"/>
              </w:rPr>
              <w:t>asset, and includes expenditure on or in relation to:</w:t>
            </w:r>
          </w:p>
          <w:p w:rsidR="00A56499" w:rsidRPr="00A56499" w:rsidRDefault="00A56499" w:rsidP="00A56499">
            <w:pPr>
              <w:pStyle w:val="Tablebullet"/>
              <w:numPr>
                <w:ilvl w:val="0"/>
                <w:numId w:val="153"/>
              </w:numPr>
              <w:spacing w:after="120"/>
              <w:rPr>
                <w:b/>
              </w:rPr>
            </w:pPr>
            <w:r w:rsidRPr="00A56499">
              <w:t>information and technology systems;</w:t>
            </w:r>
          </w:p>
          <w:p w:rsidR="00A56499" w:rsidRPr="00A56499" w:rsidRDefault="00A56499" w:rsidP="00A56499">
            <w:pPr>
              <w:pStyle w:val="Tablebullet"/>
              <w:numPr>
                <w:ilvl w:val="0"/>
                <w:numId w:val="153"/>
              </w:numPr>
              <w:spacing w:after="120"/>
              <w:rPr>
                <w:b/>
              </w:rPr>
            </w:pPr>
            <w:r w:rsidRPr="00A56499">
              <w:t>asset management systems;</w:t>
            </w:r>
          </w:p>
          <w:p w:rsidR="00A56499" w:rsidRPr="00A56499" w:rsidRDefault="00A56499" w:rsidP="00A56499">
            <w:pPr>
              <w:pStyle w:val="Tablebullet"/>
              <w:numPr>
                <w:ilvl w:val="0"/>
                <w:numId w:val="153"/>
              </w:numPr>
              <w:spacing w:after="120"/>
              <w:rPr>
                <w:b/>
              </w:rPr>
            </w:pPr>
            <w:r w:rsidRPr="00A56499">
              <w:t>office buildings, depots and workshops;</w:t>
            </w:r>
          </w:p>
          <w:p w:rsidR="00A56499" w:rsidRPr="00A56499" w:rsidRDefault="00A56499" w:rsidP="00A56499">
            <w:pPr>
              <w:pStyle w:val="Tablebullet"/>
              <w:numPr>
                <w:ilvl w:val="0"/>
                <w:numId w:val="153"/>
              </w:numPr>
              <w:spacing w:after="120"/>
              <w:rPr>
                <w:b/>
              </w:rPr>
            </w:pPr>
            <w:r w:rsidRPr="00A56499">
              <w:t>office furniture and equipment;</w:t>
            </w:r>
          </w:p>
          <w:p w:rsidR="00A56499" w:rsidRPr="00A56499" w:rsidRDefault="00A56499" w:rsidP="00A56499">
            <w:pPr>
              <w:pStyle w:val="Tablebullet"/>
              <w:numPr>
                <w:ilvl w:val="0"/>
                <w:numId w:val="153"/>
              </w:numPr>
              <w:spacing w:after="120"/>
              <w:rPr>
                <w:b/>
              </w:rPr>
            </w:pPr>
            <w:r w:rsidRPr="00A56499">
              <w:t>motor vehicles;</w:t>
            </w:r>
          </w:p>
          <w:p w:rsidR="00A56499" w:rsidRPr="00A56499" w:rsidRDefault="00A56499" w:rsidP="00A56499">
            <w:pPr>
              <w:pStyle w:val="Tablebullet"/>
              <w:numPr>
                <w:ilvl w:val="0"/>
                <w:numId w:val="153"/>
              </w:numPr>
              <w:spacing w:after="120"/>
              <w:rPr>
                <w:i/>
              </w:rPr>
            </w:pPr>
            <w:r w:rsidRPr="00A56499">
              <w:t>tools, plant and machinery; and</w:t>
            </w:r>
          </w:p>
          <w:p w:rsidR="00A56499" w:rsidRPr="00A56499" w:rsidRDefault="00A56499" w:rsidP="00A472A3">
            <w:pPr>
              <w:pStyle w:val="BodyText"/>
              <w:rPr>
                <w:rFonts w:asciiTheme="minorHAnsi" w:hAnsiTheme="minorHAnsi"/>
                <w:b/>
                <w:lang w:val="en-AU"/>
              </w:rPr>
            </w:pPr>
            <w:r w:rsidRPr="00A56499">
              <w:t>any other items treated as non-system fixed assets under Generally Accepted Accounting Practice (</w:t>
            </w:r>
            <w:r w:rsidRPr="00A56499">
              <w:rPr>
                <w:rStyle w:val="Emphasis-Bold"/>
                <w:rFonts w:asciiTheme="minorHAnsi" w:hAnsiTheme="minorHAnsi"/>
              </w:rPr>
              <w:t>GAAP)</w:t>
            </w:r>
          </w:p>
        </w:tc>
      </w:tr>
      <w:tr w:rsidR="008539EC" w:rsidRPr="002F2828" w:rsidTr="00A03DC6">
        <w:tc>
          <w:tcPr>
            <w:tcW w:w="3510" w:type="dxa"/>
          </w:tcPr>
          <w:p w:rsidR="008539EC" w:rsidRPr="002F2828" w:rsidRDefault="008539EC" w:rsidP="00AE0D10">
            <w:pPr>
              <w:pStyle w:val="BodyText"/>
              <w:spacing w:line="264" w:lineRule="auto"/>
              <w:rPr>
                <w:rFonts w:asciiTheme="minorHAnsi" w:hAnsiTheme="minorHAnsi" w:cs="Arial"/>
                <w:b/>
                <w:bCs/>
                <w:lang w:eastAsia="en-NZ"/>
              </w:rPr>
            </w:pPr>
            <w:r w:rsidRPr="002F2828">
              <w:rPr>
                <w:rFonts w:asciiTheme="minorHAnsi" w:hAnsiTheme="minorHAnsi"/>
                <w:b/>
                <w:bCs/>
              </w:rPr>
              <w:t>Non-standard contract</w:t>
            </w:r>
          </w:p>
        </w:tc>
        <w:tc>
          <w:tcPr>
            <w:tcW w:w="4882" w:type="dxa"/>
          </w:tcPr>
          <w:p w:rsidR="008539EC" w:rsidRPr="002F2828" w:rsidRDefault="008539EC" w:rsidP="00AE0D10">
            <w:pPr>
              <w:spacing w:line="264" w:lineRule="auto"/>
              <w:rPr>
                <w:rFonts w:asciiTheme="minorHAnsi" w:hAnsiTheme="minorHAnsi" w:cs="Arial"/>
                <w:lang w:eastAsia="en-NZ"/>
              </w:rPr>
            </w:pPr>
            <w:r w:rsidRPr="002F2828">
              <w:rPr>
                <w:rFonts w:asciiTheme="minorHAnsi" w:hAnsiTheme="minorHAnsi"/>
              </w:rPr>
              <w:t xml:space="preserve">means a </w:t>
            </w:r>
            <w:r w:rsidRPr="002F2828">
              <w:rPr>
                <w:rFonts w:asciiTheme="minorHAnsi" w:hAnsiTheme="minorHAnsi"/>
                <w:b/>
              </w:rPr>
              <w:t>contract</w:t>
            </w:r>
            <w:r w:rsidRPr="002F2828">
              <w:rPr>
                <w:rFonts w:asciiTheme="minorHAnsi" w:hAnsiTheme="minorHAnsi"/>
              </w:rPr>
              <w:t xml:space="preserve"> that is not a </w:t>
            </w:r>
            <w:r w:rsidRPr="002F2828">
              <w:rPr>
                <w:rFonts w:asciiTheme="minorHAnsi" w:hAnsiTheme="minorHAnsi"/>
                <w:b/>
              </w:rPr>
              <w:t>standard contract</w:t>
            </w:r>
          </w:p>
        </w:tc>
      </w:tr>
      <w:tr w:rsidR="008539EC" w:rsidRPr="002F2828" w:rsidTr="00A03DC6">
        <w:tc>
          <w:tcPr>
            <w:tcW w:w="3510" w:type="dxa"/>
          </w:tcPr>
          <w:p w:rsidR="008539EC" w:rsidRPr="002F2828" w:rsidRDefault="008539EC" w:rsidP="00AE0D10">
            <w:pPr>
              <w:pStyle w:val="BodyText"/>
              <w:spacing w:line="264" w:lineRule="auto"/>
              <w:rPr>
                <w:rFonts w:asciiTheme="minorHAnsi" w:hAnsiTheme="minorHAnsi" w:cs="Arial"/>
                <w:b/>
                <w:bCs/>
                <w:lang w:eastAsia="en-NZ"/>
              </w:rPr>
            </w:pPr>
            <w:r w:rsidRPr="002F2828">
              <w:rPr>
                <w:rFonts w:asciiTheme="minorHAnsi" w:hAnsiTheme="minorHAnsi" w:cs="Arial"/>
                <w:b/>
                <w:bCs/>
                <w:lang w:eastAsia="en-NZ"/>
              </w:rPr>
              <w:t>Not directly attributable</w:t>
            </w:r>
          </w:p>
        </w:tc>
        <w:tc>
          <w:tcPr>
            <w:tcW w:w="4882" w:type="dxa"/>
          </w:tcPr>
          <w:p w:rsidR="008539EC" w:rsidRPr="002F2828" w:rsidRDefault="008539EC" w:rsidP="00AE0D10">
            <w:pPr>
              <w:spacing w:line="264" w:lineRule="auto"/>
              <w:rPr>
                <w:rFonts w:asciiTheme="minorHAnsi" w:hAnsiTheme="minorHAnsi" w:cs="Arial"/>
                <w:lang w:eastAsia="en-NZ"/>
              </w:rPr>
            </w:pPr>
            <w:r w:rsidRPr="002F2828">
              <w:rPr>
                <w:rFonts w:asciiTheme="minorHAnsi" w:hAnsiTheme="minorHAnsi" w:cs="Arial"/>
                <w:lang w:eastAsia="en-NZ"/>
              </w:rPr>
              <w:t>means:</w:t>
            </w:r>
          </w:p>
          <w:p w:rsidR="005514F8" w:rsidRPr="002F2828" w:rsidRDefault="008539EC" w:rsidP="00F82684">
            <w:pPr>
              <w:pStyle w:val="ListParagraph"/>
              <w:numPr>
                <w:ilvl w:val="0"/>
                <w:numId w:val="30"/>
              </w:numPr>
              <w:spacing w:line="264" w:lineRule="auto"/>
              <w:ind w:left="459" w:hanging="425"/>
              <w:rPr>
                <w:rFonts w:asciiTheme="minorHAnsi" w:hAnsiTheme="minorHAnsi" w:cs="Arial"/>
                <w:lang w:eastAsia="en-NZ"/>
              </w:rPr>
            </w:pPr>
            <w:r w:rsidRPr="002F2828">
              <w:rPr>
                <w:rFonts w:asciiTheme="minorHAnsi" w:hAnsiTheme="minorHAnsi" w:cs="Arial"/>
                <w:lang w:eastAsia="en-NZ"/>
              </w:rPr>
              <w:t xml:space="preserve">in relation to </w:t>
            </w:r>
            <w:r w:rsidRPr="002F2828">
              <w:rPr>
                <w:rFonts w:asciiTheme="minorHAnsi" w:hAnsiTheme="minorHAnsi" w:cs="Arial"/>
                <w:b/>
                <w:lang w:eastAsia="en-NZ"/>
              </w:rPr>
              <w:t>operating costs</w:t>
            </w:r>
            <w:r w:rsidRPr="002F2828">
              <w:rPr>
                <w:rFonts w:asciiTheme="minorHAnsi" w:hAnsiTheme="minorHAnsi" w:cs="Arial"/>
                <w:lang w:eastAsia="en-NZ"/>
              </w:rPr>
              <w:t xml:space="preserve">, </w:t>
            </w:r>
            <w:r w:rsidRPr="002F2828">
              <w:rPr>
                <w:rFonts w:asciiTheme="minorHAnsi" w:hAnsiTheme="minorHAnsi" w:cs="Arial"/>
                <w:b/>
                <w:lang w:eastAsia="en-NZ"/>
              </w:rPr>
              <w:t>operating costs</w:t>
            </w:r>
            <w:r w:rsidRPr="002F2828">
              <w:rPr>
                <w:rFonts w:asciiTheme="minorHAnsi" w:hAnsiTheme="minorHAnsi" w:cs="Arial"/>
                <w:lang w:eastAsia="en-NZ"/>
              </w:rPr>
              <w:t xml:space="preserve"> that are not</w:t>
            </w:r>
            <w:r w:rsidR="00E915A2" w:rsidRPr="002F2828">
              <w:rPr>
                <w:rFonts w:asciiTheme="minorHAnsi" w:hAnsiTheme="minorHAnsi" w:cs="Arial"/>
                <w:b/>
                <w:lang w:eastAsia="en-NZ"/>
              </w:rPr>
              <w:t xml:space="preserve"> </w:t>
            </w:r>
            <w:r w:rsidRPr="002F2828">
              <w:rPr>
                <w:rFonts w:asciiTheme="minorHAnsi" w:hAnsiTheme="minorHAnsi" w:cs="Arial"/>
                <w:b/>
                <w:lang w:eastAsia="en-NZ"/>
              </w:rPr>
              <w:t>directly attributable</w:t>
            </w:r>
            <w:r w:rsidRPr="002F2828">
              <w:rPr>
                <w:rFonts w:asciiTheme="minorHAnsi" w:hAnsiTheme="minorHAnsi" w:cs="Arial"/>
                <w:lang w:eastAsia="en-NZ"/>
              </w:rPr>
              <w:t>;</w:t>
            </w:r>
          </w:p>
          <w:p w:rsidR="005514F8" w:rsidRPr="002F2828" w:rsidRDefault="008539EC" w:rsidP="00273E48">
            <w:pPr>
              <w:pStyle w:val="ListParagraph"/>
              <w:numPr>
                <w:ilvl w:val="0"/>
                <w:numId w:val="30"/>
              </w:numPr>
              <w:tabs>
                <w:tab w:val="left" w:pos="4045"/>
              </w:tabs>
              <w:spacing w:line="264" w:lineRule="auto"/>
              <w:ind w:left="459" w:hanging="425"/>
              <w:rPr>
                <w:rFonts w:asciiTheme="minorHAnsi" w:hAnsiTheme="minorHAnsi" w:cs="Arial"/>
                <w:lang w:eastAsia="en-NZ"/>
              </w:rPr>
            </w:pPr>
            <w:r w:rsidRPr="002F2828">
              <w:rPr>
                <w:rFonts w:asciiTheme="minorHAnsi" w:hAnsiTheme="minorHAnsi" w:cs="Arial"/>
                <w:lang w:eastAsia="en-NZ"/>
              </w:rPr>
              <w:t xml:space="preserve">in </w:t>
            </w:r>
            <w:r w:rsidR="006C69DE" w:rsidRPr="002F2828">
              <w:rPr>
                <w:rFonts w:asciiTheme="minorHAnsi" w:hAnsiTheme="minorHAnsi" w:cs="Arial"/>
                <w:lang w:eastAsia="en-NZ"/>
              </w:rPr>
              <w:t xml:space="preserve">relation </w:t>
            </w:r>
            <w:r w:rsidRPr="002F2828">
              <w:rPr>
                <w:rFonts w:asciiTheme="minorHAnsi" w:hAnsiTheme="minorHAnsi" w:cs="Arial"/>
                <w:lang w:eastAsia="en-NZ"/>
              </w:rPr>
              <w:t>to</w:t>
            </w:r>
            <w:r w:rsidRPr="002F2828">
              <w:rPr>
                <w:rFonts w:asciiTheme="minorHAnsi" w:hAnsiTheme="minorHAnsi" w:cs="Arial"/>
                <w:b/>
                <w:lang w:eastAsia="en-NZ"/>
              </w:rPr>
              <w:t xml:space="preserve"> regulated service asset val</w:t>
            </w:r>
            <w:r w:rsidR="00273E48">
              <w:rPr>
                <w:rFonts w:asciiTheme="minorHAnsi" w:hAnsiTheme="minorHAnsi" w:cs="Arial"/>
                <w:b/>
                <w:lang w:eastAsia="en-NZ"/>
              </w:rPr>
              <w:t>v</w:t>
            </w:r>
            <w:r w:rsidRPr="002F2828">
              <w:rPr>
                <w:rFonts w:asciiTheme="minorHAnsi" w:hAnsiTheme="minorHAnsi" w:cs="Arial"/>
                <w:b/>
                <w:lang w:eastAsia="en-NZ"/>
              </w:rPr>
              <w:t>es</w:t>
            </w:r>
            <w:r w:rsidRPr="002F2828">
              <w:rPr>
                <w:rFonts w:asciiTheme="minorHAnsi" w:hAnsiTheme="minorHAnsi" w:cs="Arial"/>
                <w:lang w:eastAsia="en-NZ"/>
              </w:rPr>
              <w:t xml:space="preserve">, </w:t>
            </w:r>
            <w:r w:rsidRPr="002F2828">
              <w:rPr>
                <w:rFonts w:asciiTheme="minorHAnsi" w:hAnsiTheme="minorHAnsi" w:cs="Arial"/>
                <w:b/>
                <w:lang w:eastAsia="en-NZ"/>
              </w:rPr>
              <w:t>regulated service asset values</w:t>
            </w:r>
            <w:r w:rsidRPr="002F2828">
              <w:rPr>
                <w:rFonts w:asciiTheme="minorHAnsi" w:hAnsiTheme="minorHAnsi" w:cs="Arial"/>
                <w:lang w:eastAsia="en-NZ"/>
              </w:rPr>
              <w:t xml:space="preserve"> that are not </w:t>
            </w:r>
            <w:r w:rsidRPr="002F2828">
              <w:rPr>
                <w:rFonts w:asciiTheme="minorHAnsi" w:hAnsiTheme="minorHAnsi" w:cs="Arial"/>
                <w:b/>
                <w:lang w:eastAsia="en-NZ"/>
              </w:rPr>
              <w:t>directly attributable</w:t>
            </w:r>
          </w:p>
        </w:tc>
      </w:tr>
    </w:tbl>
    <w:p w:rsidR="003E69C4" w:rsidRPr="002F2828" w:rsidRDefault="003E69C4" w:rsidP="00AE0D10">
      <w:pPr>
        <w:pStyle w:val="Heading2"/>
        <w:spacing w:before="240" w:after="240" w:line="264" w:lineRule="auto"/>
        <w:jc w:val="center"/>
        <w:rPr>
          <w:rFonts w:asciiTheme="minorHAnsi" w:hAnsiTheme="minorHAnsi"/>
          <w:lang w:eastAsia="en-GB"/>
        </w:rPr>
      </w:pPr>
      <w:r w:rsidRPr="002F2828">
        <w:rPr>
          <w:rFonts w:asciiTheme="minorHAnsi" w:hAnsiTheme="minorHAnsi"/>
          <w:lang w:eastAsia="en-GB"/>
        </w:rPr>
        <w:t>O</w:t>
      </w:r>
    </w:p>
    <w:tbl>
      <w:tblPr>
        <w:tblStyle w:val="TableGrid"/>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510"/>
        <w:gridCol w:w="4882"/>
      </w:tblGrid>
      <w:tr w:rsidR="008B2B63" w:rsidRPr="002F2828" w:rsidTr="00A03DC6">
        <w:tc>
          <w:tcPr>
            <w:tcW w:w="3510" w:type="dxa"/>
          </w:tcPr>
          <w:p w:rsidR="008B2B63" w:rsidRPr="002F2828" w:rsidRDefault="008B2B63" w:rsidP="00AE0D10">
            <w:pPr>
              <w:pStyle w:val="BodyText"/>
              <w:spacing w:line="264" w:lineRule="auto"/>
              <w:rPr>
                <w:rFonts w:asciiTheme="minorHAnsi" w:hAnsiTheme="minorHAnsi" w:cs="Arial"/>
                <w:b/>
                <w:bCs/>
                <w:lang w:eastAsia="en-NZ"/>
              </w:rPr>
            </w:pPr>
            <w:r w:rsidRPr="002F2828">
              <w:rPr>
                <w:rFonts w:asciiTheme="minorHAnsi" w:hAnsiTheme="minorHAnsi" w:cs="Arial"/>
                <w:b/>
                <w:bCs/>
                <w:lang w:eastAsia="en-NZ"/>
              </w:rPr>
              <w:t>Operating cost</w:t>
            </w:r>
          </w:p>
        </w:tc>
        <w:tc>
          <w:tcPr>
            <w:tcW w:w="4882" w:type="dxa"/>
          </w:tcPr>
          <w:p w:rsidR="00594AAC" w:rsidRPr="002F2828" w:rsidRDefault="00C94718" w:rsidP="00C94718">
            <w:pPr>
              <w:spacing w:line="264" w:lineRule="auto"/>
              <w:rPr>
                <w:rFonts w:asciiTheme="minorHAnsi" w:hAnsiTheme="minorHAnsi" w:cs="Arial"/>
                <w:lang w:eastAsia="en-NZ"/>
              </w:rPr>
            </w:pPr>
            <w:r w:rsidRPr="002F2828">
              <w:rPr>
                <w:rFonts w:asciiTheme="minorHAnsi" w:hAnsiTheme="minorHAnsi" w:cs="Arial"/>
                <w:lang w:eastAsia="en-NZ"/>
              </w:rPr>
              <w:t xml:space="preserve">has the meaning set out in the </w:t>
            </w:r>
            <w:r w:rsidRPr="002F2828">
              <w:rPr>
                <w:rFonts w:asciiTheme="minorHAnsi" w:hAnsiTheme="minorHAnsi" w:cs="Arial"/>
                <w:b/>
                <w:bCs/>
                <w:lang w:eastAsia="en-NZ"/>
              </w:rPr>
              <w:t>IM determination</w:t>
            </w:r>
            <w:r w:rsidRPr="002F2828">
              <w:rPr>
                <w:rFonts w:asciiTheme="minorHAnsi" w:hAnsiTheme="minorHAnsi" w:cs="Arial"/>
                <w:lang w:eastAsia="en-NZ"/>
              </w:rPr>
              <w:t xml:space="preserve"> </w:t>
            </w:r>
          </w:p>
        </w:tc>
      </w:tr>
      <w:tr w:rsidR="008B2B63" w:rsidRPr="002F2828" w:rsidTr="004068A0">
        <w:tc>
          <w:tcPr>
            <w:tcW w:w="3510" w:type="dxa"/>
          </w:tcPr>
          <w:p w:rsidR="008B2B63" w:rsidRPr="002F2828" w:rsidRDefault="008B2B63" w:rsidP="004068A0">
            <w:pPr>
              <w:pStyle w:val="BodyText"/>
              <w:spacing w:line="264" w:lineRule="auto"/>
              <w:rPr>
                <w:rFonts w:asciiTheme="minorHAnsi" w:hAnsiTheme="minorHAnsi" w:cs="Arial"/>
                <w:b/>
                <w:bCs/>
                <w:lang w:eastAsia="en-NZ"/>
              </w:rPr>
            </w:pPr>
            <w:r w:rsidRPr="002F2828">
              <w:rPr>
                <w:rFonts w:asciiTheme="minorHAnsi" w:hAnsiTheme="minorHAnsi" w:cs="Arial"/>
                <w:b/>
                <w:bCs/>
                <w:lang w:eastAsia="en-NZ"/>
              </w:rPr>
              <w:t>Operational expenditure</w:t>
            </w:r>
          </w:p>
        </w:tc>
        <w:tc>
          <w:tcPr>
            <w:tcW w:w="4882" w:type="dxa"/>
          </w:tcPr>
          <w:p w:rsidR="008B2B63" w:rsidRPr="002F2828" w:rsidRDefault="008B2B63" w:rsidP="00A1482A">
            <w:pPr>
              <w:spacing w:line="264" w:lineRule="auto"/>
              <w:rPr>
                <w:rFonts w:asciiTheme="minorHAnsi" w:hAnsiTheme="minorHAnsi" w:cs="Arial"/>
                <w:lang w:eastAsia="en-NZ"/>
              </w:rPr>
            </w:pPr>
            <w:r w:rsidRPr="002F2828">
              <w:rPr>
                <w:rFonts w:asciiTheme="minorHAnsi" w:hAnsiTheme="minorHAnsi" w:cs="Arial"/>
                <w:lang w:eastAsia="en-NZ"/>
              </w:rPr>
              <w:t xml:space="preserve">means </w:t>
            </w:r>
            <w:r w:rsidRPr="002F2828">
              <w:rPr>
                <w:rFonts w:asciiTheme="minorHAnsi" w:hAnsiTheme="minorHAnsi" w:cs="Arial"/>
                <w:b/>
                <w:bCs/>
                <w:lang w:eastAsia="en-NZ"/>
              </w:rPr>
              <w:t xml:space="preserve">operating costs </w:t>
            </w:r>
            <w:r w:rsidRPr="002F2828">
              <w:rPr>
                <w:rFonts w:asciiTheme="minorHAnsi" w:hAnsiTheme="minorHAnsi" w:cs="Arial"/>
                <w:lang w:eastAsia="en-NZ"/>
              </w:rPr>
              <w:t>after applying clause 2.1.1 of the</w:t>
            </w:r>
            <w:r w:rsidRPr="002F2828">
              <w:rPr>
                <w:rFonts w:asciiTheme="minorHAnsi" w:hAnsiTheme="minorHAnsi" w:cs="Arial"/>
                <w:b/>
                <w:bCs/>
                <w:lang w:eastAsia="en-NZ"/>
              </w:rPr>
              <w:t xml:space="preserve"> IM determination</w:t>
            </w:r>
            <w:r w:rsidRPr="002F2828">
              <w:rPr>
                <w:rFonts w:asciiTheme="minorHAnsi" w:hAnsiTheme="minorHAnsi" w:cs="Arial"/>
                <w:lang w:eastAsia="en-NZ"/>
              </w:rPr>
              <w:t xml:space="preserve">, except in relation to the report on </w:t>
            </w:r>
            <w:r w:rsidRPr="002F2828">
              <w:rPr>
                <w:rFonts w:asciiTheme="minorHAnsi" w:hAnsiTheme="minorHAnsi" w:cs="Arial"/>
                <w:b/>
                <w:lang w:eastAsia="en-NZ"/>
              </w:rPr>
              <w:t>related party transactions</w:t>
            </w:r>
            <w:r w:rsidRPr="002F2828">
              <w:rPr>
                <w:rFonts w:asciiTheme="minorHAnsi" w:hAnsiTheme="minorHAnsi" w:cs="Arial"/>
                <w:lang w:eastAsia="en-NZ"/>
              </w:rPr>
              <w:t xml:space="preserve"> where it means </w:t>
            </w:r>
            <w:r w:rsidR="00E915A2" w:rsidRPr="002F2828">
              <w:rPr>
                <w:rFonts w:asciiTheme="minorHAnsi" w:hAnsiTheme="minorHAnsi" w:cs="Arial"/>
                <w:b/>
                <w:lang w:eastAsia="en-NZ"/>
              </w:rPr>
              <w:t>operating costs</w:t>
            </w:r>
            <w:r w:rsidRPr="002F2828">
              <w:rPr>
                <w:rFonts w:asciiTheme="minorHAnsi" w:hAnsiTheme="minorHAnsi" w:cs="Arial"/>
                <w:lang w:eastAsia="en-NZ"/>
              </w:rPr>
              <w:t xml:space="preserve"> </w:t>
            </w:r>
            <w:r w:rsidR="00925C24" w:rsidRPr="002F2828">
              <w:rPr>
                <w:rFonts w:asciiTheme="minorHAnsi" w:hAnsiTheme="minorHAnsi" w:cs="Arial"/>
                <w:lang w:eastAsia="en-NZ"/>
              </w:rPr>
              <w:t xml:space="preserve">from </w:t>
            </w:r>
            <w:r w:rsidR="00925C24" w:rsidRPr="002F2828">
              <w:rPr>
                <w:rFonts w:asciiTheme="minorHAnsi" w:hAnsiTheme="minorHAnsi" w:cs="Arial"/>
                <w:b/>
                <w:lang w:eastAsia="en-NZ"/>
              </w:rPr>
              <w:t>related party transactions</w:t>
            </w:r>
            <w:r w:rsidR="00925C24" w:rsidRPr="002F2828">
              <w:rPr>
                <w:rFonts w:asciiTheme="minorHAnsi" w:hAnsiTheme="minorHAnsi" w:cs="Arial"/>
                <w:lang w:eastAsia="en-NZ"/>
              </w:rPr>
              <w:t xml:space="preserve"> as determined </w:t>
            </w:r>
            <w:r w:rsidRPr="002F2828">
              <w:rPr>
                <w:rFonts w:asciiTheme="minorHAnsi" w:hAnsiTheme="minorHAnsi" w:cs="Arial"/>
                <w:lang w:eastAsia="en-NZ"/>
              </w:rPr>
              <w:t>after applying clause 2.</w:t>
            </w:r>
            <w:r w:rsidR="00A1482A">
              <w:rPr>
                <w:rFonts w:asciiTheme="minorHAnsi" w:hAnsiTheme="minorHAnsi" w:cs="Arial"/>
                <w:lang w:eastAsia="en-NZ"/>
              </w:rPr>
              <w:t>3</w:t>
            </w:r>
            <w:r w:rsidRPr="002F2828">
              <w:rPr>
                <w:rFonts w:asciiTheme="minorHAnsi" w:hAnsiTheme="minorHAnsi" w:cs="Arial"/>
                <w:lang w:eastAsia="en-NZ"/>
              </w:rPr>
              <w:t>.</w:t>
            </w:r>
            <w:r w:rsidR="00A1482A">
              <w:rPr>
                <w:rFonts w:asciiTheme="minorHAnsi" w:hAnsiTheme="minorHAnsi" w:cs="Arial"/>
                <w:lang w:eastAsia="en-NZ"/>
              </w:rPr>
              <w:t>6</w:t>
            </w:r>
            <w:r w:rsidRPr="002F2828">
              <w:rPr>
                <w:rFonts w:asciiTheme="minorHAnsi" w:hAnsiTheme="minorHAnsi" w:cs="Arial"/>
                <w:lang w:eastAsia="en-NZ"/>
              </w:rPr>
              <w:t xml:space="preserve"> of the </w:t>
            </w:r>
            <w:r w:rsidRPr="002F2828">
              <w:rPr>
                <w:rFonts w:asciiTheme="minorHAnsi" w:hAnsiTheme="minorHAnsi" w:cs="Arial"/>
                <w:b/>
                <w:bCs/>
                <w:lang w:eastAsia="en-NZ"/>
              </w:rPr>
              <w:t xml:space="preserve">IM determination </w:t>
            </w:r>
          </w:p>
        </w:tc>
      </w:tr>
      <w:tr w:rsidR="008B2B63" w:rsidRPr="002F2828" w:rsidTr="00A03DC6">
        <w:tc>
          <w:tcPr>
            <w:tcW w:w="3510" w:type="dxa"/>
          </w:tcPr>
          <w:p w:rsidR="008B2B63" w:rsidRPr="002F2828" w:rsidRDefault="008B2B63" w:rsidP="00AE0D10">
            <w:pPr>
              <w:pStyle w:val="BodyText"/>
              <w:spacing w:line="264" w:lineRule="auto"/>
              <w:rPr>
                <w:rFonts w:asciiTheme="minorHAnsi" w:hAnsiTheme="minorHAnsi" w:cs="Arial"/>
                <w:b/>
                <w:bCs/>
                <w:lang w:eastAsia="en-NZ"/>
              </w:rPr>
            </w:pPr>
            <w:r w:rsidRPr="002F2828">
              <w:rPr>
                <w:rFonts w:asciiTheme="minorHAnsi" w:hAnsiTheme="minorHAnsi"/>
                <w:b/>
              </w:rPr>
              <w:t>Other assets</w:t>
            </w:r>
          </w:p>
        </w:tc>
        <w:tc>
          <w:tcPr>
            <w:tcW w:w="4882" w:type="dxa"/>
          </w:tcPr>
          <w:p w:rsidR="008B2B63" w:rsidRPr="002F2828" w:rsidRDefault="00A42C18" w:rsidP="00A805FA">
            <w:pPr>
              <w:tabs>
                <w:tab w:val="left" w:pos="601"/>
                <w:tab w:val="left" w:pos="1026"/>
                <w:tab w:val="left" w:pos="1451"/>
              </w:tabs>
              <w:spacing w:line="264" w:lineRule="auto"/>
              <w:rPr>
                <w:rFonts w:asciiTheme="minorHAnsi" w:hAnsiTheme="minorHAnsi" w:cs="Arial"/>
                <w:b/>
                <w:lang w:eastAsia="en-NZ"/>
              </w:rPr>
            </w:pPr>
            <w:r w:rsidRPr="002F2828">
              <w:rPr>
                <w:rFonts w:asciiTheme="minorHAnsi" w:hAnsiTheme="minorHAnsi"/>
              </w:rPr>
              <w:t xml:space="preserve">means assets used by the </w:t>
            </w:r>
            <w:r w:rsidRPr="002F2828">
              <w:rPr>
                <w:rFonts w:asciiTheme="minorHAnsi" w:hAnsiTheme="minorHAnsi"/>
                <w:b/>
              </w:rPr>
              <w:t>GDB</w:t>
            </w:r>
            <w:r w:rsidRPr="002F2828">
              <w:rPr>
                <w:rFonts w:asciiTheme="minorHAnsi" w:hAnsiTheme="minorHAnsi"/>
              </w:rPr>
              <w:t xml:space="preserve"> to provide </w:t>
            </w:r>
            <w:r w:rsidRPr="002F2828">
              <w:rPr>
                <w:rFonts w:asciiTheme="minorHAnsi" w:hAnsiTheme="minorHAnsi"/>
                <w:b/>
              </w:rPr>
              <w:t xml:space="preserve">gas distribution services </w:t>
            </w:r>
            <w:r w:rsidRPr="002F2828">
              <w:rPr>
                <w:rFonts w:asciiTheme="minorHAnsi" w:hAnsiTheme="minorHAnsi"/>
              </w:rPr>
              <w:t xml:space="preserve">and which are not </w:t>
            </w:r>
            <w:r w:rsidR="00A805FA" w:rsidRPr="00263BC8">
              <w:rPr>
                <w:rFonts w:cs="Arial"/>
                <w:b/>
                <w:lang w:eastAsia="en-NZ"/>
              </w:rPr>
              <w:t>intermediate pressure main pipelines</w:t>
            </w:r>
            <w:r w:rsidR="00A805FA">
              <w:rPr>
                <w:rFonts w:cs="Arial"/>
                <w:lang w:eastAsia="en-NZ"/>
              </w:rPr>
              <w:t xml:space="preserve">, </w:t>
            </w:r>
            <w:r w:rsidR="00A805FA" w:rsidRPr="00263BC8">
              <w:rPr>
                <w:rFonts w:cs="Arial"/>
                <w:b/>
                <w:lang w:eastAsia="en-NZ"/>
              </w:rPr>
              <w:t>medium pressure main pipelines</w:t>
            </w:r>
            <w:r w:rsidR="00A805FA">
              <w:rPr>
                <w:rFonts w:cs="Arial"/>
                <w:lang w:eastAsia="en-NZ"/>
              </w:rPr>
              <w:t xml:space="preserve">, </w:t>
            </w:r>
            <w:r w:rsidR="00A805FA" w:rsidRPr="00263BC8">
              <w:rPr>
                <w:rFonts w:cs="Arial"/>
                <w:b/>
                <w:lang w:eastAsia="en-NZ"/>
              </w:rPr>
              <w:t>low pressure main pipelines</w:t>
            </w:r>
            <w:r w:rsidR="00A805FA">
              <w:rPr>
                <w:rFonts w:cs="Arial"/>
                <w:lang w:eastAsia="en-NZ"/>
              </w:rPr>
              <w:t xml:space="preserve">, </w:t>
            </w:r>
            <w:r w:rsidR="00A805FA" w:rsidRPr="00263BC8">
              <w:rPr>
                <w:rFonts w:cs="Arial"/>
                <w:b/>
                <w:lang w:eastAsia="en-NZ"/>
              </w:rPr>
              <w:t>service pipelines</w:t>
            </w:r>
            <w:r w:rsidR="00A805FA">
              <w:rPr>
                <w:rFonts w:cs="Arial"/>
                <w:lang w:eastAsia="en-NZ"/>
              </w:rPr>
              <w:t xml:space="preserve">, </w:t>
            </w:r>
            <w:r w:rsidR="00A805FA" w:rsidRPr="00263BC8">
              <w:rPr>
                <w:rFonts w:cs="Arial"/>
                <w:b/>
                <w:lang w:eastAsia="en-NZ"/>
              </w:rPr>
              <w:t>stations</w:t>
            </w:r>
            <w:r w:rsidR="00A805FA">
              <w:rPr>
                <w:rFonts w:cs="Arial"/>
                <w:lang w:eastAsia="en-NZ"/>
              </w:rPr>
              <w:t xml:space="preserve">, </w:t>
            </w:r>
            <w:r w:rsidR="00A805FA" w:rsidRPr="00263BC8">
              <w:rPr>
                <w:rFonts w:cs="Arial"/>
                <w:b/>
                <w:lang w:eastAsia="en-NZ"/>
              </w:rPr>
              <w:t>line valves</w:t>
            </w:r>
            <w:r w:rsidR="00A805FA">
              <w:rPr>
                <w:rFonts w:cs="Arial"/>
                <w:lang w:eastAsia="en-NZ"/>
              </w:rPr>
              <w:t xml:space="preserve">, </w:t>
            </w:r>
            <w:r w:rsidR="00A805FA" w:rsidRPr="00263BC8">
              <w:rPr>
                <w:rFonts w:cs="Arial"/>
                <w:b/>
                <w:lang w:eastAsia="en-NZ"/>
              </w:rPr>
              <w:t>special crossings</w:t>
            </w:r>
            <w:r w:rsidR="00A805FA">
              <w:rPr>
                <w:rFonts w:asciiTheme="minorHAnsi" w:hAnsiTheme="minorHAnsi"/>
                <w:b/>
              </w:rPr>
              <w:t xml:space="preserve">, </w:t>
            </w:r>
            <w:r w:rsidRPr="002F2828">
              <w:rPr>
                <w:rFonts w:asciiTheme="minorHAnsi" w:hAnsiTheme="minorHAnsi"/>
              </w:rPr>
              <w:t xml:space="preserve">or </w:t>
            </w:r>
            <w:r w:rsidRPr="002F2828">
              <w:rPr>
                <w:rFonts w:asciiTheme="minorHAnsi" w:hAnsiTheme="minorHAnsi"/>
                <w:b/>
              </w:rPr>
              <w:t>other system fixed assets</w:t>
            </w:r>
          </w:p>
        </w:tc>
      </w:tr>
      <w:tr w:rsidR="008B2B63" w:rsidRPr="002F2828" w:rsidTr="00A03DC6">
        <w:tc>
          <w:tcPr>
            <w:tcW w:w="3510" w:type="dxa"/>
          </w:tcPr>
          <w:p w:rsidR="008B2B63" w:rsidRPr="002F2828" w:rsidRDefault="008B2B63" w:rsidP="00AE0D10">
            <w:pPr>
              <w:pStyle w:val="BodyText"/>
              <w:spacing w:line="264" w:lineRule="auto"/>
              <w:rPr>
                <w:rFonts w:asciiTheme="minorHAnsi" w:hAnsiTheme="minorHAnsi" w:cs="Arial"/>
                <w:b/>
                <w:bCs/>
                <w:lang w:eastAsia="en-NZ"/>
              </w:rPr>
            </w:pPr>
            <w:r w:rsidRPr="002F2828">
              <w:rPr>
                <w:rFonts w:asciiTheme="minorHAnsi" w:hAnsiTheme="minorHAnsi" w:cs="Arial"/>
                <w:b/>
                <w:bCs/>
                <w:lang w:eastAsia="en-NZ"/>
              </w:rPr>
              <w:t>Other regulated income</w:t>
            </w:r>
          </w:p>
        </w:tc>
        <w:tc>
          <w:tcPr>
            <w:tcW w:w="4882" w:type="dxa"/>
          </w:tcPr>
          <w:p w:rsidR="008B2B63" w:rsidRPr="002F2828" w:rsidRDefault="008B2B63" w:rsidP="00AE0D10">
            <w:pPr>
              <w:tabs>
                <w:tab w:val="left" w:pos="601"/>
                <w:tab w:val="left" w:pos="1026"/>
                <w:tab w:val="left" w:pos="1451"/>
              </w:tabs>
              <w:spacing w:line="264" w:lineRule="auto"/>
              <w:rPr>
                <w:rFonts w:asciiTheme="minorHAnsi" w:hAnsiTheme="minorHAnsi" w:cs="Arial"/>
                <w:lang w:eastAsia="en-NZ"/>
              </w:rPr>
            </w:pPr>
            <w:r w:rsidRPr="002F2828">
              <w:rPr>
                <w:rFonts w:asciiTheme="minorHAnsi" w:hAnsiTheme="minorHAnsi" w:cs="Arial"/>
                <w:lang w:eastAsia="en-NZ"/>
              </w:rPr>
              <w:t xml:space="preserve">has the meaning set out in the </w:t>
            </w:r>
            <w:r w:rsidRPr="002F2828">
              <w:rPr>
                <w:rFonts w:asciiTheme="minorHAnsi" w:hAnsiTheme="minorHAnsi" w:cs="Arial"/>
                <w:b/>
                <w:lang w:eastAsia="en-NZ"/>
              </w:rPr>
              <w:t>IM determination</w:t>
            </w:r>
            <w:r w:rsidRPr="002F2828">
              <w:rPr>
                <w:rFonts w:asciiTheme="minorHAnsi" w:hAnsiTheme="minorHAnsi" w:cs="Arial"/>
                <w:lang w:eastAsia="en-NZ"/>
              </w:rPr>
              <w:t>;</w:t>
            </w:r>
          </w:p>
        </w:tc>
      </w:tr>
      <w:tr w:rsidR="00263BC8" w:rsidRPr="002F2828" w:rsidTr="00A03DC6">
        <w:tc>
          <w:tcPr>
            <w:tcW w:w="3510" w:type="dxa"/>
          </w:tcPr>
          <w:p w:rsidR="00263BC8" w:rsidRPr="002F2828" w:rsidRDefault="00263BC8" w:rsidP="00AE0D10">
            <w:pPr>
              <w:pStyle w:val="BodyText"/>
              <w:spacing w:line="264" w:lineRule="auto"/>
              <w:rPr>
                <w:rFonts w:asciiTheme="minorHAnsi" w:hAnsiTheme="minorHAnsi"/>
                <w:b/>
              </w:rPr>
            </w:pPr>
            <w:r w:rsidRPr="002F2828">
              <w:rPr>
                <w:rFonts w:asciiTheme="minorHAnsi" w:hAnsiTheme="minorHAnsi"/>
                <w:b/>
              </w:rPr>
              <w:t>Other system fixed assets</w:t>
            </w:r>
          </w:p>
        </w:tc>
        <w:tc>
          <w:tcPr>
            <w:tcW w:w="4882" w:type="dxa"/>
          </w:tcPr>
          <w:p w:rsidR="00263BC8" w:rsidRPr="006441E4" w:rsidRDefault="00263BC8" w:rsidP="00263BC8">
            <w:pPr>
              <w:tabs>
                <w:tab w:val="left" w:pos="601"/>
                <w:tab w:val="left" w:pos="1026"/>
                <w:tab w:val="left" w:pos="1451"/>
              </w:tabs>
              <w:spacing w:line="264" w:lineRule="auto"/>
              <w:rPr>
                <w:rFonts w:cs="Arial"/>
                <w:lang w:eastAsia="en-NZ"/>
              </w:rPr>
            </w:pPr>
            <w:r>
              <w:rPr>
                <w:rFonts w:cs="Arial"/>
                <w:lang w:eastAsia="en-NZ"/>
              </w:rPr>
              <w:t>m</w:t>
            </w:r>
            <w:r w:rsidRPr="00152D73">
              <w:rPr>
                <w:rFonts w:cs="Arial"/>
                <w:lang w:eastAsia="en-NZ"/>
              </w:rPr>
              <w:t xml:space="preserve">eans </w:t>
            </w:r>
            <w:r w:rsidRPr="002E1600">
              <w:rPr>
                <w:rFonts w:cs="Arial"/>
                <w:b/>
                <w:lang w:eastAsia="en-NZ"/>
              </w:rPr>
              <w:t>network</w:t>
            </w:r>
            <w:r>
              <w:rPr>
                <w:rFonts w:cs="Arial"/>
                <w:lang w:eastAsia="en-NZ"/>
              </w:rPr>
              <w:t xml:space="preserve"> </w:t>
            </w:r>
            <w:r w:rsidRPr="00152D73">
              <w:rPr>
                <w:rFonts w:cs="Arial"/>
                <w:lang w:eastAsia="en-NZ"/>
              </w:rPr>
              <w:t xml:space="preserve">assets used by the </w:t>
            </w:r>
            <w:r w:rsidRPr="00152D73">
              <w:rPr>
                <w:rFonts w:cs="Arial"/>
                <w:b/>
                <w:lang w:eastAsia="en-NZ"/>
              </w:rPr>
              <w:t>G</w:t>
            </w:r>
            <w:r>
              <w:rPr>
                <w:rFonts w:cs="Arial"/>
                <w:b/>
                <w:lang w:eastAsia="en-NZ"/>
              </w:rPr>
              <w:t>D</w:t>
            </w:r>
            <w:r w:rsidRPr="00152D73">
              <w:rPr>
                <w:rFonts w:cs="Arial"/>
                <w:b/>
                <w:lang w:eastAsia="en-NZ"/>
              </w:rPr>
              <w:t>B</w:t>
            </w:r>
            <w:r w:rsidRPr="00152D73">
              <w:rPr>
                <w:rFonts w:cs="Arial"/>
                <w:lang w:eastAsia="en-NZ"/>
              </w:rPr>
              <w:t xml:space="preserve"> to provide </w:t>
            </w:r>
            <w:r w:rsidRPr="00152D73">
              <w:rPr>
                <w:rFonts w:cs="Arial"/>
                <w:b/>
                <w:lang w:eastAsia="en-NZ"/>
              </w:rPr>
              <w:t>gas transmission services</w:t>
            </w:r>
            <w:r w:rsidRPr="00152D73">
              <w:rPr>
                <w:rFonts w:cs="Arial"/>
                <w:lang w:eastAsia="en-NZ"/>
              </w:rPr>
              <w:t xml:space="preserve"> that are </w:t>
            </w:r>
            <w:r>
              <w:rPr>
                <w:rFonts w:cs="Arial"/>
                <w:lang w:eastAsia="en-NZ"/>
              </w:rPr>
              <w:t xml:space="preserve">not </w:t>
            </w:r>
            <w:r w:rsidRPr="00263BC8">
              <w:rPr>
                <w:rFonts w:cs="Arial"/>
                <w:b/>
                <w:lang w:eastAsia="en-NZ"/>
              </w:rPr>
              <w:t>intermediate pressure main pipelines</w:t>
            </w:r>
            <w:r>
              <w:rPr>
                <w:rFonts w:cs="Arial"/>
                <w:lang w:eastAsia="en-NZ"/>
              </w:rPr>
              <w:t xml:space="preserve">, </w:t>
            </w:r>
            <w:r w:rsidRPr="00263BC8">
              <w:rPr>
                <w:rFonts w:cs="Arial"/>
                <w:b/>
                <w:lang w:eastAsia="en-NZ"/>
              </w:rPr>
              <w:t>medium pressure main pipelines</w:t>
            </w:r>
            <w:r>
              <w:rPr>
                <w:rFonts w:cs="Arial"/>
                <w:lang w:eastAsia="en-NZ"/>
              </w:rPr>
              <w:t xml:space="preserve">, </w:t>
            </w:r>
            <w:r w:rsidRPr="00263BC8">
              <w:rPr>
                <w:rFonts w:cs="Arial"/>
                <w:b/>
                <w:lang w:eastAsia="en-NZ"/>
              </w:rPr>
              <w:t>low pressure main pipelines</w:t>
            </w:r>
            <w:r>
              <w:rPr>
                <w:rFonts w:cs="Arial"/>
                <w:lang w:eastAsia="en-NZ"/>
              </w:rPr>
              <w:t xml:space="preserve">, </w:t>
            </w:r>
            <w:r w:rsidRPr="00263BC8">
              <w:rPr>
                <w:rFonts w:cs="Arial"/>
                <w:b/>
                <w:lang w:eastAsia="en-NZ"/>
              </w:rPr>
              <w:t>service pipelines</w:t>
            </w:r>
            <w:r>
              <w:rPr>
                <w:rFonts w:cs="Arial"/>
                <w:lang w:eastAsia="en-NZ"/>
              </w:rPr>
              <w:t xml:space="preserve">, </w:t>
            </w:r>
            <w:r w:rsidRPr="00263BC8">
              <w:rPr>
                <w:rFonts w:cs="Arial"/>
                <w:b/>
                <w:lang w:eastAsia="en-NZ"/>
              </w:rPr>
              <w:t>stations</w:t>
            </w:r>
            <w:r>
              <w:rPr>
                <w:rFonts w:cs="Arial"/>
                <w:lang w:eastAsia="en-NZ"/>
              </w:rPr>
              <w:t xml:space="preserve">, </w:t>
            </w:r>
            <w:r w:rsidRPr="00263BC8">
              <w:rPr>
                <w:rFonts w:cs="Arial"/>
                <w:b/>
                <w:lang w:eastAsia="en-NZ"/>
              </w:rPr>
              <w:t>line valves</w:t>
            </w:r>
            <w:r>
              <w:rPr>
                <w:rFonts w:cs="Arial"/>
                <w:lang w:eastAsia="en-NZ"/>
              </w:rPr>
              <w:t xml:space="preserve">, or </w:t>
            </w:r>
            <w:r w:rsidRPr="00263BC8">
              <w:rPr>
                <w:rFonts w:cs="Arial"/>
                <w:b/>
                <w:lang w:eastAsia="en-NZ"/>
              </w:rPr>
              <w:t>special crossings</w:t>
            </w:r>
          </w:p>
        </w:tc>
      </w:tr>
    </w:tbl>
    <w:p w:rsidR="003E69C4" w:rsidRPr="002F2828" w:rsidRDefault="003E69C4" w:rsidP="00AE0D10">
      <w:pPr>
        <w:pStyle w:val="Heading2"/>
        <w:spacing w:before="240" w:after="240" w:line="264" w:lineRule="auto"/>
        <w:jc w:val="center"/>
        <w:rPr>
          <w:rFonts w:asciiTheme="minorHAnsi" w:hAnsiTheme="minorHAnsi"/>
          <w:lang w:eastAsia="en-GB"/>
        </w:rPr>
      </w:pPr>
      <w:r w:rsidRPr="002F2828">
        <w:rPr>
          <w:rFonts w:asciiTheme="minorHAnsi" w:hAnsiTheme="minorHAnsi"/>
          <w:lang w:eastAsia="en-GB"/>
        </w:rPr>
        <w:t>P</w:t>
      </w:r>
    </w:p>
    <w:tbl>
      <w:tblPr>
        <w:tblStyle w:val="TableGrid"/>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00"/>
        <w:gridCol w:w="5292"/>
      </w:tblGrid>
      <w:tr w:rsidR="00066D2D" w:rsidRPr="002F2828" w:rsidTr="000E59D0">
        <w:tc>
          <w:tcPr>
            <w:tcW w:w="3100" w:type="dxa"/>
          </w:tcPr>
          <w:p w:rsidR="00066D2D" w:rsidRPr="002F2828" w:rsidRDefault="00066D2D" w:rsidP="00AE0D10">
            <w:pPr>
              <w:pStyle w:val="BodyText"/>
              <w:spacing w:line="264" w:lineRule="auto"/>
              <w:rPr>
                <w:rFonts w:asciiTheme="minorHAnsi" w:hAnsiTheme="minorHAnsi"/>
                <w:b/>
              </w:rPr>
            </w:pPr>
            <w:r w:rsidRPr="002F2828">
              <w:rPr>
                <w:rFonts w:asciiTheme="minorHAnsi" w:hAnsiTheme="minorHAnsi"/>
                <w:b/>
                <w:bCs/>
              </w:rPr>
              <w:t xml:space="preserve">Person </w:t>
            </w:r>
          </w:p>
        </w:tc>
        <w:tc>
          <w:tcPr>
            <w:tcW w:w="5292" w:type="dxa"/>
          </w:tcPr>
          <w:p w:rsidR="00066D2D" w:rsidRPr="002F2828" w:rsidRDefault="00FF0938" w:rsidP="006C69DE">
            <w:pPr>
              <w:pStyle w:val="BodyText"/>
              <w:spacing w:after="120" w:line="264" w:lineRule="auto"/>
              <w:rPr>
                <w:rFonts w:asciiTheme="minorHAnsi" w:hAnsiTheme="minorHAnsi"/>
              </w:rPr>
            </w:pPr>
            <w:r w:rsidRPr="002F2828">
              <w:rPr>
                <w:rFonts w:asciiTheme="minorHAnsi" w:hAnsiTheme="minorHAnsi"/>
              </w:rPr>
              <w:t xml:space="preserve">means </w:t>
            </w:r>
            <w:r w:rsidR="00066D2D" w:rsidRPr="002F2828">
              <w:rPr>
                <w:rFonts w:asciiTheme="minorHAnsi" w:hAnsiTheme="minorHAnsi"/>
              </w:rPr>
              <w:t xml:space="preserve">a natural person, a corporation sole, a body corporate </w:t>
            </w:r>
            <w:r w:rsidRPr="002F2828">
              <w:rPr>
                <w:rFonts w:asciiTheme="minorHAnsi" w:hAnsiTheme="minorHAnsi"/>
              </w:rPr>
              <w:t>or</w:t>
            </w:r>
            <w:r w:rsidR="00066D2D" w:rsidRPr="002F2828">
              <w:rPr>
                <w:rFonts w:asciiTheme="minorHAnsi" w:hAnsiTheme="minorHAnsi"/>
              </w:rPr>
              <w:t xml:space="preserve"> an unincorporated body</w:t>
            </w:r>
          </w:p>
        </w:tc>
      </w:tr>
      <w:tr w:rsidR="000E59D0" w:rsidRPr="002F2828" w:rsidTr="000E59D0">
        <w:tc>
          <w:tcPr>
            <w:tcW w:w="3100" w:type="dxa"/>
          </w:tcPr>
          <w:p w:rsidR="000E59D0" w:rsidRPr="002F2828" w:rsidRDefault="000E59D0" w:rsidP="000C09C5">
            <w:pPr>
              <w:pStyle w:val="Clausetextunnumbered"/>
            </w:pPr>
            <w:r w:rsidRPr="002F2828">
              <w:rPr>
                <w:rStyle w:val="Emphasis-Bold"/>
              </w:rPr>
              <w:t>Planned interruptio</w:t>
            </w:r>
            <w:r w:rsidRPr="002F2828">
              <w:t xml:space="preserve">n </w:t>
            </w:r>
          </w:p>
        </w:tc>
        <w:tc>
          <w:tcPr>
            <w:tcW w:w="5292" w:type="dxa"/>
          </w:tcPr>
          <w:p w:rsidR="000E59D0" w:rsidRPr="000E59D0" w:rsidRDefault="000E59D0" w:rsidP="00A472A3">
            <w:pPr>
              <w:pStyle w:val="BodyText"/>
            </w:pPr>
            <w:r w:rsidRPr="000E59D0">
              <w:rPr>
                <w:szCs w:val="20"/>
              </w:rPr>
              <w:t xml:space="preserve">means any </w:t>
            </w:r>
            <w:r w:rsidRPr="000E59D0">
              <w:rPr>
                <w:b/>
                <w:szCs w:val="20"/>
              </w:rPr>
              <w:t>interruption</w:t>
            </w:r>
            <w:r w:rsidRPr="000E59D0">
              <w:rPr>
                <w:szCs w:val="20"/>
              </w:rPr>
              <w:t xml:space="preserve"> in respect of which not less than 24 hours' notice was given, either to the public or to all gas consumers affected by the interruption</w:t>
            </w:r>
          </w:p>
        </w:tc>
      </w:tr>
      <w:tr w:rsidR="00671493" w:rsidRPr="002F2828" w:rsidTr="000E59D0">
        <w:tc>
          <w:tcPr>
            <w:tcW w:w="3100" w:type="dxa"/>
          </w:tcPr>
          <w:p w:rsidR="00671493" w:rsidRPr="002F2828" w:rsidRDefault="00671493" w:rsidP="00B73AF1">
            <w:pPr>
              <w:pStyle w:val="Subsection"/>
              <w:spacing w:line="264" w:lineRule="auto"/>
              <w:rPr>
                <w:rFonts w:asciiTheme="minorHAnsi" w:hAnsiTheme="minorHAnsi"/>
              </w:rPr>
            </w:pPr>
            <w:r w:rsidRPr="002F2828">
              <w:rPr>
                <w:rFonts w:asciiTheme="minorHAnsi" w:hAnsiTheme="minorHAnsi"/>
                <w:b/>
                <w:bCs/>
                <w:color w:val="000000"/>
                <w:lang w:val="en-US"/>
              </w:rPr>
              <w:t>Prescribed contract</w:t>
            </w:r>
          </w:p>
        </w:tc>
        <w:tc>
          <w:tcPr>
            <w:tcW w:w="5292" w:type="dxa"/>
          </w:tcPr>
          <w:p w:rsidR="00671493" w:rsidRPr="002F2828" w:rsidRDefault="00671493" w:rsidP="00B73AF1">
            <w:pPr>
              <w:pStyle w:val="Subsection"/>
              <w:spacing w:line="264" w:lineRule="auto"/>
              <w:rPr>
                <w:rFonts w:asciiTheme="minorHAnsi" w:hAnsiTheme="minorHAnsi"/>
                <w:color w:val="000000"/>
                <w:lang w:val="en-US"/>
              </w:rPr>
            </w:pPr>
            <w:r w:rsidRPr="002F2828">
              <w:rPr>
                <w:rFonts w:asciiTheme="minorHAnsi" w:hAnsiTheme="minorHAnsi"/>
                <w:color w:val="000000"/>
                <w:lang w:val="en-US"/>
              </w:rPr>
              <w:t xml:space="preserve">in relation to a </w:t>
            </w:r>
            <w:r w:rsidR="00FF0938" w:rsidRPr="002F2828">
              <w:rPr>
                <w:rFonts w:asciiTheme="minorHAnsi" w:hAnsiTheme="minorHAnsi"/>
                <w:b/>
                <w:bCs/>
                <w:color w:val="000000"/>
                <w:lang w:val="en-US"/>
              </w:rPr>
              <w:t>G</w:t>
            </w:r>
            <w:r w:rsidR="00D23B5C" w:rsidRPr="002F2828">
              <w:rPr>
                <w:rFonts w:asciiTheme="minorHAnsi" w:hAnsiTheme="minorHAnsi"/>
                <w:b/>
                <w:bCs/>
                <w:color w:val="000000"/>
                <w:lang w:val="en-US"/>
              </w:rPr>
              <w:t>D</w:t>
            </w:r>
            <w:r w:rsidR="00FF0938" w:rsidRPr="002F2828">
              <w:rPr>
                <w:rFonts w:asciiTheme="minorHAnsi" w:hAnsiTheme="minorHAnsi"/>
                <w:b/>
                <w:bCs/>
                <w:color w:val="000000"/>
                <w:lang w:val="en-US"/>
              </w:rPr>
              <w:t>B</w:t>
            </w:r>
            <w:r w:rsidRPr="002F2828">
              <w:rPr>
                <w:rFonts w:asciiTheme="minorHAnsi" w:hAnsiTheme="minorHAnsi"/>
                <w:color w:val="000000"/>
                <w:lang w:val="en-US"/>
              </w:rPr>
              <w:t>, means -</w:t>
            </w:r>
          </w:p>
          <w:p w:rsidR="00F56F86" w:rsidRDefault="00671493">
            <w:pPr>
              <w:pStyle w:val="HeadingH7ClausesubtextL3"/>
            </w:pPr>
            <w:r w:rsidRPr="002F2828">
              <w:t xml:space="preserve">a contract under which the </w:t>
            </w:r>
            <w:r w:rsidR="00FF0938" w:rsidRPr="002F2828">
              <w:rPr>
                <w:b/>
                <w:bCs/>
              </w:rPr>
              <w:t>G</w:t>
            </w:r>
            <w:r w:rsidR="00D23B5C" w:rsidRPr="002F2828">
              <w:rPr>
                <w:b/>
                <w:bCs/>
              </w:rPr>
              <w:t>D</w:t>
            </w:r>
            <w:r w:rsidR="00FF0938" w:rsidRPr="002F2828">
              <w:rPr>
                <w:b/>
                <w:bCs/>
              </w:rPr>
              <w:t>B</w:t>
            </w:r>
            <w:r w:rsidR="00FF0938" w:rsidRPr="002F2828">
              <w:t xml:space="preserve"> </w:t>
            </w:r>
            <w:r w:rsidR="002C4CDB">
              <w:t>supplies</w:t>
            </w:r>
            <w:r w:rsidRPr="002F2828">
              <w:t xml:space="preserve"> </w:t>
            </w:r>
            <w:r w:rsidR="00FF0938" w:rsidRPr="002F2828">
              <w:rPr>
                <w:b/>
              </w:rPr>
              <w:t>gas pipe</w:t>
            </w:r>
            <w:r w:rsidR="00975B40" w:rsidRPr="002F2828">
              <w:rPr>
                <w:b/>
              </w:rPr>
              <w:t>line services</w:t>
            </w:r>
            <w:r w:rsidRPr="002F2828">
              <w:t>:</w:t>
            </w:r>
          </w:p>
          <w:p w:rsidR="00F56F86" w:rsidRDefault="00671493">
            <w:pPr>
              <w:pStyle w:val="HeadingH7ClausesubtextL3"/>
            </w:pPr>
            <w:r w:rsidRPr="002F2828">
              <w:t xml:space="preserve">a contract for </w:t>
            </w:r>
            <w:r w:rsidRPr="002F2828">
              <w:rPr>
                <w:b/>
              </w:rPr>
              <w:t>related services</w:t>
            </w:r>
            <w:r w:rsidRPr="002F2828">
              <w:t xml:space="preserve">, if goods or services are to be supplied under the </w:t>
            </w:r>
            <w:r w:rsidRPr="002F2828">
              <w:rPr>
                <w:b/>
              </w:rPr>
              <w:t>contract</w:t>
            </w:r>
            <w:r w:rsidRPr="002F2828">
              <w:t xml:space="preserve"> by—</w:t>
            </w:r>
          </w:p>
          <w:p w:rsidR="005514F8" w:rsidRPr="002F2828" w:rsidRDefault="00671493" w:rsidP="00B73AF1">
            <w:pPr>
              <w:pStyle w:val="HeadingH6ClausesubtextL2"/>
              <w:numPr>
                <w:ilvl w:val="5"/>
                <w:numId w:val="39"/>
              </w:numPr>
              <w:tabs>
                <w:tab w:val="clear" w:pos="1702"/>
                <w:tab w:val="num" w:pos="884"/>
                <w:tab w:val="num" w:pos="3261"/>
              </w:tabs>
              <w:spacing w:after="0"/>
              <w:ind w:left="884" w:hanging="425"/>
              <w:outlineLvl w:val="9"/>
              <w:rPr>
                <w:rFonts w:asciiTheme="minorHAnsi" w:hAnsiTheme="minorHAnsi"/>
              </w:rPr>
            </w:pPr>
            <w:r w:rsidRPr="002F2828">
              <w:rPr>
                <w:rFonts w:asciiTheme="minorHAnsi" w:hAnsiTheme="minorHAnsi"/>
              </w:rPr>
              <w:t xml:space="preserve">the </w:t>
            </w:r>
            <w:r w:rsidR="00FF0938" w:rsidRPr="002F2828">
              <w:rPr>
                <w:rFonts w:asciiTheme="minorHAnsi" w:hAnsiTheme="minorHAnsi"/>
                <w:b/>
                <w:bCs/>
              </w:rPr>
              <w:t>G</w:t>
            </w:r>
            <w:r w:rsidR="00D23B5C" w:rsidRPr="002F2828">
              <w:rPr>
                <w:rFonts w:asciiTheme="minorHAnsi" w:hAnsiTheme="minorHAnsi"/>
                <w:b/>
                <w:bCs/>
              </w:rPr>
              <w:t>D</w:t>
            </w:r>
            <w:r w:rsidR="00FF0938" w:rsidRPr="002F2828">
              <w:rPr>
                <w:rFonts w:asciiTheme="minorHAnsi" w:hAnsiTheme="minorHAnsi"/>
                <w:b/>
                <w:bCs/>
              </w:rPr>
              <w:t>B</w:t>
            </w:r>
            <w:r w:rsidRPr="002F2828">
              <w:rPr>
                <w:rFonts w:asciiTheme="minorHAnsi" w:hAnsiTheme="minorHAnsi"/>
              </w:rPr>
              <w:t>; or</w:t>
            </w:r>
          </w:p>
          <w:p w:rsidR="005514F8" w:rsidRPr="002F2828" w:rsidRDefault="00671493" w:rsidP="00B73AF1">
            <w:pPr>
              <w:pStyle w:val="HeadingH6ClausesubtextL2"/>
              <w:numPr>
                <w:ilvl w:val="5"/>
                <w:numId w:val="39"/>
              </w:numPr>
              <w:tabs>
                <w:tab w:val="clear" w:pos="1702"/>
                <w:tab w:val="num" w:pos="884"/>
                <w:tab w:val="num" w:pos="3261"/>
              </w:tabs>
              <w:spacing w:after="0"/>
              <w:ind w:left="884" w:hanging="425"/>
              <w:outlineLvl w:val="9"/>
              <w:rPr>
                <w:rFonts w:asciiTheme="minorHAnsi" w:hAnsiTheme="minorHAnsi"/>
              </w:rPr>
            </w:pPr>
            <w:r w:rsidRPr="002F2828">
              <w:rPr>
                <w:rFonts w:asciiTheme="minorHAnsi" w:hAnsiTheme="minorHAnsi"/>
              </w:rPr>
              <w:t xml:space="preserve">a </w:t>
            </w:r>
            <w:r w:rsidR="00FF0938" w:rsidRPr="002F2828">
              <w:rPr>
                <w:rFonts w:asciiTheme="minorHAnsi" w:hAnsiTheme="minorHAnsi"/>
                <w:b/>
              </w:rPr>
              <w:t>p</w:t>
            </w:r>
            <w:r w:rsidRPr="002F2828">
              <w:rPr>
                <w:rFonts w:asciiTheme="minorHAnsi" w:hAnsiTheme="minorHAnsi"/>
                <w:b/>
              </w:rPr>
              <w:t>erson</w:t>
            </w:r>
            <w:r w:rsidRPr="002F2828">
              <w:rPr>
                <w:rFonts w:asciiTheme="minorHAnsi" w:hAnsiTheme="minorHAnsi"/>
              </w:rPr>
              <w:t xml:space="preserve"> that is</w:t>
            </w:r>
            <w:r w:rsidR="003F0A7B">
              <w:rPr>
                <w:rFonts w:asciiTheme="minorHAnsi" w:hAnsiTheme="minorHAnsi"/>
              </w:rPr>
              <w:t xml:space="preserve"> a related party of </w:t>
            </w:r>
            <w:r w:rsidRPr="002F2828">
              <w:rPr>
                <w:rFonts w:asciiTheme="minorHAnsi" w:hAnsiTheme="minorHAnsi"/>
              </w:rPr>
              <w:t xml:space="preserve">the </w:t>
            </w:r>
            <w:r w:rsidR="00FF0938" w:rsidRPr="002F2828">
              <w:rPr>
                <w:rFonts w:asciiTheme="minorHAnsi" w:hAnsiTheme="minorHAnsi"/>
                <w:b/>
                <w:bCs/>
              </w:rPr>
              <w:t>G</w:t>
            </w:r>
            <w:r w:rsidR="00D23B5C" w:rsidRPr="002F2828">
              <w:rPr>
                <w:rFonts w:asciiTheme="minorHAnsi" w:hAnsiTheme="minorHAnsi"/>
                <w:b/>
                <w:bCs/>
              </w:rPr>
              <w:t>D</w:t>
            </w:r>
            <w:r w:rsidR="00FF0938" w:rsidRPr="002F2828">
              <w:rPr>
                <w:rFonts w:asciiTheme="minorHAnsi" w:hAnsiTheme="minorHAnsi"/>
                <w:b/>
                <w:bCs/>
              </w:rPr>
              <w:t>B</w:t>
            </w:r>
            <w:r w:rsidRPr="002F2828">
              <w:rPr>
                <w:rFonts w:asciiTheme="minorHAnsi" w:hAnsiTheme="minorHAnsi"/>
              </w:rPr>
              <w:t>; or</w:t>
            </w:r>
          </w:p>
          <w:p w:rsidR="005514F8" w:rsidRPr="002F2828" w:rsidRDefault="00671493" w:rsidP="00B73AF1">
            <w:pPr>
              <w:pStyle w:val="HeadingH6ClausesubtextL2"/>
              <w:numPr>
                <w:ilvl w:val="5"/>
                <w:numId w:val="39"/>
              </w:numPr>
              <w:tabs>
                <w:tab w:val="clear" w:pos="1702"/>
                <w:tab w:val="num" w:pos="884"/>
                <w:tab w:val="num" w:pos="3261"/>
              </w:tabs>
              <w:spacing w:after="0"/>
              <w:ind w:left="884" w:hanging="425"/>
              <w:outlineLvl w:val="9"/>
              <w:rPr>
                <w:rFonts w:asciiTheme="minorHAnsi" w:hAnsiTheme="minorHAnsi" w:cs="Arial"/>
                <w:lang w:eastAsia="en-NZ"/>
              </w:rPr>
            </w:pPr>
            <w:r w:rsidRPr="002F2828">
              <w:rPr>
                <w:rFonts w:asciiTheme="minorHAnsi" w:hAnsiTheme="minorHAnsi"/>
              </w:rPr>
              <w:t xml:space="preserve">a </w:t>
            </w:r>
            <w:r w:rsidR="00FF0938" w:rsidRPr="002F2828">
              <w:rPr>
                <w:rFonts w:asciiTheme="minorHAnsi" w:hAnsiTheme="minorHAnsi"/>
                <w:b/>
              </w:rPr>
              <w:t>p</w:t>
            </w:r>
            <w:r w:rsidRPr="002F2828">
              <w:rPr>
                <w:rFonts w:asciiTheme="minorHAnsi" w:hAnsiTheme="minorHAnsi"/>
                <w:b/>
              </w:rPr>
              <w:t>erson</w:t>
            </w:r>
            <w:r w:rsidRPr="002F2828">
              <w:rPr>
                <w:rFonts w:asciiTheme="minorHAnsi" w:hAnsiTheme="minorHAnsi"/>
              </w:rPr>
              <w:t xml:space="preserve"> that </w:t>
            </w:r>
            <w:r w:rsidR="003D3FE6" w:rsidRPr="002F2828">
              <w:rPr>
                <w:rFonts w:asciiTheme="minorHAnsi" w:hAnsiTheme="minorHAnsi"/>
              </w:rPr>
              <w:t>carries out gas pipe</w:t>
            </w:r>
            <w:r w:rsidRPr="002F2828">
              <w:rPr>
                <w:rFonts w:asciiTheme="minorHAnsi" w:hAnsiTheme="minorHAnsi"/>
              </w:rPr>
              <w:t xml:space="preserve">line services by means of </w:t>
            </w:r>
            <w:r w:rsidR="003D3FE6" w:rsidRPr="002F2828">
              <w:rPr>
                <w:rFonts w:asciiTheme="minorHAnsi" w:hAnsiTheme="minorHAnsi"/>
              </w:rPr>
              <w:t xml:space="preserve">a </w:t>
            </w:r>
            <w:r w:rsidR="003D3FE6" w:rsidRPr="002F2828">
              <w:rPr>
                <w:rFonts w:asciiTheme="minorHAnsi" w:hAnsiTheme="minorHAnsi"/>
                <w:b/>
              </w:rPr>
              <w:t xml:space="preserve">system </w:t>
            </w:r>
            <w:r w:rsidR="003D3FE6" w:rsidRPr="002F2828">
              <w:rPr>
                <w:rFonts w:asciiTheme="minorHAnsi" w:hAnsiTheme="minorHAnsi"/>
              </w:rPr>
              <w:t xml:space="preserve">that is </w:t>
            </w:r>
            <w:r w:rsidRPr="002F2828">
              <w:rPr>
                <w:rFonts w:asciiTheme="minorHAnsi" w:hAnsiTheme="minorHAnsi"/>
              </w:rPr>
              <w:t xml:space="preserve">owned by the </w:t>
            </w:r>
            <w:r w:rsidR="00FF0938" w:rsidRPr="002F2828">
              <w:rPr>
                <w:rFonts w:asciiTheme="minorHAnsi" w:hAnsiTheme="minorHAnsi"/>
                <w:b/>
                <w:bCs/>
              </w:rPr>
              <w:t>G</w:t>
            </w:r>
            <w:r w:rsidR="00D23B5C" w:rsidRPr="002F2828">
              <w:rPr>
                <w:rFonts w:asciiTheme="minorHAnsi" w:hAnsiTheme="minorHAnsi"/>
                <w:b/>
                <w:bCs/>
              </w:rPr>
              <w:t>D</w:t>
            </w:r>
            <w:r w:rsidR="00FF0938" w:rsidRPr="002F2828">
              <w:rPr>
                <w:rFonts w:asciiTheme="minorHAnsi" w:hAnsiTheme="minorHAnsi"/>
                <w:b/>
                <w:bCs/>
              </w:rPr>
              <w:t>B</w:t>
            </w:r>
            <w:r w:rsidRPr="002F2828">
              <w:rPr>
                <w:rFonts w:asciiTheme="minorHAnsi" w:hAnsiTheme="minorHAnsi"/>
              </w:rPr>
              <w:t>; or</w:t>
            </w:r>
          </w:p>
          <w:p w:rsidR="005514F8" w:rsidRPr="002F2828" w:rsidRDefault="00671493" w:rsidP="003F0A7B">
            <w:pPr>
              <w:pStyle w:val="HeadingH6ClausesubtextL2"/>
              <w:numPr>
                <w:ilvl w:val="5"/>
                <w:numId w:val="39"/>
              </w:numPr>
              <w:tabs>
                <w:tab w:val="clear" w:pos="1702"/>
                <w:tab w:val="num" w:pos="884"/>
                <w:tab w:val="num" w:pos="3261"/>
              </w:tabs>
              <w:spacing w:after="0"/>
              <w:ind w:left="884" w:hanging="425"/>
              <w:outlineLvl w:val="9"/>
              <w:rPr>
                <w:rFonts w:asciiTheme="minorHAnsi" w:hAnsiTheme="minorHAnsi" w:cs="Arial"/>
                <w:lang w:eastAsia="en-NZ"/>
              </w:rPr>
            </w:pPr>
            <w:r w:rsidRPr="002F2828">
              <w:rPr>
                <w:rFonts w:asciiTheme="minorHAnsi" w:hAnsiTheme="minorHAnsi"/>
              </w:rPr>
              <w:t xml:space="preserve">a </w:t>
            </w:r>
            <w:r w:rsidR="003D3FE6" w:rsidRPr="002F2828">
              <w:rPr>
                <w:rFonts w:asciiTheme="minorHAnsi" w:hAnsiTheme="minorHAnsi"/>
                <w:b/>
              </w:rPr>
              <w:t>p</w:t>
            </w:r>
            <w:r w:rsidRPr="002F2828">
              <w:rPr>
                <w:rFonts w:asciiTheme="minorHAnsi" w:hAnsiTheme="minorHAnsi"/>
                <w:b/>
              </w:rPr>
              <w:t>erson</w:t>
            </w:r>
            <w:r w:rsidRPr="002F2828">
              <w:rPr>
                <w:rFonts w:asciiTheme="minorHAnsi" w:hAnsiTheme="minorHAnsi"/>
              </w:rPr>
              <w:t xml:space="preserve"> that is</w:t>
            </w:r>
            <w:r w:rsidR="003F0A7B">
              <w:rPr>
                <w:rFonts w:asciiTheme="minorHAnsi" w:hAnsiTheme="minorHAnsi"/>
              </w:rPr>
              <w:t xml:space="preserve"> a related party of</w:t>
            </w:r>
            <w:r w:rsidRPr="002F2828">
              <w:rPr>
                <w:rFonts w:asciiTheme="minorHAnsi" w:hAnsiTheme="minorHAnsi"/>
              </w:rPr>
              <w:t xml:space="preserve"> a </w:t>
            </w:r>
            <w:r w:rsidR="003D3FE6" w:rsidRPr="002F2828">
              <w:rPr>
                <w:rFonts w:asciiTheme="minorHAnsi" w:hAnsiTheme="minorHAnsi"/>
                <w:b/>
              </w:rPr>
              <w:t>p</w:t>
            </w:r>
            <w:r w:rsidRPr="002F2828">
              <w:rPr>
                <w:rFonts w:asciiTheme="minorHAnsi" w:hAnsiTheme="minorHAnsi"/>
                <w:b/>
              </w:rPr>
              <w:t>erson</w:t>
            </w:r>
            <w:r w:rsidRPr="002F2828">
              <w:rPr>
                <w:rFonts w:asciiTheme="minorHAnsi" w:hAnsiTheme="minorHAnsi"/>
              </w:rPr>
              <w:t xml:space="preserve"> of the kind referred to in subparagraph (iii</w:t>
            </w:r>
            <w:r w:rsidRPr="002F2828">
              <w:rPr>
                <w:rStyle w:val="CommentReference"/>
                <w:rFonts w:asciiTheme="minorHAnsi" w:hAnsiTheme="minorHAnsi" w:cs="Times"/>
                <w:sz w:val="24"/>
                <w:szCs w:val="24"/>
              </w:rPr>
              <w:t> </w:t>
            </w:r>
            <w:r w:rsidRPr="002F2828">
              <w:rPr>
                <w:rFonts w:asciiTheme="minorHAnsi" w:hAnsiTheme="minorHAnsi"/>
              </w:rPr>
              <w:t>)</w:t>
            </w:r>
          </w:p>
        </w:tc>
      </w:tr>
      <w:tr w:rsidR="00975B40" w:rsidRPr="002F2828" w:rsidTr="000E59D0">
        <w:tc>
          <w:tcPr>
            <w:tcW w:w="3100" w:type="dxa"/>
          </w:tcPr>
          <w:p w:rsidR="00975B40" w:rsidRPr="002F2828" w:rsidRDefault="00975B40" w:rsidP="00AE0D10">
            <w:pPr>
              <w:pStyle w:val="BodyText"/>
              <w:spacing w:line="264" w:lineRule="auto"/>
              <w:rPr>
                <w:rFonts w:asciiTheme="minorHAnsi" w:hAnsiTheme="minorHAnsi" w:cs="Arial"/>
                <w:b/>
                <w:bCs/>
                <w:lang w:eastAsia="en-NZ"/>
              </w:rPr>
            </w:pPr>
            <w:r w:rsidRPr="002F2828">
              <w:rPr>
                <w:rFonts w:asciiTheme="minorHAnsi" w:hAnsiTheme="minorHAnsi"/>
                <w:b/>
                <w:bCs/>
                <w:color w:val="000000"/>
                <w:lang w:val="en-US"/>
              </w:rPr>
              <w:t>Prescribed terms and conditions</w:t>
            </w:r>
          </w:p>
        </w:tc>
        <w:tc>
          <w:tcPr>
            <w:tcW w:w="5292" w:type="dxa"/>
          </w:tcPr>
          <w:p w:rsidR="00975B40" w:rsidRPr="002F2828" w:rsidRDefault="00975B40" w:rsidP="00AE0D10">
            <w:pPr>
              <w:pStyle w:val="Subsection"/>
              <w:spacing w:line="264" w:lineRule="auto"/>
              <w:rPr>
                <w:rFonts w:asciiTheme="minorHAnsi" w:hAnsiTheme="minorHAnsi"/>
                <w:color w:val="000000"/>
                <w:lang w:val="en-US"/>
              </w:rPr>
            </w:pPr>
            <w:r w:rsidRPr="002F2828">
              <w:rPr>
                <w:rFonts w:asciiTheme="minorHAnsi" w:hAnsiTheme="minorHAnsi"/>
                <w:color w:val="000000"/>
                <w:lang w:val="en-US"/>
              </w:rPr>
              <w:t>means</w:t>
            </w:r>
            <w:r w:rsidRPr="002F2828">
              <w:rPr>
                <w:rFonts w:asciiTheme="minorHAnsi" w:hAnsiTheme="minorHAnsi"/>
                <w:bCs/>
                <w:color w:val="000000"/>
                <w:lang w:val="en-US"/>
              </w:rPr>
              <w:t xml:space="preserve">, </w:t>
            </w:r>
            <w:r w:rsidRPr="002F2828">
              <w:rPr>
                <w:rFonts w:asciiTheme="minorHAnsi" w:hAnsiTheme="minorHAnsi"/>
                <w:color w:val="000000"/>
                <w:lang w:val="en-US"/>
              </w:rPr>
              <w:t xml:space="preserve">in relation to a </w:t>
            </w:r>
            <w:r w:rsidRPr="002F2828">
              <w:rPr>
                <w:rFonts w:asciiTheme="minorHAnsi" w:hAnsiTheme="minorHAnsi"/>
                <w:b/>
                <w:color w:val="000000"/>
                <w:lang w:val="en-US"/>
              </w:rPr>
              <w:t xml:space="preserve">contract </w:t>
            </w:r>
            <w:r w:rsidRPr="002F2828">
              <w:rPr>
                <w:rFonts w:asciiTheme="minorHAnsi" w:hAnsiTheme="minorHAnsi"/>
                <w:color w:val="000000"/>
                <w:lang w:val="en-US"/>
              </w:rPr>
              <w:t xml:space="preserve">for the </w:t>
            </w:r>
            <w:r w:rsidR="002C4CDB">
              <w:rPr>
                <w:rFonts w:asciiTheme="minorHAnsi" w:hAnsiTheme="minorHAnsi"/>
                <w:color w:val="000000"/>
                <w:lang w:val="en-US"/>
              </w:rPr>
              <w:t xml:space="preserve">supply </w:t>
            </w:r>
            <w:r w:rsidRPr="002F2828">
              <w:rPr>
                <w:rFonts w:asciiTheme="minorHAnsi" w:hAnsiTheme="minorHAnsi"/>
                <w:color w:val="000000"/>
                <w:lang w:val="en-US"/>
              </w:rPr>
              <w:t xml:space="preserve">of </w:t>
            </w:r>
            <w:r w:rsidR="00BC0147" w:rsidRPr="00BC0147">
              <w:rPr>
                <w:rFonts w:asciiTheme="minorHAnsi" w:hAnsiTheme="minorHAnsi"/>
                <w:b/>
              </w:rPr>
              <w:t>gas pipeline service</w:t>
            </w:r>
            <w:r w:rsidRPr="002F2828">
              <w:rPr>
                <w:rFonts w:asciiTheme="minorHAnsi" w:hAnsiTheme="minorHAnsi"/>
                <w:b/>
              </w:rPr>
              <w:t>s</w:t>
            </w:r>
            <w:r w:rsidRPr="002F2828">
              <w:rPr>
                <w:rFonts w:asciiTheme="minorHAnsi" w:hAnsiTheme="minorHAnsi"/>
                <w:color w:val="000000"/>
                <w:lang w:val="en-US"/>
              </w:rPr>
              <w:t>, the terms and conditions of the contract that—</w:t>
            </w:r>
          </w:p>
          <w:p w:rsidR="005514F8" w:rsidRPr="002F2828" w:rsidRDefault="00975B40" w:rsidP="00F82684">
            <w:pPr>
              <w:pStyle w:val="HeadingH6ClausesubtextL2"/>
              <w:numPr>
                <w:ilvl w:val="5"/>
                <w:numId w:val="40"/>
              </w:numPr>
              <w:tabs>
                <w:tab w:val="clear" w:pos="1702"/>
                <w:tab w:val="num" w:pos="499"/>
              </w:tabs>
              <w:ind w:left="499" w:hanging="426"/>
              <w:outlineLvl w:val="9"/>
              <w:rPr>
                <w:rFonts w:asciiTheme="minorHAnsi" w:hAnsiTheme="minorHAnsi"/>
              </w:rPr>
            </w:pPr>
            <w:r w:rsidRPr="002F2828">
              <w:rPr>
                <w:rFonts w:asciiTheme="minorHAnsi" w:hAnsiTheme="minorHAnsi"/>
              </w:rPr>
              <w:t xml:space="preserve">describe the goods or services to be supplied under the </w:t>
            </w:r>
            <w:r w:rsidRPr="002F2828">
              <w:rPr>
                <w:rFonts w:asciiTheme="minorHAnsi" w:hAnsiTheme="minorHAnsi"/>
                <w:b/>
              </w:rPr>
              <w:t>contract</w:t>
            </w:r>
          </w:p>
          <w:p w:rsidR="005514F8" w:rsidRPr="002F2828" w:rsidRDefault="00DF5E42" w:rsidP="00F82684">
            <w:pPr>
              <w:pStyle w:val="HeadingH6ClausesubtextL2"/>
              <w:numPr>
                <w:ilvl w:val="5"/>
                <w:numId w:val="40"/>
              </w:numPr>
              <w:tabs>
                <w:tab w:val="clear" w:pos="1702"/>
                <w:tab w:val="num" w:pos="499"/>
              </w:tabs>
              <w:ind w:left="499" w:hanging="426"/>
              <w:outlineLvl w:val="9"/>
              <w:rPr>
                <w:rFonts w:asciiTheme="minorHAnsi" w:hAnsiTheme="minorHAnsi"/>
              </w:rPr>
            </w:pPr>
            <w:r w:rsidRPr="002F2828">
              <w:rPr>
                <w:rFonts w:asciiTheme="minorHAnsi" w:hAnsiTheme="minorHAnsi"/>
              </w:rPr>
              <w:t>describe</w:t>
            </w:r>
            <w:r w:rsidR="00975B40" w:rsidRPr="002F2828">
              <w:rPr>
                <w:rFonts w:asciiTheme="minorHAnsi" w:hAnsiTheme="minorHAnsi"/>
              </w:rPr>
              <w:t xml:space="preserve"> the quantity or amount of those goods or services</w:t>
            </w:r>
          </w:p>
          <w:p w:rsidR="005514F8" w:rsidRPr="002F2828" w:rsidRDefault="00975B40" w:rsidP="00F82684">
            <w:pPr>
              <w:pStyle w:val="HeadingH6ClausesubtextL2"/>
              <w:numPr>
                <w:ilvl w:val="5"/>
                <w:numId w:val="40"/>
              </w:numPr>
              <w:tabs>
                <w:tab w:val="clear" w:pos="1702"/>
                <w:tab w:val="num" w:pos="499"/>
              </w:tabs>
              <w:ind w:left="499" w:hanging="426"/>
              <w:outlineLvl w:val="9"/>
              <w:rPr>
                <w:rFonts w:asciiTheme="minorHAnsi" w:hAnsiTheme="minorHAnsi"/>
              </w:rPr>
            </w:pPr>
            <w:r w:rsidRPr="002F2828">
              <w:rPr>
                <w:rFonts w:asciiTheme="minorHAnsi" w:hAnsiTheme="minorHAnsi"/>
              </w:rPr>
              <w:t>specify, determine, or provide for the determination of the:</w:t>
            </w:r>
          </w:p>
          <w:p w:rsidR="005514F8" w:rsidRPr="002F2828" w:rsidRDefault="00975B40" w:rsidP="00F82684">
            <w:pPr>
              <w:pStyle w:val="HeadingH7ClausesubtextL3"/>
              <w:numPr>
                <w:ilvl w:val="6"/>
                <w:numId w:val="41"/>
              </w:numPr>
              <w:tabs>
                <w:tab w:val="clear" w:pos="3261"/>
                <w:tab w:val="num" w:pos="884"/>
              </w:tabs>
              <w:ind w:left="884" w:hanging="426"/>
              <w:outlineLvl w:val="9"/>
              <w:rPr>
                <w:rFonts w:asciiTheme="minorHAnsi" w:hAnsiTheme="minorHAnsi"/>
              </w:rPr>
            </w:pPr>
            <w:r w:rsidRPr="002F2828">
              <w:rPr>
                <w:rFonts w:asciiTheme="minorHAnsi" w:hAnsiTheme="minorHAnsi"/>
                <w:b/>
              </w:rPr>
              <w:t>price</w:t>
            </w:r>
            <w:r w:rsidRPr="002F2828">
              <w:rPr>
                <w:rFonts w:asciiTheme="minorHAnsi" w:hAnsiTheme="minorHAnsi"/>
              </w:rPr>
              <w:t xml:space="preserve"> at which those goods or services are to be supplied</w:t>
            </w:r>
          </w:p>
          <w:p w:rsidR="005514F8" w:rsidRPr="002F2828" w:rsidRDefault="00975B40" w:rsidP="00F82684">
            <w:pPr>
              <w:pStyle w:val="HeadingH7ClausesubtextL3"/>
              <w:numPr>
                <w:ilvl w:val="6"/>
                <w:numId w:val="41"/>
              </w:numPr>
              <w:tabs>
                <w:tab w:val="clear" w:pos="3261"/>
                <w:tab w:val="num" w:pos="884"/>
              </w:tabs>
              <w:ind w:left="884" w:hanging="426"/>
              <w:outlineLvl w:val="9"/>
              <w:rPr>
                <w:rFonts w:asciiTheme="minorHAnsi" w:hAnsiTheme="minorHAnsi"/>
              </w:rPr>
            </w:pPr>
            <w:r w:rsidRPr="002F2828">
              <w:rPr>
                <w:rFonts w:asciiTheme="minorHAnsi" w:hAnsiTheme="minorHAnsi"/>
              </w:rPr>
              <w:t>timing of payment for those goods or services</w:t>
            </w:r>
          </w:p>
          <w:p w:rsidR="005514F8" w:rsidRPr="002F2828" w:rsidRDefault="00975B40" w:rsidP="00F82684">
            <w:pPr>
              <w:pStyle w:val="HeadingH7ClausesubtextL3"/>
              <w:numPr>
                <w:ilvl w:val="6"/>
                <w:numId w:val="41"/>
              </w:numPr>
              <w:tabs>
                <w:tab w:val="clear" w:pos="3261"/>
              </w:tabs>
              <w:ind w:left="884" w:hanging="426"/>
              <w:outlineLvl w:val="9"/>
              <w:rPr>
                <w:rFonts w:asciiTheme="minorHAnsi" w:hAnsiTheme="minorHAnsi" w:cs="Arial"/>
                <w:lang w:eastAsia="en-NZ"/>
              </w:rPr>
            </w:pPr>
            <w:r w:rsidRPr="002F2828">
              <w:rPr>
                <w:rFonts w:asciiTheme="minorHAnsi" w:hAnsiTheme="minorHAnsi"/>
              </w:rPr>
              <w:t>security for payment for those goods or services</w:t>
            </w:r>
          </w:p>
          <w:p w:rsidR="005514F8" w:rsidRPr="002F2828" w:rsidRDefault="00DF5E42" w:rsidP="00F82684">
            <w:pPr>
              <w:pStyle w:val="HeadingH7ClausesubtextL3"/>
              <w:numPr>
                <w:ilvl w:val="6"/>
                <w:numId w:val="41"/>
              </w:numPr>
              <w:tabs>
                <w:tab w:val="clear" w:pos="3261"/>
                <w:tab w:val="num" w:pos="884"/>
              </w:tabs>
              <w:ind w:left="884" w:hanging="426"/>
              <w:outlineLvl w:val="9"/>
              <w:rPr>
                <w:rFonts w:asciiTheme="minorHAnsi" w:hAnsiTheme="minorHAnsi" w:cs="Arial"/>
                <w:lang w:eastAsia="en-NZ"/>
              </w:rPr>
            </w:pPr>
            <w:proofErr w:type="spellStart"/>
            <w:r w:rsidRPr="002F2828">
              <w:rPr>
                <w:rFonts w:asciiTheme="minorHAnsi" w:hAnsiTheme="minorHAnsi"/>
                <w:b/>
                <w:bCs/>
              </w:rPr>
              <w:t>G</w:t>
            </w:r>
            <w:r w:rsidR="00D23B5C" w:rsidRPr="002F2828">
              <w:rPr>
                <w:rFonts w:asciiTheme="minorHAnsi" w:hAnsiTheme="minorHAnsi"/>
                <w:b/>
                <w:bCs/>
              </w:rPr>
              <w:t>D</w:t>
            </w:r>
            <w:r w:rsidRPr="002F2828">
              <w:rPr>
                <w:rFonts w:asciiTheme="minorHAnsi" w:hAnsiTheme="minorHAnsi"/>
                <w:b/>
                <w:bCs/>
              </w:rPr>
              <w:t>B</w:t>
            </w:r>
            <w:r w:rsidRPr="002F2828">
              <w:rPr>
                <w:rFonts w:asciiTheme="minorHAnsi" w:hAnsiTheme="minorHAnsi"/>
              </w:rPr>
              <w:t>’s</w:t>
            </w:r>
            <w:proofErr w:type="spellEnd"/>
            <w:r w:rsidRPr="002F2828">
              <w:rPr>
                <w:rFonts w:asciiTheme="minorHAnsi" w:hAnsiTheme="minorHAnsi"/>
              </w:rPr>
              <w:t xml:space="preserve"> </w:t>
            </w:r>
            <w:r w:rsidR="00975B40" w:rsidRPr="002F2828">
              <w:rPr>
                <w:rFonts w:asciiTheme="minorHAnsi" w:hAnsiTheme="minorHAnsi"/>
              </w:rPr>
              <w:t xml:space="preserve">obligations and responsibilities (if any) to </w:t>
            </w:r>
            <w:r w:rsidR="00975B40" w:rsidRPr="002F2828">
              <w:rPr>
                <w:rFonts w:asciiTheme="minorHAnsi" w:hAnsiTheme="minorHAnsi"/>
                <w:b/>
                <w:bCs/>
              </w:rPr>
              <w:t>consumers</w:t>
            </w:r>
            <w:r w:rsidR="00975B40" w:rsidRPr="002F2828">
              <w:rPr>
                <w:rFonts w:asciiTheme="minorHAnsi" w:hAnsiTheme="minorHAnsi"/>
              </w:rPr>
              <w:t xml:space="preserve"> in the event that the supply of </w:t>
            </w:r>
            <w:r w:rsidR="00BC0147" w:rsidRPr="00BC0147">
              <w:rPr>
                <w:rFonts w:asciiTheme="minorHAnsi" w:hAnsiTheme="minorHAnsi"/>
                <w:b/>
              </w:rPr>
              <w:t>gas pipeline service</w:t>
            </w:r>
            <w:r w:rsidR="00975B40" w:rsidRPr="002F2828">
              <w:rPr>
                <w:rFonts w:asciiTheme="minorHAnsi" w:hAnsiTheme="minorHAnsi"/>
                <w:b/>
              </w:rPr>
              <w:t>s</w:t>
            </w:r>
            <w:r w:rsidR="00495D88" w:rsidRPr="002F2828">
              <w:rPr>
                <w:rFonts w:asciiTheme="minorHAnsi" w:hAnsiTheme="minorHAnsi"/>
                <w:b/>
                <w:bCs/>
              </w:rPr>
              <w:t xml:space="preserve"> </w:t>
            </w:r>
            <w:r w:rsidR="00975B40" w:rsidRPr="002F2828">
              <w:rPr>
                <w:rFonts w:asciiTheme="minorHAnsi" w:hAnsiTheme="minorHAnsi"/>
              </w:rPr>
              <w:t xml:space="preserve">to </w:t>
            </w:r>
            <w:r w:rsidR="00975B40" w:rsidRPr="002F2828">
              <w:rPr>
                <w:rFonts w:asciiTheme="minorHAnsi" w:hAnsiTheme="minorHAnsi"/>
                <w:b/>
                <w:bCs/>
              </w:rPr>
              <w:t>consumers</w:t>
            </w:r>
            <w:r w:rsidR="00975B40" w:rsidRPr="002F2828">
              <w:rPr>
                <w:rFonts w:asciiTheme="minorHAnsi" w:hAnsiTheme="minorHAnsi"/>
              </w:rPr>
              <w:t xml:space="preserve"> is interrupted.</w:t>
            </w:r>
          </w:p>
        </w:tc>
      </w:tr>
      <w:tr w:rsidR="00B5679E" w:rsidRPr="002F2828" w:rsidTr="000E59D0">
        <w:tc>
          <w:tcPr>
            <w:tcW w:w="3100" w:type="dxa"/>
          </w:tcPr>
          <w:p w:rsidR="00B5679E" w:rsidRPr="002F2828" w:rsidRDefault="00B5679E" w:rsidP="00AE0D10">
            <w:pPr>
              <w:pStyle w:val="BodyText"/>
              <w:spacing w:line="264" w:lineRule="auto"/>
              <w:rPr>
                <w:rFonts w:asciiTheme="minorHAnsi" w:hAnsiTheme="minorHAnsi" w:cs="Arial"/>
                <w:b/>
                <w:lang w:eastAsia="en-NZ"/>
              </w:rPr>
            </w:pPr>
            <w:r w:rsidRPr="002F2828">
              <w:rPr>
                <w:rFonts w:asciiTheme="minorHAnsi" w:hAnsiTheme="minorHAnsi" w:cs="Arial"/>
                <w:b/>
                <w:lang w:eastAsia="en-NZ"/>
              </w:rPr>
              <w:t>Pressure regulating stations</w:t>
            </w:r>
          </w:p>
        </w:tc>
        <w:tc>
          <w:tcPr>
            <w:tcW w:w="5292" w:type="dxa"/>
          </w:tcPr>
          <w:p w:rsidR="00B5679E" w:rsidRPr="002F2828" w:rsidRDefault="00B5679E" w:rsidP="00B5679E">
            <w:pPr>
              <w:tabs>
                <w:tab w:val="left" w:pos="4045"/>
              </w:tabs>
              <w:spacing w:line="264" w:lineRule="auto"/>
              <w:ind w:left="34"/>
              <w:rPr>
                <w:rFonts w:asciiTheme="minorHAnsi" w:hAnsiTheme="minorHAnsi" w:cs="Arial"/>
                <w:lang w:eastAsia="en-NZ"/>
              </w:rPr>
            </w:pPr>
            <w:r w:rsidRPr="002F2828">
              <w:rPr>
                <w:rFonts w:asciiTheme="minorHAnsi" w:hAnsiTheme="minorHAnsi" w:cs="Arial"/>
                <w:lang w:eastAsia="en-NZ"/>
              </w:rPr>
              <w:t>means an installation that automatically regulates the pressure into a downstream piping system</w:t>
            </w:r>
          </w:p>
        </w:tc>
      </w:tr>
      <w:tr w:rsidR="00105A53" w:rsidRPr="002F2828" w:rsidTr="000E59D0">
        <w:tc>
          <w:tcPr>
            <w:tcW w:w="3100" w:type="dxa"/>
          </w:tcPr>
          <w:p w:rsidR="00105A53" w:rsidRPr="002F2828" w:rsidRDefault="00105A53" w:rsidP="00AE0D10">
            <w:pPr>
              <w:pStyle w:val="BodyText"/>
              <w:spacing w:line="264" w:lineRule="auto"/>
              <w:rPr>
                <w:rFonts w:asciiTheme="minorHAnsi" w:hAnsiTheme="minorHAnsi" w:cs="Arial"/>
                <w:b/>
                <w:bCs/>
                <w:lang w:eastAsia="en-NZ"/>
              </w:rPr>
            </w:pPr>
            <w:r w:rsidRPr="002F2828">
              <w:rPr>
                <w:rFonts w:asciiTheme="minorHAnsi" w:hAnsiTheme="minorHAnsi" w:cs="Arial"/>
                <w:b/>
                <w:bCs/>
                <w:lang w:eastAsia="en-NZ"/>
              </w:rPr>
              <w:t>Prices</w:t>
            </w:r>
          </w:p>
        </w:tc>
        <w:tc>
          <w:tcPr>
            <w:tcW w:w="5292" w:type="dxa"/>
          </w:tcPr>
          <w:p w:rsidR="00105A53" w:rsidRPr="002F2828" w:rsidRDefault="00105A53" w:rsidP="00AE0D10">
            <w:pPr>
              <w:tabs>
                <w:tab w:val="left" w:pos="4045"/>
              </w:tabs>
              <w:spacing w:line="264" w:lineRule="auto"/>
              <w:ind w:left="34"/>
              <w:rPr>
                <w:rFonts w:asciiTheme="minorHAnsi" w:hAnsiTheme="minorHAnsi" w:cs="Arial"/>
                <w:lang w:eastAsia="en-NZ"/>
              </w:rPr>
            </w:pPr>
            <w:r w:rsidRPr="002F2828">
              <w:rPr>
                <w:rFonts w:asciiTheme="minorHAnsi" w:hAnsiTheme="minorHAnsi" w:cs="Arial"/>
                <w:lang w:eastAsia="en-NZ"/>
              </w:rPr>
              <w:t xml:space="preserve">has the meaning set out in the </w:t>
            </w:r>
            <w:r w:rsidRPr="002F2828">
              <w:rPr>
                <w:rFonts w:asciiTheme="minorHAnsi" w:hAnsiTheme="minorHAnsi" w:cs="Arial"/>
                <w:b/>
                <w:bCs/>
                <w:lang w:eastAsia="en-NZ"/>
              </w:rPr>
              <w:t>IM determination</w:t>
            </w:r>
            <w:r w:rsidRPr="002F2828">
              <w:rPr>
                <w:rFonts w:asciiTheme="minorHAnsi" w:hAnsiTheme="minorHAnsi" w:cs="Arial"/>
                <w:lang w:eastAsia="en-NZ"/>
              </w:rPr>
              <w:t>;</w:t>
            </w:r>
          </w:p>
        </w:tc>
      </w:tr>
      <w:tr w:rsidR="002459F1" w:rsidRPr="002F2828" w:rsidTr="000E59D0">
        <w:tc>
          <w:tcPr>
            <w:tcW w:w="3100" w:type="dxa"/>
          </w:tcPr>
          <w:p w:rsidR="002459F1" w:rsidRPr="002F2828" w:rsidRDefault="002459F1" w:rsidP="00AE0D10">
            <w:pPr>
              <w:pStyle w:val="BodyText"/>
              <w:spacing w:line="264" w:lineRule="auto"/>
              <w:rPr>
                <w:rFonts w:asciiTheme="minorHAnsi" w:hAnsiTheme="minorHAnsi" w:cs="Arial"/>
                <w:b/>
                <w:bCs/>
                <w:lang w:eastAsia="en-NZ"/>
              </w:rPr>
            </w:pPr>
            <w:r w:rsidRPr="002F2828">
              <w:rPr>
                <w:rFonts w:asciiTheme="minorHAnsi" w:hAnsiTheme="minorHAnsi" w:cs="Arial"/>
                <w:b/>
                <w:bCs/>
                <w:lang w:eastAsia="en-NZ"/>
              </w:rPr>
              <w:t>Pricing principles</w:t>
            </w:r>
          </w:p>
        </w:tc>
        <w:tc>
          <w:tcPr>
            <w:tcW w:w="5292" w:type="dxa"/>
          </w:tcPr>
          <w:p w:rsidR="002459F1" w:rsidRPr="002F2828" w:rsidRDefault="002459F1" w:rsidP="008E0510">
            <w:pPr>
              <w:spacing w:line="264" w:lineRule="auto"/>
              <w:rPr>
                <w:rFonts w:asciiTheme="minorHAnsi" w:hAnsiTheme="minorHAnsi"/>
              </w:rPr>
            </w:pPr>
            <w:r w:rsidRPr="002F2828">
              <w:rPr>
                <w:rFonts w:asciiTheme="minorHAnsi" w:hAnsiTheme="minorHAnsi"/>
              </w:rPr>
              <w:t xml:space="preserve">means, in relation to the supply of </w:t>
            </w:r>
            <w:r w:rsidR="00DF5E42" w:rsidRPr="002F2828">
              <w:rPr>
                <w:rFonts w:asciiTheme="minorHAnsi" w:hAnsiTheme="minorHAnsi"/>
                <w:b/>
              </w:rPr>
              <w:t xml:space="preserve">gas pipeline </w:t>
            </w:r>
            <w:r w:rsidRPr="002F2828">
              <w:rPr>
                <w:rFonts w:asciiTheme="minorHAnsi" w:hAnsiTheme="minorHAnsi"/>
                <w:b/>
              </w:rPr>
              <w:t>services</w:t>
            </w:r>
            <w:r w:rsidRPr="002F2828">
              <w:rPr>
                <w:rFonts w:asciiTheme="minorHAnsi" w:hAnsiTheme="minorHAnsi"/>
              </w:rPr>
              <w:t xml:space="preserve">, the principles as </w:t>
            </w:r>
            <w:r w:rsidR="00DF5E42" w:rsidRPr="002F2828">
              <w:rPr>
                <w:rFonts w:asciiTheme="minorHAnsi" w:hAnsiTheme="minorHAnsi"/>
              </w:rPr>
              <w:t xml:space="preserve">defined in </w:t>
            </w:r>
            <w:r w:rsidR="008E0510" w:rsidRPr="002F2828">
              <w:rPr>
                <w:rFonts w:asciiTheme="minorHAnsi" w:hAnsiTheme="minorHAnsi"/>
              </w:rPr>
              <w:t xml:space="preserve">clause 2.5.2 </w:t>
            </w:r>
            <w:r w:rsidR="00DF5E42" w:rsidRPr="002F2828">
              <w:rPr>
                <w:rFonts w:asciiTheme="minorHAnsi" w:hAnsiTheme="minorHAnsi"/>
              </w:rPr>
              <w:t xml:space="preserve">of the </w:t>
            </w:r>
            <w:r w:rsidR="00DF5E42" w:rsidRPr="002F2828">
              <w:rPr>
                <w:rFonts w:asciiTheme="minorHAnsi" w:hAnsiTheme="minorHAnsi"/>
                <w:b/>
              </w:rPr>
              <w:t>IM determination</w:t>
            </w:r>
          </w:p>
        </w:tc>
      </w:tr>
      <w:tr w:rsidR="002459F1" w:rsidRPr="002F2828" w:rsidTr="000E59D0">
        <w:tc>
          <w:tcPr>
            <w:tcW w:w="3100" w:type="dxa"/>
          </w:tcPr>
          <w:p w:rsidR="002459F1" w:rsidRPr="002F2828" w:rsidRDefault="00AE7314" w:rsidP="00AE0D10">
            <w:pPr>
              <w:spacing w:line="264" w:lineRule="auto"/>
              <w:rPr>
                <w:rFonts w:asciiTheme="minorHAnsi" w:hAnsiTheme="minorHAnsi"/>
              </w:rPr>
            </w:pPr>
            <w:r w:rsidRPr="002F2828">
              <w:rPr>
                <w:rFonts w:asciiTheme="minorHAnsi" w:hAnsiTheme="minorHAnsi"/>
                <w:b/>
                <w:bCs/>
              </w:rPr>
              <w:t>Pricing strategy</w:t>
            </w:r>
          </w:p>
        </w:tc>
        <w:tc>
          <w:tcPr>
            <w:tcW w:w="5292" w:type="dxa"/>
          </w:tcPr>
          <w:p w:rsidR="002459F1" w:rsidRPr="002F2828" w:rsidRDefault="00366FD0" w:rsidP="003C7F15">
            <w:pPr>
              <w:spacing w:line="264" w:lineRule="auto"/>
              <w:rPr>
                <w:rFonts w:asciiTheme="minorHAnsi" w:hAnsiTheme="minorHAnsi"/>
              </w:rPr>
            </w:pPr>
            <w:proofErr w:type="gramStart"/>
            <w:r w:rsidRPr="00604256">
              <w:rPr>
                <w:rFonts w:asciiTheme="minorHAnsi" w:hAnsiTheme="minorHAnsi"/>
              </w:rPr>
              <w:t>means</w:t>
            </w:r>
            <w:proofErr w:type="gramEnd"/>
            <w:r w:rsidRPr="00604256">
              <w:rPr>
                <w:rFonts w:asciiTheme="minorHAnsi" w:hAnsiTheme="minorHAnsi"/>
              </w:rPr>
              <w:t xml:space="preserve"> a </w:t>
            </w:r>
            <w:r>
              <w:rPr>
                <w:rFonts w:asciiTheme="minorHAnsi" w:hAnsiTheme="minorHAnsi"/>
              </w:rPr>
              <w:t xml:space="preserve">decision made by the Board of Directors of the GDB on the </w:t>
            </w:r>
            <w:r w:rsidRPr="00604256">
              <w:rPr>
                <w:rFonts w:asciiTheme="minorHAnsi" w:hAnsiTheme="minorHAnsi"/>
              </w:rPr>
              <w:t xml:space="preserve">approach to setting </w:t>
            </w:r>
            <w:r w:rsidRPr="00604256">
              <w:rPr>
                <w:rFonts w:asciiTheme="minorHAnsi" w:hAnsiTheme="minorHAnsi"/>
                <w:b/>
                <w:bCs/>
              </w:rPr>
              <w:t>prices</w:t>
            </w:r>
            <w:r w:rsidR="00866BD4" w:rsidRPr="00866BD4">
              <w:rPr>
                <w:rFonts w:asciiTheme="minorHAnsi" w:hAnsiTheme="minorHAnsi"/>
                <w:bCs/>
              </w:rPr>
              <w:t>,</w:t>
            </w:r>
            <w:r>
              <w:rPr>
                <w:rFonts w:asciiTheme="minorHAnsi" w:hAnsiTheme="minorHAnsi"/>
                <w:b/>
                <w:bCs/>
              </w:rPr>
              <w:t xml:space="preserve"> </w:t>
            </w:r>
            <w:r w:rsidRPr="00BD402E">
              <w:rPr>
                <w:rFonts w:asciiTheme="minorHAnsi" w:hAnsiTheme="minorHAnsi"/>
                <w:bCs/>
              </w:rPr>
              <w:t>and recorded in writing</w:t>
            </w:r>
            <w:r>
              <w:rPr>
                <w:rFonts w:asciiTheme="minorHAnsi" w:hAnsiTheme="minorHAnsi"/>
              </w:rPr>
              <w:t xml:space="preserve">. </w:t>
            </w:r>
          </w:p>
        </w:tc>
      </w:tr>
      <w:tr w:rsidR="00105A53" w:rsidRPr="002F2828" w:rsidTr="000E59D0">
        <w:tc>
          <w:tcPr>
            <w:tcW w:w="3100" w:type="dxa"/>
          </w:tcPr>
          <w:p w:rsidR="00105A53" w:rsidRPr="002F2828" w:rsidRDefault="00105A53" w:rsidP="00AE0D10">
            <w:pPr>
              <w:pStyle w:val="BodyText"/>
              <w:spacing w:line="264" w:lineRule="auto"/>
              <w:rPr>
                <w:rFonts w:asciiTheme="minorHAnsi" w:hAnsiTheme="minorHAnsi" w:cs="Arial"/>
                <w:b/>
                <w:bCs/>
                <w:lang w:eastAsia="en-NZ"/>
              </w:rPr>
            </w:pPr>
            <w:r w:rsidRPr="002F2828">
              <w:rPr>
                <w:rFonts w:asciiTheme="minorHAnsi" w:hAnsiTheme="minorHAnsi" w:cs="Arial"/>
                <w:b/>
                <w:bCs/>
                <w:lang w:eastAsia="en-NZ"/>
              </w:rPr>
              <w:t>Primary driver</w:t>
            </w:r>
          </w:p>
        </w:tc>
        <w:tc>
          <w:tcPr>
            <w:tcW w:w="5292" w:type="dxa"/>
          </w:tcPr>
          <w:p w:rsidR="008F5D7B" w:rsidRDefault="00105A53" w:rsidP="00AE0D10">
            <w:pPr>
              <w:spacing w:line="264" w:lineRule="auto"/>
              <w:rPr>
                <w:rFonts w:asciiTheme="minorHAnsi" w:hAnsiTheme="minorHAnsi"/>
              </w:rPr>
            </w:pPr>
            <w:proofErr w:type="gramStart"/>
            <w:r w:rsidRPr="002F2828">
              <w:rPr>
                <w:rFonts w:asciiTheme="minorHAnsi" w:hAnsiTheme="minorHAnsi"/>
              </w:rPr>
              <w:t>means</w:t>
            </w:r>
            <w:proofErr w:type="gramEnd"/>
            <w:r w:rsidRPr="002F2828">
              <w:rPr>
                <w:rFonts w:asciiTheme="minorHAnsi" w:hAnsiTheme="minorHAnsi"/>
              </w:rPr>
              <w:t xml:space="preserve"> the primary reason for a decision to incur a cost in the year the cost was incurred or forecast to be incurred.</w:t>
            </w:r>
          </w:p>
          <w:p w:rsidR="008F5D7B" w:rsidRDefault="00105A53" w:rsidP="00AE0D10">
            <w:pPr>
              <w:spacing w:line="264" w:lineRule="auto"/>
              <w:rPr>
                <w:rFonts w:asciiTheme="minorHAnsi" w:hAnsiTheme="minorHAnsi"/>
              </w:rPr>
            </w:pPr>
            <w:r w:rsidRPr="002F2828">
              <w:rPr>
                <w:rFonts w:asciiTheme="minorHAnsi" w:hAnsiTheme="minorHAnsi"/>
              </w:rPr>
              <w:t xml:space="preserve">For example, an asset may be relocated at the request of a third party and, at the same time, capacity on the asset increased to take account of expected future demand. If it is the third party request that required the asset to be relocated at that time, then the </w:t>
            </w:r>
            <w:r w:rsidRPr="002F2828">
              <w:rPr>
                <w:rFonts w:asciiTheme="minorHAnsi" w:hAnsiTheme="minorHAnsi"/>
                <w:b/>
              </w:rPr>
              <w:t xml:space="preserve">gross capital expenditure </w:t>
            </w:r>
            <w:r w:rsidRPr="002F2828">
              <w:rPr>
                <w:rFonts w:asciiTheme="minorHAnsi" w:hAnsiTheme="minorHAnsi"/>
              </w:rPr>
              <w:t xml:space="preserve">would be allocated to </w:t>
            </w:r>
            <w:r w:rsidRPr="002F2828">
              <w:rPr>
                <w:rFonts w:asciiTheme="minorHAnsi" w:hAnsiTheme="minorHAnsi"/>
                <w:b/>
              </w:rPr>
              <w:t>asset relocation</w:t>
            </w:r>
            <w:r w:rsidR="008F5D7B">
              <w:rPr>
                <w:rFonts w:asciiTheme="minorHAnsi" w:hAnsiTheme="minorHAnsi"/>
              </w:rPr>
              <w:t xml:space="preserve">. </w:t>
            </w:r>
            <w:r w:rsidRPr="002F2828">
              <w:rPr>
                <w:rFonts w:asciiTheme="minorHAnsi" w:hAnsiTheme="minorHAnsi"/>
              </w:rPr>
              <w:t xml:space="preserve">If the deadline for relocating the asset was not imminent, but the project had to be completed to allow for the increase in capacity, then the </w:t>
            </w:r>
            <w:r w:rsidRPr="002F2828">
              <w:rPr>
                <w:rFonts w:asciiTheme="minorHAnsi" w:hAnsiTheme="minorHAnsi"/>
                <w:b/>
              </w:rPr>
              <w:t>gross capital expenditure</w:t>
            </w:r>
            <w:r w:rsidRPr="002F2828">
              <w:rPr>
                <w:rFonts w:asciiTheme="minorHAnsi" w:hAnsiTheme="minorHAnsi"/>
              </w:rPr>
              <w:t xml:space="preserve"> would be allocated to </w:t>
            </w:r>
            <w:r w:rsidRPr="002F2828">
              <w:rPr>
                <w:rFonts w:asciiTheme="minorHAnsi" w:hAnsiTheme="minorHAnsi"/>
                <w:b/>
              </w:rPr>
              <w:t>system growth</w:t>
            </w:r>
            <w:r w:rsidR="008F5D7B">
              <w:rPr>
                <w:rFonts w:asciiTheme="minorHAnsi" w:hAnsiTheme="minorHAnsi"/>
              </w:rPr>
              <w:t>.</w:t>
            </w:r>
          </w:p>
          <w:p w:rsidR="00105A53" w:rsidRPr="002F2828" w:rsidRDefault="00105A53" w:rsidP="00AE0D10">
            <w:pPr>
              <w:tabs>
                <w:tab w:val="left" w:pos="4045"/>
              </w:tabs>
              <w:spacing w:line="264" w:lineRule="auto"/>
              <w:ind w:left="34"/>
              <w:rPr>
                <w:rFonts w:asciiTheme="minorHAnsi" w:hAnsiTheme="minorHAnsi" w:cs="Arial"/>
                <w:lang w:eastAsia="en-NZ"/>
              </w:rPr>
            </w:pPr>
            <w:r w:rsidRPr="002F2828">
              <w:rPr>
                <w:rFonts w:asciiTheme="minorHAnsi" w:hAnsiTheme="minorHAnsi"/>
              </w:rPr>
              <w:t xml:space="preserve">Where there is more than one driver for a cost, and the cost is a significant proportion of </w:t>
            </w:r>
            <w:r w:rsidRPr="002F2828">
              <w:rPr>
                <w:rFonts w:asciiTheme="minorHAnsi" w:hAnsiTheme="minorHAnsi"/>
                <w:b/>
              </w:rPr>
              <w:t>operational expenditure</w:t>
            </w:r>
            <w:r w:rsidRPr="002F2828">
              <w:rPr>
                <w:rFonts w:asciiTheme="minorHAnsi" w:hAnsiTheme="minorHAnsi"/>
              </w:rPr>
              <w:t xml:space="preserve"> or </w:t>
            </w:r>
            <w:r w:rsidRPr="002F2828">
              <w:rPr>
                <w:rFonts w:asciiTheme="minorHAnsi" w:hAnsiTheme="minorHAnsi"/>
                <w:b/>
              </w:rPr>
              <w:t>gross capital expenditure</w:t>
            </w:r>
            <w:r w:rsidRPr="002F2828">
              <w:rPr>
                <w:rFonts w:asciiTheme="minorHAnsi" w:hAnsiTheme="minorHAnsi"/>
              </w:rPr>
              <w:t>, expenditure may be apportioned between expenditure categories according to the relative importance of each driver to the decision, or the project divided into cost categories</w:t>
            </w:r>
          </w:p>
        </w:tc>
      </w:tr>
      <w:tr w:rsidR="00307644" w:rsidRPr="002F2828" w:rsidTr="000E59D0">
        <w:tc>
          <w:tcPr>
            <w:tcW w:w="3100" w:type="dxa"/>
          </w:tcPr>
          <w:p w:rsidR="00307644" w:rsidRPr="002F2828" w:rsidRDefault="00307644" w:rsidP="00AE0D10">
            <w:pPr>
              <w:pStyle w:val="BodyText"/>
              <w:spacing w:line="264" w:lineRule="auto"/>
              <w:rPr>
                <w:rFonts w:asciiTheme="minorHAnsi" w:hAnsiTheme="minorHAnsi" w:cs="Arial"/>
                <w:b/>
                <w:bCs/>
                <w:lang w:eastAsia="en-NZ"/>
              </w:rPr>
            </w:pPr>
            <w:r w:rsidRPr="002F2828">
              <w:rPr>
                <w:rFonts w:asciiTheme="minorHAnsi" w:hAnsiTheme="minorHAnsi"/>
                <w:b/>
              </w:rPr>
              <w:t>Publicly disclose</w:t>
            </w:r>
          </w:p>
        </w:tc>
        <w:tc>
          <w:tcPr>
            <w:tcW w:w="5292" w:type="dxa"/>
          </w:tcPr>
          <w:p w:rsidR="00307644" w:rsidRPr="002F2828" w:rsidRDefault="00307644" w:rsidP="00AE0D10">
            <w:pPr>
              <w:spacing w:line="264" w:lineRule="auto"/>
              <w:rPr>
                <w:rFonts w:asciiTheme="minorHAnsi" w:hAnsiTheme="minorHAnsi"/>
                <w:b/>
              </w:rPr>
            </w:pPr>
            <w:r w:rsidRPr="002F2828">
              <w:rPr>
                <w:rFonts w:asciiTheme="minorHAnsi" w:hAnsiTheme="minorHAnsi"/>
              </w:rPr>
              <w:t>in relation to any information, means to:</w:t>
            </w:r>
          </w:p>
          <w:p w:rsidR="00EA556C" w:rsidRPr="002F2828" w:rsidRDefault="00307644" w:rsidP="00F82684">
            <w:pPr>
              <w:pStyle w:val="ListParagraph"/>
              <w:numPr>
                <w:ilvl w:val="3"/>
                <w:numId w:val="33"/>
              </w:numPr>
              <w:tabs>
                <w:tab w:val="clear" w:pos="2880"/>
                <w:tab w:val="num" w:pos="459"/>
              </w:tabs>
              <w:spacing w:line="264" w:lineRule="auto"/>
              <w:ind w:left="459" w:hanging="425"/>
              <w:rPr>
                <w:rFonts w:asciiTheme="minorHAnsi" w:hAnsiTheme="minorHAnsi"/>
              </w:rPr>
            </w:pPr>
            <w:r w:rsidRPr="002F2828">
              <w:rPr>
                <w:rFonts w:asciiTheme="minorHAnsi" w:hAnsiTheme="minorHAnsi"/>
              </w:rPr>
              <w:t xml:space="preserve">disclose the information to the public on the Internet at the </w:t>
            </w:r>
            <w:proofErr w:type="spellStart"/>
            <w:r w:rsidR="00557552" w:rsidRPr="002F2828">
              <w:rPr>
                <w:rFonts w:asciiTheme="minorHAnsi" w:hAnsiTheme="minorHAnsi"/>
                <w:b/>
              </w:rPr>
              <w:t>GDB</w:t>
            </w:r>
            <w:r w:rsidR="00557552" w:rsidRPr="002F2828">
              <w:rPr>
                <w:rFonts w:asciiTheme="minorHAnsi" w:hAnsiTheme="minorHAnsi"/>
              </w:rPr>
              <w:t>’s</w:t>
            </w:r>
            <w:proofErr w:type="spellEnd"/>
            <w:r w:rsidR="00557552" w:rsidRPr="002F2828" w:rsidDel="005E0488">
              <w:rPr>
                <w:rFonts w:asciiTheme="minorHAnsi" w:hAnsiTheme="minorHAnsi"/>
              </w:rPr>
              <w:t xml:space="preserve"> </w:t>
            </w:r>
            <w:r w:rsidRPr="002F2828">
              <w:rPr>
                <w:rFonts w:asciiTheme="minorHAnsi" w:hAnsiTheme="minorHAnsi"/>
              </w:rPr>
              <w:t>usual publicly accessible website;</w:t>
            </w:r>
          </w:p>
          <w:p w:rsidR="00EA556C" w:rsidRPr="002F2828" w:rsidRDefault="00307644" w:rsidP="00F82684">
            <w:pPr>
              <w:pStyle w:val="ListParagraph"/>
              <w:numPr>
                <w:ilvl w:val="3"/>
                <w:numId w:val="33"/>
              </w:numPr>
              <w:tabs>
                <w:tab w:val="clear" w:pos="2880"/>
                <w:tab w:val="num" w:pos="459"/>
              </w:tabs>
              <w:spacing w:line="264" w:lineRule="auto"/>
              <w:ind w:left="459" w:hanging="425"/>
              <w:rPr>
                <w:rFonts w:asciiTheme="minorHAnsi" w:hAnsiTheme="minorHAnsi"/>
              </w:rPr>
            </w:pPr>
            <w:r w:rsidRPr="002F2828">
              <w:rPr>
                <w:rFonts w:asciiTheme="minorHAnsi" w:hAnsiTheme="minorHAnsi"/>
              </w:rPr>
              <w:t xml:space="preserve">make copies of the information available for inspection by any person during ordinary office hours, at the principal office of the </w:t>
            </w:r>
            <w:r w:rsidR="00557552" w:rsidRPr="002F2828">
              <w:rPr>
                <w:rFonts w:asciiTheme="minorHAnsi" w:hAnsiTheme="minorHAnsi"/>
                <w:b/>
              </w:rPr>
              <w:t>GDB</w:t>
            </w:r>
            <w:r w:rsidR="00557552" w:rsidRPr="002F2828">
              <w:rPr>
                <w:rFonts w:asciiTheme="minorHAnsi" w:hAnsiTheme="minorHAnsi"/>
              </w:rPr>
              <w:t xml:space="preserve"> </w:t>
            </w:r>
            <w:r w:rsidRPr="002F2828">
              <w:rPr>
                <w:rFonts w:asciiTheme="minorHAnsi" w:hAnsiTheme="minorHAnsi"/>
              </w:rPr>
              <w:t>making the public disclosure and</w:t>
            </w:r>
          </w:p>
          <w:p w:rsidR="00EA556C" w:rsidRPr="002F2828" w:rsidRDefault="00307644" w:rsidP="00F82684">
            <w:pPr>
              <w:pStyle w:val="ListParagraph"/>
              <w:numPr>
                <w:ilvl w:val="3"/>
                <w:numId w:val="33"/>
              </w:numPr>
              <w:tabs>
                <w:tab w:val="clear" w:pos="2880"/>
                <w:tab w:val="num" w:pos="459"/>
              </w:tabs>
              <w:spacing w:line="264" w:lineRule="auto"/>
              <w:ind w:left="459" w:hanging="425"/>
              <w:rPr>
                <w:rFonts w:asciiTheme="minorHAnsi" w:hAnsiTheme="minorHAnsi"/>
              </w:rPr>
            </w:pPr>
            <w:r w:rsidRPr="002F2828">
              <w:rPr>
                <w:rFonts w:asciiTheme="minorHAnsi" w:hAnsiTheme="minorHAnsi"/>
              </w:rPr>
              <w:t>within 10 working days of being requested to do so by any person, provide that person with a copy of the information, either by post or for collection (during ordinary office hours) from that principal office, whichever the person prefers; and</w:t>
            </w:r>
          </w:p>
          <w:p w:rsidR="00EA556C" w:rsidRPr="002F2828" w:rsidRDefault="00307644" w:rsidP="00F82684">
            <w:pPr>
              <w:pStyle w:val="ListParagraph"/>
              <w:numPr>
                <w:ilvl w:val="3"/>
                <w:numId w:val="33"/>
              </w:numPr>
              <w:tabs>
                <w:tab w:val="clear" w:pos="2880"/>
                <w:tab w:val="num" w:pos="459"/>
              </w:tabs>
              <w:spacing w:line="264" w:lineRule="auto"/>
              <w:ind w:left="459" w:hanging="425"/>
              <w:rPr>
                <w:rFonts w:asciiTheme="minorHAnsi" w:hAnsiTheme="minorHAnsi"/>
              </w:rPr>
            </w:pPr>
            <w:r w:rsidRPr="002F2828">
              <w:rPr>
                <w:rFonts w:asciiTheme="minorHAnsi" w:hAnsiTheme="minorHAnsi"/>
              </w:rPr>
              <w:t xml:space="preserve">within 5 working days after the information is disclosed to the public, provide a copy of the information to the </w:t>
            </w:r>
            <w:r w:rsidRPr="002F2828">
              <w:rPr>
                <w:rFonts w:asciiTheme="minorHAnsi" w:hAnsiTheme="minorHAnsi"/>
                <w:b/>
              </w:rPr>
              <w:t>Commission</w:t>
            </w:r>
            <w:r w:rsidRPr="002F2828">
              <w:rPr>
                <w:rFonts w:asciiTheme="minorHAnsi" w:hAnsiTheme="minorHAnsi"/>
              </w:rPr>
              <w:t xml:space="preserve"> in the form that it is disclosed to the public and in an electronic format that is compatible with Microsoft Excel or Microsoft Word (as the case may be),</w:t>
            </w:r>
          </w:p>
          <w:p w:rsidR="00307644" w:rsidRPr="002F2828" w:rsidRDefault="00307644" w:rsidP="00AE0D10">
            <w:pPr>
              <w:spacing w:line="264" w:lineRule="auto"/>
              <w:rPr>
                <w:rFonts w:asciiTheme="minorHAnsi" w:hAnsiTheme="minorHAnsi"/>
              </w:rPr>
            </w:pPr>
            <w:r w:rsidRPr="002F2828">
              <w:rPr>
                <w:rFonts w:asciiTheme="minorHAnsi" w:hAnsiTheme="minorHAnsi"/>
              </w:rPr>
              <w:t xml:space="preserve">and </w:t>
            </w:r>
            <w:r w:rsidRPr="002F2828">
              <w:rPr>
                <w:rFonts w:asciiTheme="minorHAnsi" w:hAnsiTheme="minorHAnsi"/>
                <w:b/>
              </w:rPr>
              <w:t>public disclosure</w:t>
            </w:r>
            <w:r w:rsidRPr="002F2828">
              <w:rPr>
                <w:rFonts w:asciiTheme="minorHAnsi" w:hAnsiTheme="minorHAnsi"/>
              </w:rPr>
              <w:t xml:space="preserve"> and </w:t>
            </w:r>
            <w:r w:rsidRPr="002F2828">
              <w:rPr>
                <w:rFonts w:asciiTheme="minorHAnsi" w:hAnsiTheme="minorHAnsi"/>
                <w:b/>
              </w:rPr>
              <w:t>publicly disclosing</w:t>
            </w:r>
            <w:r w:rsidRPr="002F2828">
              <w:rPr>
                <w:rFonts w:asciiTheme="minorHAnsi" w:hAnsiTheme="minorHAnsi"/>
              </w:rPr>
              <w:t xml:space="preserve"> have corresponding meanings</w:t>
            </w:r>
          </w:p>
        </w:tc>
      </w:tr>
    </w:tbl>
    <w:p w:rsidR="003E69C4" w:rsidRPr="002F2828" w:rsidRDefault="003E69C4" w:rsidP="00AE0D10">
      <w:pPr>
        <w:pStyle w:val="Heading2"/>
        <w:spacing w:before="240" w:after="240" w:line="264" w:lineRule="auto"/>
        <w:jc w:val="center"/>
        <w:rPr>
          <w:rFonts w:asciiTheme="minorHAnsi" w:hAnsiTheme="minorHAnsi"/>
          <w:lang w:eastAsia="en-GB"/>
        </w:rPr>
      </w:pPr>
      <w:r w:rsidRPr="002F2828">
        <w:rPr>
          <w:rFonts w:asciiTheme="minorHAnsi" w:hAnsiTheme="minorHAnsi"/>
          <w:lang w:eastAsia="en-GB"/>
        </w:rPr>
        <w:t>Q</w:t>
      </w:r>
    </w:p>
    <w:tbl>
      <w:tblPr>
        <w:tblStyle w:val="TableGrid"/>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510"/>
        <w:gridCol w:w="4882"/>
      </w:tblGrid>
      <w:tr w:rsidR="006B142F" w:rsidRPr="002F2828" w:rsidTr="00A03DC6">
        <w:tc>
          <w:tcPr>
            <w:tcW w:w="3510" w:type="dxa"/>
          </w:tcPr>
          <w:p w:rsidR="006B142F" w:rsidRPr="002F2828" w:rsidRDefault="006B142F" w:rsidP="00AE0D10">
            <w:pPr>
              <w:pStyle w:val="BodyText"/>
              <w:spacing w:line="264" w:lineRule="auto"/>
              <w:rPr>
                <w:rFonts w:asciiTheme="minorHAnsi" w:hAnsiTheme="minorHAnsi" w:cs="Arial"/>
                <w:b/>
                <w:bCs/>
                <w:lang w:eastAsia="en-NZ"/>
              </w:rPr>
            </w:pPr>
            <w:r w:rsidRPr="002F2828">
              <w:rPr>
                <w:rFonts w:asciiTheme="minorHAnsi" w:hAnsiTheme="minorHAnsi"/>
                <w:b/>
              </w:rPr>
              <w:t>Quality of supply</w:t>
            </w:r>
          </w:p>
        </w:tc>
        <w:tc>
          <w:tcPr>
            <w:tcW w:w="4882" w:type="dxa"/>
          </w:tcPr>
          <w:p w:rsidR="006B142F" w:rsidRPr="006B142F" w:rsidRDefault="006B142F" w:rsidP="00A472A3">
            <w:pPr>
              <w:pStyle w:val="BodyText"/>
            </w:pPr>
            <w:proofErr w:type="gramStart"/>
            <w:r w:rsidRPr="006B142F">
              <w:t>in</w:t>
            </w:r>
            <w:proofErr w:type="gramEnd"/>
            <w:r w:rsidRPr="006B142F">
              <w:t xml:space="preserve"> relation to expenditure, means </w:t>
            </w:r>
            <w:r w:rsidRPr="006B142F">
              <w:rPr>
                <w:b/>
              </w:rPr>
              <w:t>gross capital expenditure</w:t>
            </w:r>
            <w:r w:rsidRPr="006B142F">
              <w:t xml:space="preserve"> where the </w:t>
            </w:r>
            <w:r w:rsidRPr="006B142F">
              <w:rPr>
                <w:b/>
              </w:rPr>
              <w:t>primary driver</w:t>
            </w:r>
            <w:r w:rsidRPr="006B142F">
              <w:t xml:space="preserve"> is the need to meet improved security and/or quality of supply standards. This may include expenditure to:</w:t>
            </w:r>
          </w:p>
          <w:p w:rsidR="006B142F" w:rsidRPr="006B142F" w:rsidRDefault="006B142F" w:rsidP="006B142F">
            <w:pPr>
              <w:pStyle w:val="Tablebullet"/>
              <w:numPr>
                <w:ilvl w:val="0"/>
                <w:numId w:val="153"/>
              </w:numPr>
              <w:spacing w:after="120"/>
            </w:pPr>
            <w:r w:rsidRPr="006B142F">
              <w:t xml:space="preserve">reduce the overall outage/fault rate of the </w:t>
            </w:r>
            <w:r w:rsidRPr="006B142F">
              <w:rPr>
                <w:b/>
              </w:rPr>
              <w:t>network</w:t>
            </w:r>
            <w:r w:rsidRPr="006B142F">
              <w:t>;</w:t>
            </w:r>
          </w:p>
          <w:p w:rsidR="006B142F" w:rsidRPr="006B142F" w:rsidRDefault="006B142F" w:rsidP="006B142F">
            <w:pPr>
              <w:pStyle w:val="Tablebullet"/>
              <w:numPr>
                <w:ilvl w:val="0"/>
                <w:numId w:val="153"/>
              </w:numPr>
              <w:spacing w:after="120"/>
            </w:pPr>
            <w:r w:rsidRPr="006B142F">
              <w:t>reduce the average time that customers are affected by planned and/or unplanned interruptions; or</w:t>
            </w:r>
          </w:p>
          <w:p w:rsidR="006B142F" w:rsidRPr="006B142F" w:rsidRDefault="006B142F" w:rsidP="006B142F">
            <w:pPr>
              <w:pStyle w:val="Tablebullet"/>
              <w:numPr>
                <w:ilvl w:val="0"/>
                <w:numId w:val="153"/>
              </w:numPr>
              <w:spacing w:after="120"/>
            </w:pPr>
            <w:r w:rsidRPr="006B142F">
              <w:t>reduce the average number of customers affected by planned and/or unplanned interruptions</w:t>
            </w:r>
          </w:p>
        </w:tc>
      </w:tr>
    </w:tbl>
    <w:p w:rsidR="003E69C4" w:rsidRPr="002F2828" w:rsidRDefault="003E69C4" w:rsidP="00AE0D10">
      <w:pPr>
        <w:pStyle w:val="Heading2"/>
        <w:spacing w:before="240" w:after="240" w:line="264" w:lineRule="auto"/>
        <w:jc w:val="center"/>
        <w:rPr>
          <w:rFonts w:asciiTheme="minorHAnsi" w:hAnsiTheme="minorHAnsi"/>
          <w:lang w:eastAsia="en-GB"/>
        </w:rPr>
      </w:pPr>
      <w:r w:rsidRPr="002F2828">
        <w:rPr>
          <w:rFonts w:asciiTheme="minorHAnsi" w:hAnsiTheme="minorHAnsi"/>
          <w:lang w:eastAsia="en-GB"/>
        </w:rPr>
        <w:t>R</w:t>
      </w:r>
    </w:p>
    <w:tbl>
      <w:tblPr>
        <w:tblStyle w:val="TableGrid"/>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510"/>
        <w:gridCol w:w="4882"/>
      </w:tblGrid>
      <w:tr w:rsidR="00DE6E39" w:rsidRPr="002F2828" w:rsidTr="00A03DC6">
        <w:tc>
          <w:tcPr>
            <w:tcW w:w="3510" w:type="dxa"/>
          </w:tcPr>
          <w:p w:rsidR="00DE6E39" w:rsidRPr="002F2828" w:rsidRDefault="008815D2" w:rsidP="00AE0D10">
            <w:pPr>
              <w:pStyle w:val="BodyText"/>
              <w:spacing w:line="264" w:lineRule="auto"/>
              <w:rPr>
                <w:rFonts w:asciiTheme="minorHAnsi" w:hAnsiTheme="minorHAnsi" w:cs="Arial"/>
                <w:b/>
                <w:bCs/>
                <w:lang w:eastAsia="en-NZ"/>
              </w:rPr>
            </w:pPr>
            <w:r w:rsidRPr="002F2828">
              <w:rPr>
                <w:rFonts w:asciiTheme="minorHAnsi" w:hAnsiTheme="minorHAnsi" w:cs="Arial"/>
                <w:b/>
                <w:bCs/>
                <w:lang w:eastAsia="en-NZ"/>
              </w:rPr>
              <w:t>RAB</w:t>
            </w:r>
          </w:p>
        </w:tc>
        <w:tc>
          <w:tcPr>
            <w:tcW w:w="4882" w:type="dxa"/>
          </w:tcPr>
          <w:p w:rsidR="00DE6E39" w:rsidRPr="002F2828" w:rsidRDefault="008815D2" w:rsidP="00AE0D10">
            <w:pPr>
              <w:tabs>
                <w:tab w:val="left" w:pos="4045"/>
              </w:tabs>
              <w:spacing w:line="264" w:lineRule="auto"/>
              <w:ind w:left="34"/>
              <w:rPr>
                <w:rFonts w:asciiTheme="minorHAnsi" w:hAnsiTheme="minorHAnsi"/>
              </w:rPr>
            </w:pPr>
            <w:r w:rsidRPr="002F2828">
              <w:rPr>
                <w:rFonts w:asciiTheme="minorHAnsi" w:hAnsiTheme="minorHAnsi" w:cs="Arial"/>
                <w:bCs/>
                <w:lang w:eastAsia="en-NZ"/>
              </w:rPr>
              <w:t>m</w:t>
            </w:r>
            <w:r w:rsidRPr="002F2828">
              <w:rPr>
                <w:rFonts w:asciiTheme="minorHAnsi" w:hAnsiTheme="minorHAnsi" w:cs="Arial"/>
                <w:lang w:eastAsia="en-NZ"/>
              </w:rPr>
              <w:t xml:space="preserve">eans regulatory asset base and for the components of the RAB roll-forward, the values after applying clause 2.1.1 of the </w:t>
            </w:r>
            <w:r w:rsidRPr="002F2828">
              <w:rPr>
                <w:rFonts w:asciiTheme="minorHAnsi" w:hAnsiTheme="minorHAnsi" w:cs="Arial"/>
                <w:b/>
                <w:bCs/>
                <w:lang w:eastAsia="en-NZ"/>
              </w:rPr>
              <w:t>IM determination</w:t>
            </w:r>
          </w:p>
        </w:tc>
      </w:tr>
      <w:tr w:rsidR="00401271" w:rsidRPr="002F2828" w:rsidTr="00A03DC6">
        <w:tc>
          <w:tcPr>
            <w:tcW w:w="3510" w:type="dxa"/>
          </w:tcPr>
          <w:p w:rsidR="00F56F86" w:rsidRDefault="00401271">
            <w:pPr>
              <w:pStyle w:val="Clausetextunnumbered"/>
              <w:rPr>
                <w:rFonts w:asciiTheme="minorHAnsi" w:hAnsiTheme="minorHAnsi" w:cs="Arial"/>
                <w:b/>
                <w:bCs/>
                <w:lang w:eastAsia="en-NZ"/>
              </w:rPr>
            </w:pPr>
            <w:r w:rsidRPr="002F2828">
              <w:rPr>
                <w:rStyle w:val="Emphasis-Bold"/>
              </w:rPr>
              <w:t>Real New</w:t>
            </w:r>
            <w:r w:rsidRPr="002F2828">
              <w:rPr>
                <w:rStyle w:val="Emphasis-Bold"/>
                <w:rFonts w:hint="eastAsia"/>
              </w:rPr>
              <w:t> </w:t>
            </w:r>
            <w:r w:rsidRPr="002F2828">
              <w:rPr>
                <w:rStyle w:val="Emphasis-Bold"/>
              </w:rPr>
              <w:t>Zealand dollars</w:t>
            </w:r>
          </w:p>
        </w:tc>
        <w:tc>
          <w:tcPr>
            <w:tcW w:w="4882" w:type="dxa"/>
          </w:tcPr>
          <w:p w:rsidR="00401271" w:rsidRPr="002F2828" w:rsidRDefault="00401271" w:rsidP="008E71B3">
            <w:pPr>
              <w:tabs>
                <w:tab w:val="left" w:pos="4045"/>
              </w:tabs>
              <w:spacing w:line="264" w:lineRule="auto"/>
              <w:ind w:left="34"/>
              <w:rPr>
                <w:rFonts w:asciiTheme="minorHAnsi" w:hAnsiTheme="minorHAnsi" w:cs="Arial"/>
                <w:lang w:eastAsia="en-NZ"/>
              </w:rPr>
            </w:pPr>
            <w:r w:rsidRPr="002F2828">
              <w:rPr>
                <w:rFonts w:asciiTheme="minorHAnsi" w:hAnsiTheme="minorHAnsi"/>
              </w:rPr>
              <w:t>means, in relation to the prospective disclosures made under clause</w:t>
            </w:r>
            <w:r w:rsidR="00EB47CE" w:rsidRPr="002F2828">
              <w:rPr>
                <w:rFonts w:asciiTheme="minorHAnsi" w:hAnsiTheme="minorHAnsi"/>
              </w:rPr>
              <w:t>s</w:t>
            </w:r>
            <w:r w:rsidR="0064132E">
              <w:rPr>
                <w:rFonts w:asciiTheme="minorHAnsi" w:hAnsiTheme="minorHAnsi"/>
              </w:rPr>
              <w:t xml:space="preserve">, </w:t>
            </w:r>
            <w:r w:rsidR="00004445">
              <w:rPr>
                <w:rFonts w:asciiTheme="minorHAnsi" w:hAnsiTheme="minorHAnsi"/>
              </w:rPr>
              <w:fldChar w:fldCharType="begin"/>
            </w:r>
            <w:r w:rsidR="005F36C3">
              <w:rPr>
                <w:rFonts w:asciiTheme="minorHAnsi" w:hAnsiTheme="minorHAnsi"/>
              </w:rPr>
              <w:instrText xml:space="preserve"> REF _Ref311133930 \r \h </w:instrText>
            </w:r>
            <w:r w:rsidR="00004445">
              <w:rPr>
                <w:rFonts w:asciiTheme="minorHAnsi" w:hAnsiTheme="minorHAnsi"/>
              </w:rPr>
            </w:r>
            <w:r w:rsidR="00004445">
              <w:rPr>
                <w:rFonts w:asciiTheme="minorHAnsi" w:hAnsiTheme="minorHAnsi"/>
              </w:rPr>
              <w:fldChar w:fldCharType="separate"/>
            </w:r>
            <w:r w:rsidR="00A84D28">
              <w:rPr>
                <w:rFonts w:asciiTheme="minorHAnsi" w:hAnsiTheme="minorHAnsi"/>
              </w:rPr>
              <w:t>2.6.1</w:t>
            </w:r>
            <w:r w:rsidR="00004445">
              <w:rPr>
                <w:rFonts w:asciiTheme="minorHAnsi" w:hAnsiTheme="minorHAnsi"/>
              </w:rPr>
              <w:fldChar w:fldCharType="end"/>
            </w:r>
            <w:r w:rsidR="005F36C3">
              <w:rPr>
                <w:rFonts w:asciiTheme="minorHAnsi" w:hAnsiTheme="minorHAnsi"/>
              </w:rPr>
              <w:t xml:space="preserve">, </w:t>
            </w:r>
            <w:r w:rsidR="00004445">
              <w:rPr>
                <w:rFonts w:asciiTheme="minorHAnsi" w:hAnsiTheme="minorHAnsi"/>
              </w:rPr>
              <w:fldChar w:fldCharType="begin"/>
            </w:r>
            <w:r w:rsidR="008E71B3">
              <w:rPr>
                <w:rFonts w:asciiTheme="minorHAnsi" w:hAnsiTheme="minorHAnsi"/>
              </w:rPr>
              <w:instrText xml:space="preserve"> REF _Ref326252671 \r \h </w:instrText>
            </w:r>
            <w:r w:rsidR="00004445">
              <w:rPr>
                <w:rFonts w:asciiTheme="minorHAnsi" w:hAnsiTheme="minorHAnsi"/>
              </w:rPr>
            </w:r>
            <w:r w:rsidR="00004445">
              <w:rPr>
                <w:rFonts w:asciiTheme="minorHAnsi" w:hAnsiTheme="minorHAnsi"/>
              </w:rPr>
              <w:fldChar w:fldCharType="separate"/>
            </w:r>
            <w:r w:rsidR="00A84D28">
              <w:rPr>
                <w:rFonts w:asciiTheme="minorHAnsi" w:hAnsiTheme="minorHAnsi"/>
              </w:rPr>
              <w:t>2.6.3</w:t>
            </w:r>
            <w:r w:rsidR="00004445">
              <w:rPr>
                <w:rFonts w:asciiTheme="minorHAnsi" w:hAnsiTheme="minorHAnsi"/>
              </w:rPr>
              <w:fldChar w:fldCharType="end"/>
            </w:r>
            <w:r w:rsidR="005F36C3">
              <w:rPr>
                <w:rFonts w:asciiTheme="minorHAnsi" w:hAnsiTheme="minorHAnsi"/>
              </w:rPr>
              <w:t>,</w:t>
            </w:r>
            <w:r w:rsidR="008E71B3">
              <w:rPr>
                <w:rFonts w:asciiTheme="minorHAnsi" w:hAnsiTheme="minorHAnsi"/>
              </w:rPr>
              <w:t xml:space="preserve"> and </w:t>
            </w:r>
            <w:r w:rsidR="00004445">
              <w:rPr>
                <w:rFonts w:asciiTheme="minorHAnsi" w:hAnsiTheme="minorHAnsi"/>
              </w:rPr>
              <w:fldChar w:fldCharType="begin"/>
            </w:r>
            <w:r w:rsidR="008E71B3">
              <w:rPr>
                <w:rFonts w:asciiTheme="minorHAnsi" w:hAnsiTheme="minorHAnsi"/>
              </w:rPr>
              <w:instrText xml:space="preserve"> REF _Ref308091605 \r \h </w:instrText>
            </w:r>
            <w:r w:rsidR="00004445">
              <w:rPr>
                <w:rFonts w:asciiTheme="minorHAnsi" w:hAnsiTheme="minorHAnsi"/>
              </w:rPr>
            </w:r>
            <w:r w:rsidR="00004445">
              <w:rPr>
                <w:rFonts w:asciiTheme="minorHAnsi" w:hAnsiTheme="minorHAnsi"/>
              </w:rPr>
              <w:fldChar w:fldCharType="separate"/>
            </w:r>
            <w:r w:rsidR="00A84D28">
              <w:rPr>
                <w:rFonts w:asciiTheme="minorHAnsi" w:hAnsiTheme="minorHAnsi"/>
              </w:rPr>
              <w:t>2.6.5(1)</w:t>
            </w:r>
            <w:r w:rsidR="00004445">
              <w:rPr>
                <w:rFonts w:asciiTheme="minorHAnsi" w:hAnsiTheme="minorHAnsi"/>
              </w:rPr>
              <w:fldChar w:fldCharType="end"/>
            </w:r>
            <w:r w:rsidR="00EB47CE" w:rsidRPr="002F2828">
              <w:rPr>
                <w:rFonts w:asciiTheme="minorHAnsi" w:hAnsiTheme="minorHAnsi"/>
              </w:rPr>
              <w:t xml:space="preserve">, </w:t>
            </w:r>
            <w:r w:rsidRPr="002F2828">
              <w:rPr>
                <w:rFonts w:asciiTheme="minorHAnsi" w:hAnsiTheme="minorHAnsi"/>
              </w:rPr>
              <w:t xml:space="preserve">New Zealand dollars denominated in real terms as at the mid-point of the </w:t>
            </w:r>
            <w:r w:rsidRPr="002F2828">
              <w:rPr>
                <w:rFonts w:asciiTheme="minorHAnsi" w:hAnsiTheme="minorHAnsi"/>
                <w:b/>
              </w:rPr>
              <w:t>disclosure year</w:t>
            </w:r>
            <w:r w:rsidRPr="002F2828">
              <w:rPr>
                <w:rFonts w:asciiTheme="minorHAnsi" w:hAnsiTheme="minorHAnsi"/>
              </w:rPr>
              <w:t xml:space="preserve"> </w:t>
            </w:r>
          </w:p>
        </w:tc>
      </w:tr>
      <w:tr w:rsidR="00307644" w:rsidRPr="002F2828" w:rsidTr="00A03DC6">
        <w:tc>
          <w:tcPr>
            <w:tcW w:w="3510" w:type="dxa"/>
          </w:tcPr>
          <w:p w:rsidR="00307644" w:rsidRPr="002F2828" w:rsidRDefault="00307644" w:rsidP="00AE0D10">
            <w:pPr>
              <w:pStyle w:val="BodyText"/>
              <w:spacing w:line="264" w:lineRule="auto"/>
              <w:rPr>
                <w:rFonts w:asciiTheme="minorHAnsi" w:hAnsiTheme="minorHAnsi" w:cs="Arial"/>
                <w:b/>
                <w:bCs/>
                <w:lang w:eastAsia="en-NZ"/>
              </w:rPr>
            </w:pPr>
            <w:r w:rsidRPr="002F2828">
              <w:rPr>
                <w:rFonts w:asciiTheme="minorHAnsi" w:hAnsiTheme="minorHAnsi"/>
                <w:b/>
              </w:rPr>
              <w:t>Record</w:t>
            </w:r>
          </w:p>
        </w:tc>
        <w:tc>
          <w:tcPr>
            <w:tcW w:w="4882" w:type="dxa"/>
          </w:tcPr>
          <w:p w:rsidR="00307644" w:rsidRPr="002F2828" w:rsidRDefault="00307644" w:rsidP="00AE0D10">
            <w:pPr>
              <w:tabs>
                <w:tab w:val="left" w:pos="4045"/>
              </w:tabs>
              <w:spacing w:line="264" w:lineRule="auto"/>
              <w:ind w:left="34"/>
              <w:rPr>
                <w:rFonts w:asciiTheme="minorHAnsi" w:hAnsiTheme="minorHAnsi" w:cs="Arial"/>
                <w:lang w:eastAsia="en-NZ"/>
              </w:rPr>
            </w:pPr>
            <w:r w:rsidRPr="002F2828">
              <w:rPr>
                <w:rFonts w:asciiTheme="minorHAnsi" w:hAnsiTheme="minorHAnsi"/>
              </w:rPr>
              <w:t>has the meaning set out in section 4 of the Public Records Act 2005</w:t>
            </w:r>
          </w:p>
        </w:tc>
      </w:tr>
      <w:tr w:rsidR="00C06054" w:rsidRPr="002F2828" w:rsidTr="00A03DC6">
        <w:tc>
          <w:tcPr>
            <w:tcW w:w="3510" w:type="dxa"/>
          </w:tcPr>
          <w:p w:rsidR="00C06054" w:rsidRPr="002F2828" w:rsidRDefault="00C06054" w:rsidP="003C7F15">
            <w:pPr>
              <w:pStyle w:val="BodyText"/>
              <w:spacing w:line="264" w:lineRule="auto"/>
              <w:rPr>
                <w:rFonts w:asciiTheme="minorHAnsi" w:hAnsiTheme="minorHAnsi" w:cs="Arial"/>
                <w:b/>
                <w:bCs/>
                <w:lang w:eastAsia="en-NZ"/>
              </w:rPr>
            </w:pPr>
            <w:r w:rsidRPr="002F2828">
              <w:rPr>
                <w:rFonts w:asciiTheme="minorHAnsi" w:hAnsiTheme="minorHAnsi" w:cs="Arial"/>
                <w:b/>
                <w:bCs/>
                <w:lang w:eastAsia="en-NZ"/>
              </w:rPr>
              <w:t>Regulated service asset value</w:t>
            </w:r>
          </w:p>
        </w:tc>
        <w:tc>
          <w:tcPr>
            <w:tcW w:w="4882" w:type="dxa"/>
          </w:tcPr>
          <w:p w:rsidR="00C06054" w:rsidRPr="002F2828" w:rsidRDefault="00C06054" w:rsidP="00AE0D10">
            <w:pPr>
              <w:tabs>
                <w:tab w:val="left" w:pos="4045"/>
              </w:tabs>
              <w:spacing w:line="264" w:lineRule="auto"/>
              <w:ind w:left="34"/>
              <w:rPr>
                <w:rFonts w:asciiTheme="minorHAnsi" w:hAnsiTheme="minorHAnsi" w:cs="Arial"/>
                <w:lang w:eastAsia="en-NZ"/>
              </w:rPr>
            </w:pPr>
            <w:r w:rsidRPr="002F2828">
              <w:rPr>
                <w:rFonts w:asciiTheme="minorHAnsi" w:hAnsiTheme="minorHAnsi" w:cs="Arial"/>
                <w:lang w:eastAsia="en-NZ"/>
              </w:rPr>
              <w:t xml:space="preserve">has the meaning set out in the </w:t>
            </w:r>
            <w:r w:rsidRPr="002F2828">
              <w:rPr>
                <w:rFonts w:asciiTheme="minorHAnsi" w:hAnsiTheme="minorHAnsi" w:cs="Arial"/>
                <w:b/>
                <w:bCs/>
                <w:lang w:eastAsia="en-NZ"/>
              </w:rPr>
              <w:t>IM determination</w:t>
            </w:r>
          </w:p>
        </w:tc>
      </w:tr>
      <w:tr w:rsidR="00401271" w:rsidRPr="002F2828" w:rsidTr="00A03DC6">
        <w:tc>
          <w:tcPr>
            <w:tcW w:w="3510" w:type="dxa"/>
          </w:tcPr>
          <w:p w:rsidR="00401271" w:rsidRPr="002F2828" w:rsidRDefault="00401271" w:rsidP="00AE0D10">
            <w:pPr>
              <w:spacing w:line="264" w:lineRule="auto"/>
              <w:rPr>
                <w:rFonts w:asciiTheme="minorHAnsi" w:hAnsiTheme="minorHAnsi" w:cs="Arial"/>
                <w:b/>
                <w:bCs/>
                <w:lang w:eastAsia="en-NZ"/>
              </w:rPr>
            </w:pPr>
            <w:r w:rsidRPr="002F2828">
              <w:rPr>
                <w:rFonts w:asciiTheme="minorHAnsi" w:hAnsiTheme="minorHAnsi" w:cs="Arial"/>
                <w:b/>
                <w:bCs/>
                <w:lang w:eastAsia="en-NZ"/>
              </w:rPr>
              <w:t>Regulatory taxable income</w:t>
            </w:r>
          </w:p>
        </w:tc>
        <w:tc>
          <w:tcPr>
            <w:tcW w:w="4882" w:type="dxa"/>
          </w:tcPr>
          <w:p w:rsidR="00401271" w:rsidRPr="002F2828" w:rsidRDefault="00401271" w:rsidP="00AE0D10">
            <w:pPr>
              <w:spacing w:line="264" w:lineRule="auto"/>
              <w:rPr>
                <w:rFonts w:asciiTheme="minorHAnsi" w:hAnsiTheme="minorHAnsi" w:cs="Arial"/>
                <w:lang w:eastAsia="en-NZ"/>
              </w:rPr>
            </w:pPr>
            <w:r w:rsidRPr="002F2828">
              <w:rPr>
                <w:rFonts w:asciiTheme="minorHAnsi" w:hAnsiTheme="minorHAnsi" w:cs="Arial"/>
                <w:lang w:eastAsia="en-NZ"/>
              </w:rPr>
              <w:t xml:space="preserve">has the meaning set out in the </w:t>
            </w:r>
            <w:r w:rsidRPr="002F2828">
              <w:rPr>
                <w:rFonts w:asciiTheme="minorHAnsi" w:hAnsiTheme="minorHAnsi" w:cs="Arial"/>
                <w:b/>
                <w:bCs/>
                <w:lang w:eastAsia="en-NZ"/>
              </w:rPr>
              <w:t>IM determination</w:t>
            </w:r>
          </w:p>
        </w:tc>
      </w:tr>
      <w:tr w:rsidR="00401271" w:rsidRPr="002F2828" w:rsidTr="004068A0">
        <w:tc>
          <w:tcPr>
            <w:tcW w:w="3510" w:type="dxa"/>
          </w:tcPr>
          <w:p w:rsidR="00401271" w:rsidRPr="002F2828" w:rsidRDefault="00401271" w:rsidP="004068A0">
            <w:pPr>
              <w:spacing w:line="264" w:lineRule="auto"/>
              <w:rPr>
                <w:rFonts w:asciiTheme="minorHAnsi" w:hAnsiTheme="minorHAnsi" w:cs="Arial"/>
                <w:b/>
                <w:bCs/>
                <w:lang w:eastAsia="en-NZ"/>
              </w:rPr>
            </w:pPr>
            <w:r w:rsidRPr="002F2828">
              <w:rPr>
                <w:rFonts w:asciiTheme="minorHAnsi" w:hAnsiTheme="minorHAnsi" w:cs="Arial"/>
                <w:b/>
                <w:bCs/>
                <w:lang w:eastAsia="en-NZ"/>
              </w:rPr>
              <w:t>Related party</w:t>
            </w:r>
          </w:p>
        </w:tc>
        <w:tc>
          <w:tcPr>
            <w:tcW w:w="4882" w:type="dxa"/>
          </w:tcPr>
          <w:p w:rsidR="00401271" w:rsidRPr="002F2828" w:rsidRDefault="00401271" w:rsidP="004068A0">
            <w:pPr>
              <w:tabs>
                <w:tab w:val="left" w:pos="4045"/>
              </w:tabs>
              <w:spacing w:line="264" w:lineRule="auto"/>
              <w:ind w:left="34"/>
              <w:rPr>
                <w:rFonts w:asciiTheme="minorHAnsi" w:hAnsiTheme="minorHAnsi" w:cs="Arial"/>
                <w:lang w:eastAsia="en-NZ"/>
              </w:rPr>
            </w:pPr>
            <w:r w:rsidRPr="002F2828">
              <w:rPr>
                <w:rFonts w:asciiTheme="minorHAnsi" w:hAnsiTheme="minorHAnsi" w:cs="Arial"/>
                <w:lang w:eastAsia="en-NZ"/>
              </w:rPr>
              <w:t xml:space="preserve">has the meaning set out in the </w:t>
            </w:r>
            <w:r w:rsidRPr="002F2828">
              <w:rPr>
                <w:rFonts w:asciiTheme="minorHAnsi" w:hAnsiTheme="minorHAnsi" w:cs="Arial"/>
                <w:b/>
                <w:bCs/>
                <w:lang w:eastAsia="en-NZ"/>
              </w:rPr>
              <w:t>IM determination</w:t>
            </w:r>
          </w:p>
        </w:tc>
      </w:tr>
      <w:tr w:rsidR="00401271" w:rsidRPr="002F2828" w:rsidTr="004068A0">
        <w:tc>
          <w:tcPr>
            <w:tcW w:w="3510" w:type="dxa"/>
          </w:tcPr>
          <w:p w:rsidR="00401271" w:rsidRPr="002F2828" w:rsidRDefault="00401271" w:rsidP="004068A0">
            <w:pPr>
              <w:spacing w:line="264" w:lineRule="auto"/>
              <w:rPr>
                <w:rFonts w:asciiTheme="minorHAnsi" w:hAnsiTheme="minorHAnsi" w:cs="Arial"/>
                <w:b/>
                <w:bCs/>
                <w:lang w:eastAsia="en-NZ"/>
              </w:rPr>
            </w:pPr>
            <w:r w:rsidRPr="002F2828">
              <w:rPr>
                <w:rFonts w:asciiTheme="minorHAnsi" w:hAnsiTheme="minorHAnsi" w:cs="Arial"/>
                <w:b/>
                <w:bCs/>
                <w:lang w:eastAsia="en-NZ"/>
              </w:rPr>
              <w:t>Related party transaction</w:t>
            </w:r>
          </w:p>
        </w:tc>
        <w:tc>
          <w:tcPr>
            <w:tcW w:w="4882" w:type="dxa"/>
          </w:tcPr>
          <w:p w:rsidR="00401271" w:rsidRPr="002F2828" w:rsidRDefault="00401271" w:rsidP="004068A0">
            <w:pPr>
              <w:tabs>
                <w:tab w:val="left" w:pos="4045"/>
              </w:tabs>
              <w:spacing w:line="264" w:lineRule="auto"/>
              <w:ind w:left="34"/>
              <w:rPr>
                <w:rFonts w:asciiTheme="minorHAnsi" w:hAnsiTheme="minorHAnsi" w:cs="Arial"/>
                <w:lang w:eastAsia="en-NZ"/>
              </w:rPr>
            </w:pPr>
            <w:r w:rsidRPr="002F2828">
              <w:rPr>
                <w:rFonts w:asciiTheme="minorHAnsi" w:hAnsiTheme="minorHAnsi" w:cs="Arial"/>
                <w:lang w:eastAsia="en-NZ"/>
              </w:rPr>
              <w:t xml:space="preserve">means a transaction with a </w:t>
            </w:r>
            <w:r w:rsidRPr="002F2828">
              <w:rPr>
                <w:rFonts w:asciiTheme="minorHAnsi" w:hAnsiTheme="minorHAnsi" w:cs="Arial"/>
                <w:b/>
                <w:lang w:eastAsia="en-NZ"/>
              </w:rPr>
              <w:t>related party</w:t>
            </w:r>
          </w:p>
        </w:tc>
      </w:tr>
      <w:tr w:rsidR="00401271" w:rsidRPr="002F2828" w:rsidTr="004068A0">
        <w:tc>
          <w:tcPr>
            <w:tcW w:w="3510" w:type="dxa"/>
          </w:tcPr>
          <w:p w:rsidR="00401271" w:rsidRPr="002F2828" w:rsidRDefault="00401271" w:rsidP="000C09C5">
            <w:pPr>
              <w:pStyle w:val="Clausetextunnumbered"/>
            </w:pPr>
            <w:r w:rsidRPr="002F2828">
              <w:rPr>
                <w:rStyle w:val="Emphasis-Bold"/>
              </w:rPr>
              <w:t>Relat</w:t>
            </w:r>
            <w:r w:rsidR="0064293B" w:rsidRPr="002F2828">
              <w:rPr>
                <w:rStyle w:val="Emphasis-Bold"/>
              </w:rPr>
              <w:t>ed</w:t>
            </w:r>
            <w:r w:rsidRPr="002F2828">
              <w:rPr>
                <w:rStyle w:val="Emphasis-Bold"/>
              </w:rPr>
              <w:t xml:space="preserve"> </w:t>
            </w:r>
            <w:r w:rsidR="0064293B" w:rsidRPr="002F2828">
              <w:rPr>
                <w:rStyle w:val="Emphasis-Bold"/>
              </w:rPr>
              <w:t>services</w:t>
            </w:r>
            <w:r w:rsidRPr="002F2828">
              <w:t xml:space="preserve"> </w:t>
            </w:r>
          </w:p>
        </w:tc>
        <w:tc>
          <w:tcPr>
            <w:tcW w:w="4882" w:type="dxa"/>
          </w:tcPr>
          <w:p w:rsidR="00401271" w:rsidRPr="002F2828" w:rsidRDefault="008D6BC6" w:rsidP="008D6BC6">
            <w:pPr>
              <w:spacing w:line="264" w:lineRule="auto"/>
              <w:rPr>
                <w:rFonts w:asciiTheme="minorHAnsi" w:hAnsiTheme="minorHAnsi" w:cs="Arial"/>
                <w:lang w:eastAsia="en-NZ"/>
              </w:rPr>
            </w:pPr>
            <w:r w:rsidRPr="002F2828">
              <w:rPr>
                <w:rFonts w:asciiTheme="minorHAnsi" w:hAnsiTheme="minorHAnsi" w:cs="Arial"/>
                <w:lang w:eastAsia="en-NZ"/>
              </w:rPr>
              <w:t xml:space="preserve">means any </w:t>
            </w:r>
            <w:r w:rsidRPr="002F2828">
              <w:rPr>
                <w:rFonts w:asciiTheme="minorHAnsi" w:hAnsiTheme="minorHAnsi" w:cs="Arial"/>
                <w:b/>
                <w:lang w:eastAsia="en-NZ"/>
              </w:rPr>
              <w:t xml:space="preserve">contract </w:t>
            </w:r>
            <w:r w:rsidRPr="002F2828">
              <w:rPr>
                <w:rFonts w:asciiTheme="minorHAnsi" w:hAnsiTheme="minorHAnsi" w:cs="Arial"/>
                <w:lang w:eastAsia="en-NZ"/>
              </w:rPr>
              <w:t xml:space="preserve">for the supply of goods or services (other than a </w:t>
            </w:r>
            <w:r w:rsidRPr="002F2828">
              <w:rPr>
                <w:rFonts w:asciiTheme="minorHAnsi" w:hAnsiTheme="minorHAnsi" w:cs="Arial"/>
                <w:b/>
                <w:lang w:eastAsia="en-NZ"/>
              </w:rPr>
              <w:t xml:space="preserve">contract </w:t>
            </w:r>
            <w:r w:rsidRPr="002F2828">
              <w:rPr>
                <w:rFonts w:asciiTheme="minorHAnsi" w:hAnsiTheme="minorHAnsi" w:cs="Arial"/>
                <w:lang w:eastAsia="en-NZ"/>
              </w:rPr>
              <w:t>for the supply or conveyance of gas or the supply of gas appliances) in any case where-</w:t>
            </w:r>
          </w:p>
          <w:p w:rsidR="008D6BC6" w:rsidRPr="002F2828" w:rsidRDefault="008D6BC6" w:rsidP="00F82684">
            <w:pPr>
              <w:pStyle w:val="ListParagraph"/>
              <w:numPr>
                <w:ilvl w:val="4"/>
                <w:numId w:val="57"/>
              </w:numPr>
              <w:tabs>
                <w:tab w:val="clear" w:pos="3600"/>
                <w:tab w:val="num" w:pos="459"/>
              </w:tabs>
              <w:spacing w:line="264" w:lineRule="auto"/>
              <w:ind w:left="459" w:hanging="459"/>
              <w:rPr>
                <w:rFonts w:asciiTheme="minorHAnsi" w:hAnsiTheme="minorHAnsi" w:cs="Arial"/>
                <w:lang w:eastAsia="en-NZ"/>
              </w:rPr>
            </w:pPr>
            <w:r w:rsidRPr="002F2828">
              <w:rPr>
                <w:rFonts w:asciiTheme="minorHAnsi" w:hAnsiTheme="minorHAnsi" w:cs="Arial"/>
                <w:lang w:eastAsia="en-NZ"/>
              </w:rPr>
              <w:t>there is a linkage between:</w:t>
            </w:r>
          </w:p>
          <w:p w:rsidR="008D6BC6" w:rsidRPr="002F2828" w:rsidRDefault="008D6BC6" w:rsidP="00F82684">
            <w:pPr>
              <w:pStyle w:val="ListParagraph"/>
              <w:numPr>
                <w:ilvl w:val="1"/>
                <w:numId w:val="71"/>
              </w:numPr>
              <w:tabs>
                <w:tab w:val="clear" w:pos="1920"/>
                <w:tab w:val="num" w:pos="884"/>
              </w:tabs>
              <w:spacing w:line="264" w:lineRule="auto"/>
              <w:ind w:left="884" w:hanging="425"/>
              <w:rPr>
                <w:rFonts w:asciiTheme="minorHAnsi" w:hAnsiTheme="minorHAnsi" w:cs="Arial"/>
                <w:lang w:eastAsia="en-NZ"/>
              </w:rPr>
            </w:pPr>
            <w:r w:rsidRPr="002F2828">
              <w:rPr>
                <w:rFonts w:asciiTheme="minorHAnsi" w:hAnsiTheme="minorHAnsi" w:cs="Arial"/>
                <w:lang w:eastAsia="en-NZ"/>
              </w:rPr>
              <w:t xml:space="preserve">that </w:t>
            </w:r>
            <w:r w:rsidRPr="002F2828">
              <w:rPr>
                <w:rFonts w:asciiTheme="minorHAnsi" w:hAnsiTheme="minorHAnsi" w:cs="Arial"/>
                <w:b/>
                <w:lang w:eastAsia="en-NZ"/>
              </w:rPr>
              <w:t>contract</w:t>
            </w:r>
            <w:r w:rsidRPr="002F2828">
              <w:rPr>
                <w:rFonts w:asciiTheme="minorHAnsi" w:hAnsiTheme="minorHAnsi" w:cs="Arial"/>
                <w:lang w:eastAsia="en-NZ"/>
              </w:rPr>
              <w:t>; and</w:t>
            </w:r>
          </w:p>
          <w:p w:rsidR="008D6BC6" w:rsidRPr="002F2828" w:rsidRDefault="008D6BC6" w:rsidP="00F82684">
            <w:pPr>
              <w:pStyle w:val="ListParagraph"/>
              <w:numPr>
                <w:ilvl w:val="1"/>
                <w:numId w:val="71"/>
              </w:numPr>
              <w:tabs>
                <w:tab w:val="clear" w:pos="1920"/>
                <w:tab w:val="num" w:pos="884"/>
              </w:tabs>
              <w:spacing w:line="264" w:lineRule="auto"/>
              <w:ind w:left="884" w:hanging="425"/>
              <w:rPr>
                <w:rFonts w:asciiTheme="minorHAnsi" w:hAnsiTheme="minorHAnsi" w:cs="Arial"/>
                <w:lang w:eastAsia="en-NZ"/>
              </w:rPr>
            </w:pPr>
            <w:r w:rsidRPr="002F2828">
              <w:rPr>
                <w:rFonts w:asciiTheme="minorHAnsi" w:hAnsiTheme="minorHAnsi" w:cs="Arial"/>
                <w:lang w:eastAsia="en-NZ"/>
              </w:rPr>
              <w:t xml:space="preserve">a </w:t>
            </w:r>
            <w:r w:rsidRPr="002F2828">
              <w:rPr>
                <w:rFonts w:asciiTheme="minorHAnsi" w:hAnsiTheme="minorHAnsi" w:cs="Arial"/>
                <w:b/>
                <w:lang w:eastAsia="en-NZ"/>
              </w:rPr>
              <w:t xml:space="preserve">contract </w:t>
            </w:r>
            <w:r w:rsidRPr="002F2828">
              <w:rPr>
                <w:rFonts w:asciiTheme="minorHAnsi" w:hAnsiTheme="minorHAnsi" w:cs="Arial"/>
                <w:lang w:eastAsia="en-NZ"/>
              </w:rPr>
              <w:t>for the supply or conveyance of gas</w:t>
            </w:r>
          </w:p>
          <w:p w:rsidR="008D6BC6" w:rsidRPr="002F2828" w:rsidRDefault="008D6BC6" w:rsidP="008D6BC6">
            <w:pPr>
              <w:pStyle w:val="ListParagraph"/>
              <w:spacing w:line="264" w:lineRule="auto"/>
              <w:ind w:left="459"/>
              <w:rPr>
                <w:rFonts w:asciiTheme="minorHAnsi" w:hAnsiTheme="minorHAnsi" w:cs="Arial"/>
                <w:lang w:eastAsia="en-NZ"/>
              </w:rPr>
            </w:pPr>
            <w:r w:rsidRPr="002F2828">
              <w:rPr>
                <w:rFonts w:asciiTheme="minorHAnsi" w:hAnsiTheme="minorHAnsi" w:cs="Arial"/>
                <w:lang w:eastAsia="en-NZ"/>
              </w:rPr>
              <w:t>by reason that the consideration for the supply of those goods or services is linked to, or combined with, payment for the supply or conveyance of that gas; and</w:t>
            </w:r>
          </w:p>
          <w:p w:rsidR="008D6BC6" w:rsidRPr="002F2828" w:rsidRDefault="008D6BC6" w:rsidP="00F82684">
            <w:pPr>
              <w:pStyle w:val="ListParagraph"/>
              <w:numPr>
                <w:ilvl w:val="4"/>
                <w:numId w:val="57"/>
              </w:numPr>
              <w:tabs>
                <w:tab w:val="clear" w:pos="3600"/>
                <w:tab w:val="num" w:pos="459"/>
              </w:tabs>
              <w:spacing w:line="264" w:lineRule="auto"/>
              <w:ind w:left="459" w:hanging="459"/>
              <w:rPr>
                <w:rFonts w:asciiTheme="minorHAnsi" w:hAnsiTheme="minorHAnsi" w:cs="Arial"/>
                <w:lang w:eastAsia="en-NZ"/>
              </w:rPr>
            </w:pPr>
            <w:r w:rsidRPr="002F2828">
              <w:rPr>
                <w:rFonts w:asciiTheme="minorHAnsi" w:hAnsiTheme="minorHAnsi" w:cs="Arial"/>
                <w:lang w:eastAsia="en-NZ"/>
              </w:rPr>
              <w:t xml:space="preserve">the monetary value of the goods or services supplied, or to be supplied, under the </w:t>
            </w:r>
            <w:r w:rsidRPr="002F2828">
              <w:rPr>
                <w:rFonts w:asciiTheme="minorHAnsi" w:hAnsiTheme="minorHAnsi" w:cs="Arial"/>
                <w:b/>
                <w:lang w:eastAsia="en-NZ"/>
              </w:rPr>
              <w:t xml:space="preserve">contract </w:t>
            </w:r>
            <w:r w:rsidRPr="002F2828">
              <w:rPr>
                <w:rFonts w:asciiTheme="minorHAnsi" w:hAnsiTheme="minorHAnsi" w:cs="Arial"/>
                <w:lang w:eastAsia="en-NZ"/>
              </w:rPr>
              <w:t>referred to in (a)(</w:t>
            </w:r>
            <w:proofErr w:type="spellStart"/>
            <w:r w:rsidRPr="002F2828">
              <w:rPr>
                <w:rFonts w:asciiTheme="minorHAnsi" w:hAnsiTheme="minorHAnsi" w:cs="Arial"/>
                <w:lang w:eastAsia="en-NZ"/>
              </w:rPr>
              <w:t>i</w:t>
            </w:r>
            <w:proofErr w:type="spellEnd"/>
            <w:r w:rsidRPr="002F2828">
              <w:rPr>
                <w:rFonts w:asciiTheme="minorHAnsi" w:hAnsiTheme="minorHAnsi" w:cs="Arial"/>
                <w:lang w:eastAsia="en-NZ"/>
              </w:rPr>
              <w:t>) above, in respect of:</w:t>
            </w:r>
          </w:p>
          <w:p w:rsidR="008F5D7B" w:rsidRDefault="008D6BC6" w:rsidP="00F82684">
            <w:pPr>
              <w:pStyle w:val="ListParagraph"/>
              <w:numPr>
                <w:ilvl w:val="1"/>
                <w:numId w:val="72"/>
              </w:numPr>
              <w:tabs>
                <w:tab w:val="clear" w:pos="1920"/>
                <w:tab w:val="num" w:pos="459"/>
                <w:tab w:val="num" w:pos="884"/>
              </w:tabs>
              <w:spacing w:line="264" w:lineRule="auto"/>
              <w:ind w:left="884" w:hanging="425"/>
              <w:rPr>
                <w:rFonts w:asciiTheme="minorHAnsi" w:hAnsiTheme="minorHAnsi" w:cs="Arial"/>
                <w:lang w:eastAsia="en-NZ"/>
              </w:rPr>
            </w:pPr>
            <w:r w:rsidRPr="002F2828">
              <w:rPr>
                <w:rFonts w:asciiTheme="minorHAnsi" w:hAnsiTheme="minorHAnsi" w:cs="Arial"/>
                <w:lang w:eastAsia="en-NZ"/>
              </w:rPr>
              <w:t xml:space="preserve">the period of 12 months immediately before the information relating to the </w:t>
            </w:r>
            <w:r w:rsidRPr="002F2828">
              <w:rPr>
                <w:rFonts w:asciiTheme="minorHAnsi" w:hAnsiTheme="minorHAnsi" w:cs="Arial"/>
                <w:b/>
                <w:lang w:eastAsia="en-NZ"/>
              </w:rPr>
              <w:t xml:space="preserve">contract </w:t>
            </w:r>
            <w:r w:rsidRPr="002F2828">
              <w:rPr>
                <w:rFonts w:asciiTheme="minorHAnsi" w:hAnsiTheme="minorHAnsi" w:cs="Arial"/>
                <w:lang w:eastAsia="en-NZ"/>
              </w:rPr>
              <w:t>for the</w:t>
            </w:r>
            <w:r w:rsidRPr="002F2828">
              <w:rPr>
                <w:rFonts w:asciiTheme="minorHAnsi" w:hAnsiTheme="minorHAnsi" w:cs="Arial"/>
                <w:b/>
                <w:lang w:eastAsia="en-NZ"/>
              </w:rPr>
              <w:t xml:space="preserve"> </w:t>
            </w:r>
            <w:r w:rsidRPr="002F2828">
              <w:rPr>
                <w:rFonts w:asciiTheme="minorHAnsi" w:hAnsiTheme="minorHAnsi" w:cs="Arial"/>
                <w:lang w:eastAsia="en-NZ"/>
              </w:rPr>
              <w:t xml:space="preserve">supply or conveyance of gas that is </w:t>
            </w:r>
            <w:r w:rsidRPr="002F2828">
              <w:rPr>
                <w:rFonts w:asciiTheme="minorHAnsi" w:hAnsiTheme="minorHAnsi" w:cs="Arial"/>
                <w:b/>
                <w:lang w:eastAsia="en-NZ"/>
              </w:rPr>
              <w:t>publicly disclosed</w:t>
            </w:r>
            <w:r w:rsidRPr="002F2828">
              <w:rPr>
                <w:rFonts w:asciiTheme="minorHAnsi" w:hAnsiTheme="minorHAnsi" w:cs="Arial"/>
                <w:lang w:eastAsia="en-NZ"/>
              </w:rPr>
              <w:t xml:space="preserve"> as required by clauses </w:t>
            </w:r>
            <w:r w:rsidR="00004445">
              <w:rPr>
                <w:rFonts w:asciiTheme="minorHAnsi" w:hAnsiTheme="minorHAnsi" w:cs="Arial"/>
                <w:lang w:eastAsia="en-NZ"/>
              </w:rPr>
              <w:fldChar w:fldCharType="begin"/>
            </w:r>
            <w:r w:rsidR="0064132E">
              <w:rPr>
                <w:rFonts w:asciiTheme="minorHAnsi" w:hAnsiTheme="minorHAnsi" w:cs="Arial"/>
                <w:lang w:eastAsia="en-NZ"/>
              </w:rPr>
              <w:instrText xml:space="preserve"> REF _Ref329166270 \r \h </w:instrText>
            </w:r>
            <w:r w:rsidR="00004445">
              <w:rPr>
                <w:rFonts w:asciiTheme="minorHAnsi" w:hAnsiTheme="minorHAnsi" w:cs="Arial"/>
                <w:lang w:eastAsia="en-NZ"/>
              </w:rPr>
            </w:r>
            <w:r w:rsidR="00004445">
              <w:rPr>
                <w:rFonts w:asciiTheme="minorHAnsi" w:hAnsiTheme="minorHAnsi" w:cs="Arial"/>
                <w:lang w:eastAsia="en-NZ"/>
              </w:rPr>
              <w:fldChar w:fldCharType="separate"/>
            </w:r>
            <w:r w:rsidR="00A84D28">
              <w:rPr>
                <w:rFonts w:asciiTheme="minorHAnsi" w:hAnsiTheme="minorHAnsi" w:cs="Arial"/>
                <w:lang w:eastAsia="en-NZ"/>
              </w:rPr>
              <w:t>2.4.9</w:t>
            </w:r>
            <w:r w:rsidR="00004445">
              <w:rPr>
                <w:rFonts w:asciiTheme="minorHAnsi" w:hAnsiTheme="minorHAnsi" w:cs="Arial"/>
                <w:lang w:eastAsia="en-NZ"/>
              </w:rPr>
              <w:fldChar w:fldCharType="end"/>
            </w:r>
            <w:r w:rsidRPr="002F2828">
              <w:rPr>
                <w:rFonts w:asciiTheme="minorHAnsi" w:hAnsiTheme="minorHAnsi" w:cs="Arial"/>
                <w:lang w:eastAsia="en-NZ"/>
              </w:rPr>
              <w:t xml:space="preserve"> or </w:t>
            </w:r>
            <w:r w:rsidR="00004445">
              <w:rPr>
                <w:rFonts w:asciiTheme="minorHAnsi" w:hAnsiTheme="minorHAnsi" w:cs="Arial"/>
                <w:lang w:eastAsia="en-NZ"/>
              </w:rPr>
              <w:fldChar w:fldCharType="begin"/>
            </w:r>
            <w:r w:rsidR="0064132E">
              <w:rPr>
                <w:rFonts w:asciiTheme="minorHAnsi" w:hAnsiTheme="minorHAnsi" w:cs="Arial"/>
                <w:lang w:eastAsia="en-NZ"/>
              </w:rPr>
              <w:instrText xml:space="preserve"> REF _Ref329115673 \r \h </w:instrText>
            </w:r>
            <w:r w:rsidR="00004445">
              <w:rPr>
                <w:rFonts w:asciiTheme="minorHAnsi" w:hAnsiTheme="minorHAnsi" w:cs="Arial"/>
                <w:lang w:eastAsia="en-NZ"/>
              </w:rPr>
            </w:r>
            <w:r w:rsidR="00004445">
              <w:rPr>
                <w:rFonts w:asciiTheme="minorHAnsi" w:hAnsiTheme="minorHAnsi" w:cs="Arial"/>
                <w:lang w:eastAsia="en-NZ"/>
              </w:rPr>
              <w:fldChar w:fldCharType="separate"/>
            </w:r>
            <w:r w:rsidR="00A84D28">
              <w:rPr>
                <w:rFonts w:asciiTheme="minorHAnsi" w:hAnsiTheme="minorHAnsi" w:cs="Arial"/>
                <w:lang w:eastAsia="en-NZ"/>
              </w:rPr>
              <w:t>2.4.10</w:t>
            </w:r>
            <w:r w:rsidR="00004445">
              <w:rPr>
                <w:rFonts w:asciiTheme="minorHAnsi" w:hAnsiTheme="minorHAnsi" w:cs="Arial"/>
                <w:lang w:eastAsia="en-NZ"/>
              </w:rPr>
              <w:fldChar w:fldCharType="end"/>
            </w:r>
            <w:r w:rsidRPr="002F2828">
              <w:rPr>
                <w:rFonts w:asciiTheme="minorHAnsi" w:hAnsiTheme="minorHAnsi" w:cs="Arial"/>
                <w:lang w:eastAsia="en-NZ"/>
              </w:rPr>
              <w:t>; or</w:t>
            </w:r>
          </w:p>
          <w:p w:rsidR="008D6BC6" w:rsidRPr="002F2828" w:rsidRDefault="008D6BC6" w:rsidP="00F82684">
            <w:pPr>
              <w:pStyle w:val="ListParagraph"/>
              <w:numPr>
                <w:ilvl w:val="1"/>
                <w:numId w:val="72"/>
              </w:numPr>
              <w:tabs>
                <w:tab w:val="clear" w:pos="1920"/>
                <w:tab w:val="num" w:pos="459"/>
                <w:tab w:val="num" w:pos="884"/>
              </w:tabs>
              <w:spacing w:line="264" w:lineRule="auto"/>
              <w:ind w:left="884" w:hanging="425"/>
              <w:rPr>
                <w:rFonts w:asciiTheme="minorHAnsi" w:hAnsiTheme="minorHAnsi" w:cs="Arial"/>
                <w:lang w:eastAsia="en-NZ"/>
              </w:rPr>
            </w:pPr>
            <w:r w:rsidRPr="002F2828">
              <w:rPr>
                <w:rFonts w:asciiTheme="minorHAnsi" w:hAnsiTheme="minorHAnsi" w:cs="Arial"/>
                <w:lang w:eastAsia="en-NZ"/>
              </w:rPr>
              <w:t xml:space="preserve">the period of 12 months immediately after that information is </w:t>
            </w:r>
            <w:r w:rsidRPr="002F2828">
              <w:rPr>
                <w:rFonts w:asciiTheme="minorHAnsi" w:hAnsiTheme="minorHAnsi" w:cs="Arial"/>
                <w:b/>
                <w:lang w:eastAsia="en-NZ"/>
              </w:rPr>
              <w:t>publicly disclosed</w:t>
            </w:r>
            <w:r w:rsidR="009C1189" w:rsidRPr="002F2828">
              <w:rPr>
                <w:rFonts w:asciiTheme="minorHAnsi" w:hAnsiTheme="minorHAnsi" w:cs="Arial"/>
                <w:lang w:eastAsia="en-NZ"/>
              </w:rPr>
              <w:t>-</w:t>
            </w:r>
          </w:p>
          <w:p w:rsidR="009C1189" w:rsidRPr="002F2828" w:rsidRDefault="009C1189" w:rsidP="009C1189">
            <w:pPr>
              <w:tabs>
                <w:tab w:val="num" w:pos="884"/>
              </w:tabs>
              <w:spacing w:line="264" w:lineRule="auto"/>
              <w:ind w:left="459"/>
              <w:rPr>
                <w:rFonts w:asciiTheme="minorHAnsi" w:hAnsiTheme="minorHAnsi" w:cs="Arial"/>
                <w:lang w:eastAsia="en-NZ"/>
              </w:rPr>
            </w:pPr>
            <w:r w:rsidRPr="002F2828">
              <w:rPr>
                <w:rFonts w:asciiTheme="minorHAnsi" w:hAnsiTheme="minorHAnsi" w:cs="Arial"/>
                <w:lang w:eastAsia="en-NZ"/>
              </w:rPr>
              <w:t xml:space="preserve">amounts to or will amount to more than 1% of the monetary value or projected monetary value of the </w:t>
            </w:r>
            <w:r w:rsidRPr="002F2828">
              <w:rPr>
                <w:rFonts w:asciiTheme="minorHAnsi" w:hAnsiTheme="minorHAnsi" w:cs="Arial"/>
                <w:b/>
                <w:lang w:eastAsia="en-NZ"/>
              </w:rPr>
              <w:t xml:space="preserve">contract </w:t>
            </w:r>
            <w:r w:rsidRPr="002F2828">
              <w:rPr>
                <w:rFonts w:asciiTheme="minorHAnsi" w:hAnsiTheme="minorHAnsi" w:cs="Arial"/>
                <w:lang w:eastAsia="en-NZ"/>
              </w:rPr>
              <w:t>for the supply or conveyance of gas</w:t>
            </w:r>
          </w:p>
        </w:tc>
      </w:tr>
      <w:tr w:rsidR="00CD75EF" w:rsidRPr="002F2828" w:rsidTr="00A03DC6">
        <w:tc>
          <w:tcPr>
            <w:tcW w:w="3510" w:type="dxa"/>
          </w:tcPr>
          <w:p w:rsidR="00CD75EF" w:rsidRPr="002F2828" w:rsidRDefault="00CD75EF" w:rsidP="00AE0D10">
            <w:pPr>
              <w:spacing w:line="264" w:lineRule="auto"/>
              <w:rPr>
                <w:rFonts w:asciiTheme="minorHAnsi" w:hAnsiTheme="minorHAnsi" w:cs="Arial"/>
                <w:b/>
                <w:bCs/>
                <w:lang w:eastAsia="en-NZ"/>
              </w:rPr>
            </w:pPr>
            <w:r w:rsidRPr="002F2828">
              <w:rPr>
                <w:rFonts w:asciiTheme="minorHAnsi" w:hAnsiTheme="minorHAnsi" w:cs="Arial"/>
                <w:b/>
                <w:bCs/>
                <w:lang w:eastAsia="en-NZ"/>
              </w:rPr>
              <w:t>Revenue</w:t>
            </w:r>
          </w:p>
        </w:tc>
        <w:tc>
          <w:tcPr>
            <w:tcW w:w="4882" w:type="dxa"/>
          </w:tcPr>
          <w:p w:rsidR="00CD75EF" w:rsidRPr="002F2828" w:rsidRDefault="00CD75EF" w:rsidP="004068A0">
            <w:pPr>
              <w:rPr>
                <w:rFonts w:asciiTheme="minorHAnsi" w:hAnsiTheme="minorHAnsi"/>
              </w:rPr>
            </w:pPr>
            <w:r w:rsidRPr="002F2828">
              <w:rPr>
                <w:rFonts w:asciiTheme="minorHAnsi" w:hAnsiTheme="minorHAnsi"/>
              </w:rPr>
              <w:t xml:space="preserve">means </w:t>
            </w:r>
            <w:r w:rsidRPr="002F2828">
              <w:rPr>
                <w:rFonts w:asciiTheme="minorHAnsi" w:hAnsiTheme="minorHAnsi"/>
                <w:b/>
              </w:rPr>
              <w:t>total regulatory income</w:t>
            </w:r>
            <w:r w:rsidRPr="002F2828">
              <w:rPr>
                <w:rFonts w:asciiTheme="minorHAnsi" w:hAnsiTheme="minorHAnsi"/>
              </w:rPr>
              <w:t xml:space="preserve"> accrued in each of the months of the </w:t>
            </w:r>
            <w:r w:rsidRPr="002F2828">
              <w:rPr>
                <w:rFonts w:asciiTheme="minorHAnsi" w:hAnsiTheme="minorHAnsi"/>
                <w:b/>
              </w:rPr>
              <w:t>disclosure year</w:t>
            </w:r>
          </w:p>
        </w:tc>
      </w:tr>
      <w:tr w:rsidR="00765D9D" w:rsidRPr="002F2828" w:rsidTr="00A03DC6">
        <w:tc>
          <w:tcPr>
            <w:tcW w:w="3510" w:type="dxa"/>
          </w:tcPr>
          <w:p w:rsidR="00765D9D" w:rsidRPr="002F2828" w:rsidRDefault="00765D9D" w:rsidP="00AE0D10">
            <w:pPr>
              <w:spacing w:line="264" w:lineRule="auto"/>
              <w:rPr>
                <w:rFonts w:asciiTheme="minorHAnsi" w:hAnsiTheme="minorHAnsi" w:cs="Arial"/>
                <w:b/>
                <w:bCs/>
                <w:lang w:eastAsia="en-NZ"/>
              </w:rPr>
            </w:pPr>
            <w:r w:rsidRPr="002F2828">
              <w:rPr>
                <w:rFonts w:asciiTheme="minorHAnsi" w:hAnsiTheme="minorHAnsi"/>
                <w:b/>
              </w:rPr>
              <w:t>Routine and corrective maintenance and inspection</w:t>
            </w:r>
          </w:p>
        </w:tc>
        <w:tc>
          <w:tcPr>
            <w:tcW w:w="4882" w:type="dxa"/>
          </w:tcPr>
          <w:p w:rsidR="00765D9D" w:rsidRPr="00765D9D" w:rsidRDefault="00765D9D" w:rsidP="00A472A3">
            <w:pPr>
              <w:spacing w:line="264" w:lineRule="auto"/>
              <w:rPr>
                <w:rFonts w:asciiTheme="minorHAnsi" w:hAnsiTheme="minorHAnsi"/>
              </w:rPr>
            </w:pPr>
            <w:r w:rsidRPr="00765D9D">
              <w:rPr>
                <w:szCs w:val="20"/>
              </w:rPr>
              <w:t xml:space="preserve">in relation to expenditure, </w:t>
            </w:r>
            <w:r w:rsidRPr="00765D9D">
              <w:rPr>
                <w:rFonts w:asciiTheme="minorHAnsi" w:hAnsiTheme="minorHAnsi"/>
                <w:szCs w:val="20"/>
              </w:rPr>
              <w:t xml:space="preserve">means </w:t>
            </w:r>
            <w:r w:rsidRPr="00765D9D">
              <w:rPr>
                <w:rFonts w:asciiTheme="minorHAnsi" w:hAnsiTheme="minorHAnsi"/>
                <w:b/>
                <w:szCs w:val="20"/>
              </w:rPr>
              <w:t>operational expenditure</w:t>
            </w:r>
            <w:r w:rsidRPr="00765D9D">
              <w:rPr>
                <w:rFonts w:asciiTheme="minorHAnsi" w:hAnsiTheme="minorHAnsi"/>
                <w:szCs w:val="20"/>
              </w:rPr>
              <w:t xml:space="preserve"> where the </w:t>
            </w:r>
            <w:r w:rsidRPr="00765D9D">
              <w:rPr>
                <w:rFonts w:asciiTheme="minorHAnsi" w:hAnsiTheme="minorHAnsi"/>
                <w:b/>
                <w:szCs w:val="20"/>
              </w:rPr>
              <w:t>primary driver</w:t>
            </w:r>
            <w:r w:rsidRPr="00765D9D">
              <w:rPr>
                <w:rFonts w:asciiTheme="minorHAnsi" w:hAnsiTheme="minorHAnsi"/>
                <w:szCs w:val="20"/>
              </w:rPr>
              <w:t xml:space="preserve"> is the activities specified in planned or programmed inspection, testing and maintenance work schedules and includes:</w:t>
            </w:r>
          </w:p>
          <w:p w:rsidR="00765D9D" w:rsidRPr="00765D9D" w:rsidRDefault="00765D9D" w:rsidP="00765D9D">
            <w:pPr>
              <w:pStyle w:val="Tablebullet"/>
              <w:numPr>
                <w:ilvl w:val="0"/>
                <w:numId w:val="153"/>
              </w:numPr>
              <w:spacing w:after="120"/>
            </w:pPr>
            <w:r w:rsidRPr="00765D9D">
              <w:t>fault rectification work that is undertaken at a time or date subsequent to any initial fault response and restoration activities</w:t>
            </w:r>
          </w:p>
          <w:p w:rsidR="00765D9D" w:rsidRPr="00765D9D" w:rsidRDefault="00765D9D" w:rsidP="00765D9D">
            <w:pPr>
              <w:pStyle w:val="Tablebullet"/>
              <w:numPr>
                <w:ilvl w:val="0"/>
                <w:numId w:val="153"/>
              </w:numPr>
              <w:spacing w:after="120"/>
            </w:pPr>
            <w:r w:rsidRPr="00765D9D">
              <w:t>routine inspection</w:t>
            </w:r>
          </w:p>
          <w:p w:rsidR="00765D9D" w:rsidRPr="00765D9D" w:rsidRDefault="00765D9D" w:rsidP="00765D9D">
            <w:pPr>
              <w:pStyle w:val="Tablebullet"/>
              <w:numPr>
                <w:ilvl w:val="0"/>
                <w:numId w:val="153"/>
              </w:numPr>
              <w:spacing w:after="120"/>
            </w:pPr>
            <w:r w:rsidRPr="00765D9D">
              <w:t>functional and intrusive testing of assets, plant and equipment including critical spares and equipment</w:t>
            </w:r>
          </w:p>
          <w:p w:rsidR="00765D9D" w:rsidRPr="00765D9D" w:rsidRDefault="00765D9D" w:rsidP="00765D9D">
            <w:pPr>
              <w:pStyle w:val="Tablebullet"/>
              <w:numPr>
                <w:ilvl w:val="0"/>
                <w:numId w:val="153"/>
              </w:numPr>
              <w:spacing w:after="120"/>
            </w:pPr>
            <w:r w:rsidRPr="00765D9D">
              <w:t>helicopter, vehicle and foot patrols, including negotiation of landowner access</w:t>
            </w:r>
          </w:p>
          <w:p w:rsidR="00765D9D" w:rsidRPr="00765D9D" w:rsidRDefault="00765D9D" w:rsidP="00765D9D">
            <w:pPr>
              <w:pStyle w:val="Tablebullet"/>
              <w:numPr>
                <w:ilvl w:val="0"/>
                <w:numId w:val="153"/>
              </w:numPr>
              <w:spacing w:after="120"/>
            </w:pPr>
            <w:r w:rsidRPr="00765D9D">
              <w:t xml:space="preserve">asset surveys </w:t>
            </w:r>
          </w:p>
          <w:p w:rsidR="00765D9D" w:rsidRPr="00765D9D" w:rsidRDefault="00765D9D" w:rsidP="00765D9D">
            <w:pPr>
              <w:pStyle w:val="Tablebullet"/>
              <w:numPr>
                <w:ilvl w:val="0"/>
                <w:numId w:val="153"/>
              </w:numPr>
              <w:spacing w:after="120"/>
            </w:pPr>
            <w:r w:rsidRPr="00765D9D">
              <w:t>environmental response</w:t>
            </w:r>
          </w:p>
          <w:p w:rsidR="00765D9D" w:rsidRPr="00765D9D" w:rsidRDefault="00765D9D" w:rsidP="00765D9D">
            <w:pPr>
              <w:pStyle w:val="Tablebullet"/>
              <w:numPr>
                <w:ilvl w:val="0"/>
                <w:numId w:val="153"/>
              </w:numPr>
              <w:spacing w:after="120"/>
            </w:pPr>
            <w:r w:rsidRPr="00765D9D">
              <w:t>painting of network assets</w:t>
            </w:r>
          </w:p>
          <w:p w:rsidR="00765D9D" w:rsidRPr="00765D9D" w:rsidRDefault="00765D9D" w:rsidP="00765D9D">
            <w:pPr>
              <w:pStyle w:val="Tablebullet"/>
              <w:numPr>
                <w:ilvl w:val="0"/>
                <w:numId w:val="153"/>
              </w:numPr>
              <w:spacing w:after="120"/>
            </w:pPr>
            <w:r w:rsidRPr="00765D9D">
              <w:t>outdoor and indoor maintenance of stations, including weed and vegetation clearance, lawn mowing and fencing</w:t>
            </w:r>
          </w:p>
          <w:p w:rsidR="00765D9D" w:rsidRPr="00765D9D" w:rsidRDefault="00765D9D" w:rsidP="00765D9D">
            <w:pPr>
              <w:pStyle w:val="Tablebullet"/>
              <w:numPr>
                <w:ilvl w:val="0"/>
                <w:numId w:val="153"/>
              </w:numPr>
              <w:spacing w:after="120"/>
            </w:pPr>
            <w:r w:rsidRPr="00765D9D">
              <w:t>maintenance of access tracks, including associated security structures and weed and vegetation clearance</w:t>
            </w:r>
          </w:p>
          <w:p w:rsidR="00765D9D" w:rsidRPr="00765D9D" w:rsidRDefault="00765D9D" w:rsidP="00765D9D">
            <w:pPr>
              <w:pStyle w:val="Tablebullet"/>
              <w:numPr>
                <w:ilvl w:val="0"/>
                <w:numId w:val="153"/>
              </w:numPr>
              <w:spacing w:after="120"/>
              <w:rPr>
                <w:lang w:eastAsia="en-NZ"/>
              </w:rPr>
            </w:pPr>
            <w:r w:rsidRPr="00765D9D">
              <w:t>customer-driven maintenance</w:t>
            </w:r>
          </w:p>
          <w:p w:rsidR="00765D9D" w:rsidRPr="00765D9D" w:rsidRDefault="00765D9D" w:rsidP="00765D9D">
            <w:pPr>
              <w:pStyle w:val="Tablebullet"/>
              <w:numPr>
                <w:ilvl w:val="0"/>
                <w:numId w:val="153"/>
              </w:numPr>
              <w:spacing w:after="120"/>
              <w:rPr>
                <w:rFonts w:asciiTheme="minorHAnsi" w:hAnsiTheme="minorHAnsi"/>
                <w:szCs w:val="24"/>
                <w:lang w:val="en-AU"/>
              </w:rPr>
            </w:pPr>
            <w:r w:rsidRPr="00765D9D">
              <w:t>notices issued</w:t>
            </w:r>
          </w:p>
        </w:tc>
      </w:tr>
    </w:tbl>
    <w:p w:rsidR="003E69C4" w:rsidRPr="002F2828" w:rsidRDefault="003E69C4" w:rsidP="00AE0D10">
      <w:pPr>
        <w:pStyle w:val="Heading2"/>
        <w:spacing w:before="240" w:after="240" w:line="264" w:lineRule="auto"/>
        <w:jc w:val="center"/>
        <w:rPr>
          <w:rFonts w:asciiTheme="minorHAnsi" w:hAnsiTheme="minorHAnsi"/>
          <w:lang w:eastAsia="en-GB"/>
        </w:rPr>
      </w:pPr>
      <w:r w:rsidRPr="002F2828">
        <w:rPr>
          <w:rFonts w:asciiTheme="minorHAnsi" w:hAnsiTheme="minorHAnsi"/>
          <w:lang w:eastAsia="en-GB"/>
        </w:rPr>
        <w:t>S</w:t>
      </w:r>
    </w:p>
    <w:tbl>
      <w:tblPr>
        <w:tblStyle w:val="TableGrid"/>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510"/>
        <w:gridCol w:w="4882"/>
      </w:tblGrid>
      <w:tr w:rsidR="006B142F" w:rsidRPr="002F2828" w:rsidTr="00A03DC6">
        <w:tc>
          <w:tcPr>
            <w:tcW w:w="3510" w:type="dxa"/>
          </w:tcPr>
          <w:p w:rsidR="006B142F" w:rsidRPr="002F2828" w:rsidRDefault="006B142F" w:rsidP="006B142F">
            <w:pPr>
              <w:pStyle w:val="BodyText"/>
              <w:spacing w:line="264" w:lineRule="auto"/>
              <w:rPr>
                <w:rFonts w:asciiTheme="minorHAnsi" w:hAnsiTheme="minorHAnsi"/>
                <w:b/>
              </w:rPr>
            </w:pPr>
            <w:r w:rsidRPr="002F2828">
              <w:rPr>
                <w:rFonts w:asciiTheme="minorHAnsi" w:hAnsiTheme="minorHAnsi"/>
                <w:b/>
              </w:rPr>
              <w:t>Service pipe</w:t>
            </w:r>
          </w:p>
        </w:tc>
        <w:tc>
          <w:tcPr>
            <w:tcW w:w="4882" w:type="dxa"/>
          </w:tcPr>
          <w:p w:rsidR="006B142F" w:rsidRPr="006B142F" w:rsidRDefault="006B142F" w:rsidP="00A472A3">
            <w:pPr>
              <w:pStyle w:val="BodyText"/>
              <w:rPr>
                <w:rFonts w:asciiTheme="minorHAnsi" w:hAnsiTheme="minorHAnsi"/>
                <w:lang w:val="en-AU"/>
              </w:rPr>
            </w:pPr>
            <w:r w:rsidRPr="006B142F">
              <w:rPr>
                <w:rFonts w:asciiTheme="minorHAnsi" w:hAnsiTheme="minorHAnsi" w:cs="Times-Roman"/>
                <w:lang w:eastAsia="en-NZ"/>
              </w:rPr>
              <w:t xml:space="preserve">means the pipes used for the transport of gas from the </w:t>
            </w:r>
            <w:r w:rsidRPr="006B142F">
              <w:rPr>
                <w:rFonts w:asciiTheme="minorHAnsi" w:hAnsiTheme="minorHAnsi" w:cs="Times-Roman"/>
                <w:b/>
                <w:lang w:eastAsia="en-NZ"/>
              </w:rPr>
              <w:t>main pipe</w:t>
            </w:r>
            <w:r w:rsidRPr="006B142F">
              <w:rPr>
                <w:rFonts w:asciiTheme="minorHAnsi" w:hAnsiTheme="minorHAnsi" w:cs="Times-Roman"/>
                <w:lang w:eastAsia="en-NZ"/>
              </w:rPr>
              <w:t xml:space="preserve"> to the customer isolation valve</w:t>
            </w:r>
          </w:p>
        </w:tc>
      </w:tr>
      <w:tr w:rsidR="008539EC" w:rsidRPr="002F2828" w:rsidTr="00A03DC6">
        <w:tc>
          <w:tcPr>
            <w:tcW w:w="3510" w:type="dxa"/>
          </w:tcPr>
          <w:p w:rsidR="008539EC" w:rsidRPr="002F2828" w:rsidRDefault="008539EC" w:rsidP="00AE0D10">
            <w:pPr>
              <w:pStyle w:val="BodyText"/>
              <w:spacing w:line="264" w:lineRule="auto"/>
              <w:rPr>
                <w:rFonts w:asciiTheme="minorHAnsi" w:hAnsiTheme="minorHAnsi"/>
                <w:b/>
                <w:bCs/>
              </w:rPr>
            </w:pPr>
            <w:r w:rsidRPr="002F2828">
              <w:rPr>
                <w:rFonts w:asciiTheme="minorHAnsi" w:hAnsiTheme="minorHAnsi"/>
                <w:b/>
                <w:bCs/>
              </w:rPr>
              <w:t>Shared asset</w:t>
            </w:r>
          </w:p>
        </w:tc>
        <w:tc>
          <w:tcPr>
            <w:tcW w:w="4882" w:type="dxa"/>
          </w:tcPr>
          <w:p w:rsidR="008539EC" w:rsidRPr="002F2828" w:rsidRDefault="008539EC" w:rsidP="00610028">
            <w:pPr>
              <w:spacing w:line="264" w:lineRule="auto"/>
              <w:rPr>
                <w:rFonts w:asciiTheme="minorHAnsi" w:hAnsiTheme="minorHAnsi"/>
              </w:rPr>
            </w:pPr>
            <w:r w:rsidRPr="002F2828">
              <w:rPr>
                <w:rFonts w:asciiTheme="minorHAnsi" w:hAnsiTheme="minorHAnsi"/>
              </w:rPr>
              <w:t>means a</w:t>
            </w:r>
            <w:r w:rsidR="00610028">
              <w:rPr>
                <w:rFonts w:asciiTheme="minorHAnsi" w:hAnsiTheme="minorHAnsi"/>
              </w:rPr>
              <w:t xml:space="preserve"> network</w:t>
            </w:r>
            <w:r w:rsidRPr="002F2828">
              <w:rPr>
                <w:rFonts w:asciiTheme="minorHAnsi" w:hAnsiTheme="minorHAnsi"/>
              </w:rPr>
              <w:t xml:space="preserve"> asset used by more than one </w:t>
            </w:r>
            <w:r w:rsidRPr="002F2828">
              <w:rPr>
                <w:rFonts w:asciiTheme="minorHAnsi" w:hAnsiTheme="minorHAnsi"/>
                <w:b/>
              </w:rPr>
              <w:t>consumer</w:t>
            </w:r>
            <w:r w:rsidRPr="002F2828">
              <w:rPr>
                <w:rFonts w:asciiTheme="minorHAnsi" w:hAnsiTheme="minorHAnsi"/>
              </w:rPr>
              <w:t xml:space="preserve"> in order to receive </w:t>
            </w:r>
            <w:r w:rsidR="00BC0147" w:rsidRPr="00BC0147">
              <w:rPr>
                <w:rFonts w:asciiTheme="minorHAnsi" w:hAnsiTheme="minorHAnsi"/>
                <w:b/>
              </w:rPr>
              <w:t>gas pipeline service</w:t>
            </w:r>
            <w:r w:rsidRPr="002F2828">
              <w:rPr>
                <w:rFonts w:asciiTheme="minorHAnsi" w:hAnsiTheme="minorHAnsi"/>
                <w:b/>
              </w:rPr>
              <w:t>s</w:t>
            </w:r>
          </w:p>
        </w:tc>
      </w:tr>
      <w:tr w:rsidR="008539EC" w:rsidRPr="002F2828" w:rsidTr="00A03DC6">
        <w:tc>
          <w:tcPr>
            <w:tcW w:w="3510" w:type="dxa"/>
          </w:tcPr>
          <w:p w:rsidR="008539EC" w:rsidRPr="002F2828" w:rsidRDefault="008539EC" w:rsidP="00AE0D10">
            <w:pPr>
              <w:pStyle w:val="BodyText"/>
              <w:spacing w:line="264" w:lineRule="auto"/>
              <w:rPr>
                <w:rFonts w:asciiTheme="minorHAnsi" w:hAnsiTheme="minorHAnsi"/>
                <w:b/>
                <w:bCs/>
              </w:rPr>
            </w:pPr>
            <w:r w:rsidRPr="002F2828">
              <w:rPr>
                <w:rFonts w:asciiTheme="minorHAnsi" w:hAnsiTheme="minorHAnsi"/>
                <w:b/>
                <w:bCs/>
              </w:rPr>
              <w:t>Sole use assets</w:t>
            </w:r>
          </w:p>
        </w:tc>
        <w:tc>
          <w:tcPr>
            <w:tcW w:w="4882" w:type="dxa"/>
          </w:tcPr>
          <w:p w:rsidR="008539EC" w:rsidRPr="002F2828" w:rsidRDefault="00610028" w:rsidP="00366FD0">
            <w:pPr>
              <w:spacing w:line="264" w:lineRule="auto"/>
              <w:rPr>
                <w:rFonts w:asciiTheme="minorHAnsi" w:hAnsiTheme="minorHAnsi"/>
                <w:b/>
                <w:bCs/>
              </w:rPr>
            </w:pPr>
            <w:r w:rsidRPr="00610028">
              <w:rPr>
                <w:rFonts w:asciiTheme="minorHAnsi" w:hAnsiTheme="minorHAnsi"/>
              </w:rPr>
              <w:t xml:space="preserve">means assets connected to the network for use by only 1 connecting consumer in order to receive </w:t>
            </w:r>
            <w:r>
              <w:rPr>
                <w:rFonts w:asciiTheme="minorHAnsi" w:hAnsiTheme="minorHAnsi"/>
              </w:rPr>
              <w:t>gas pipe</w:t>
            </w:r>
            <w:r w:rsidRPr="00610028">
              <w:rPr>
                <w:rFonts w:asciiTheme="minorHAnsi" w:hAnsiTheme="minorHAnsi"/>
              </w:rPr>
              <w:t>line services</w:t>
            </w:r>
          </w:p>
        </w:tc>
      </w:tr>
      <w:tr w:rsidR="006B142F" w:rsidRPr="002F2828" w:rsidTr="00D44074">
        <w:tc>
          <w:tcPr>
            <w:tcW w:w="3510" w:type="dxa"/>
          </w:tcPr>
          <w:p w:rsidR="006B142F" w:rsidRPr="002F2828" w:rsidRDefault="006B142F" w:rsidP="00D44074">
            <w:pPr>
              <w:pStyle w:val="BodyText"/>
              <w:spacing w:line="264" w:lineRule="auto"/>
              <w:rPr>
                <w:rFonts w:asciiTheme="minorHAnsi" w:hAnsiTheme="minorHAnsi"/>
                <w:b/>
              </w:rPr>
            </w:pPr>
            <w:r w:rsidRPr="002F2828">
              <w:rPr>
                <w:rFonts w:asciiTheme="minorHAnsi" w:hAnsiTheme="minorHAnsi"/>
                <w:b/>
              </w:rPr>
              <w:t>Special crossings</w:t>
            </w:r>
          </w:p>
        </w:tc>
        <w:tc>
          <w:tcPr>
            <w:tcW w:w="4882" w:type="dxa"/>
          </w:tcPr>
          <w:p w:rsidR="006B142F" w:rsidRPr="006B142F" w:rsidRDefault="006B142F" w:rsidP="00A472A3">
            <w:pPr>
              <w:pStyle w:val="BodyText"/>
              <w:rPr>
                <w:rFonts w:asciiTheme="minorHAnsi" w:hAnsiTheme="minorHAnsi"/>
                <w:lang w:val="en-AU"/>
              </w:rPr>
            </w:pPr>
            <w:r w:rsidRPr="006B142F">
              <w:rPr>
                <w:rFonts w:asciiTheme="minorHAnsi" w:hAnsiTheme="minorHAnsi"/>
                <w:lang w:val="en-AU"/>
              </w:rPr>
              <w:t xml:space="preserve">means a section of </w:t>
            </w:r>
            <w:r w:rsidRPr="006B142F">
              <w:rPr>
                <w:rFonts w:asciiTheme="minorHAnsi" w:hAnsiTheme="minorHAnsi"/>
                <w:b/>
                <w:lang w:val="en-AU"/>
              </w:rPr>
              <w:t>main pipe</w:t>
            </w:r>
            <w:r w:rsidRPr="006B142F">
              <w:rPr>
                <w:rFonts w:asciiTheme="minorHAnsi" w:hAnsiTheme="minorHAnsi"/>
                <w:lang w:val="en-AU"/>
              </w:rPr>
              <w:t xml:space="preserve"> or</w:t>
            </w:r>
            <w:r w:rsidRPr="006B142F">
              <w:rPr>
                <w:rFonts w:asciiTheme="minorHAnsi" w:hAnsiTheme="minorHAnsi"/>
                <w:b/>
                <w:lang w:val="en-AU"/>
              </w:rPr>
              <w:t xml:space="preserve"> service pipe </w:t>
            </w:r>
            <w:r w:rsidRPr="006B142F">
              <w:rPr>
                <w:rFonts w:asciiTheme="minorHAnsi" w:hAnsiTheme="minorHAnsi"/>
                <w:lang w:val="en-AU"/>
              </w:rPr>
              <w:t>and associated assets (</w:t>
            </w:r>
            <w:proofErr w:type="spellStart"/>
            <w:r w:rsidRPr="006B142F">
              <w:rPr>
                <w:rFonts w:asciiTheme="minorHAnsi" w:hAnsiTheme="minorHAnsi"/>
                <w:lang w:val="en-AU"/>
              </w:rPr>
              <w:t>ie</w:t>
            </w:r>
            <w:proofErr w:type="spellEnd"/>
            <w:r w:rsidRPr="006B142F">
              <w:rPr>
                <w:rFonts w:asciiTheme="minorHAnsi" w:hAnsiTheme="minorHAnsi"/>
                <w:lang w:val="en-AU"/>
              </w:rPr>
              <w:t>, support structures, vents, casings etc),  where the associated assets are installed for the purpose of crossing a road, railway or river etc.</w:t>
            </w:r>
          </w:p>
        </w:tc>
      </w:tr>
      <w:tr w:rsidR="008539EC" w:rsidRPr="002F2828" w:rsidTr="00A03DC6">
        <w:tc>
          <w:tcPr>
            <w:tcW w:w="3510" w:type="dxa"/>
          </w:tcPr>
          <w:p w:rsidR="008539EC" w:rsidRPr="002F2828" w:rsidRDefault="008539EC" w:rsidP="00AE0D10">
            <w:pPr>
              <w:pStyle w:val="BodyText"/>
              <w:spacing w:line="264" w:lineRule="auto"/>
              <w:rPr>
                <w:rFonts w:asciiTheme="minorHAnsi" w:hAnsiTheme="minorHAnsi"/>
                <w:b/>
              </w:rPr>
            </w:pPr>
            <w:r w:rsidRPr="002F2828">
              <w:rPr>
                <w:rFonts w:asciiTheme="minorHAnsi" w:hAnsiTheme="minorHAnsi"/>
                <w:b/>
                <w:bCs/>
              </w:rPr>
              <w:t>Standard contract</w:t>
            </w:r>
          </w:p>
        </w:tc>
        <w:tc>
          <w:tcPr>
            <w:tcW w:w="4882" w:type="dxa"/>
          </w:tcPr>
          <w:p w:rsidR="008F5D7B" w:rsidRDefault="008539EC" w:rsidP="00AE0D10">
            <w:pPr>
              <w:spacing w:line="264" w:lineRule="auto"/>
              <w:rPr>
                <w:rFonts w:asciiTheme="minorHAnsi" w:hAnsiTheme="minorHAnsi"/>
              </w:rPr>
            </w:pPr>
            <w:r w:rsidRPr="002F2828">
              <w:rPr>
                <w:rFonts w:asciiTheme="minorHAnsi" w:hAnsiTheme="minorHAnsi"/>
              </w:rPr>
              <w:t xml:space="preserve">means, any </w:t>
            </w:r>
            <w:r w:rsidRPr="002F2828">
              <w:rPr>
                <w:rFonts w:asciiTheme="minorHAnsi" w:hAnsiTheme="minorHAnsi"/>
                <w:b/>
              </w:rPr>
              <w:t>contract</w:t>
            </w:r>
            <w:r w:rsidRPr="002F2828">
              <w:rPr>
                <w:rFonts w:asciiTheme="minorHAnsi" w:hAnsiTheme="minorHAnsi"/>
              </w:rPr>
              <w:t xml:space="preserve"> (being a </w:t>
            </w:r>
            <w:r w:rsidRPr="002F2828">
              <w:rPr>
                <w:rFonts w:asciiTheme="minorHAnsi" w:hAnsiTheme="minorHAnsi"/>
                <w:b/>
              </w:rPr>
              <w:t>contract</w:t>
            </w:r>
            <w:r w:rsidRPr="002F2828">
              <w:rPr>
                <w:rFonts w:asciiTheme="minorHAnsi" w:hAnsiTheme="minorHAnsi"/>
              </w:rPr>
              <w:t xml:space="preserve"> for the carrying out of </w:t>
            </w:r>
            <w:r w:rsidRPr="002F2828">
              <w:rPr>
                <w:rFonts w:asciiTheme="minorHAnsi" w:hAnsiTheme="minorHAnsi"/>
                <w:b/>
                <w:bCs/>
              </w:rPr>
              <w:t xml:space="preserve">gas </w:t>
            </w:r>
            <w:r w:rsidR="00E05AC4" w:rsidRPr="002F2828">
              <w:rPr>
                <w:rFonts w:asciiTheme="minorHAnsi" w:hAnsiTheme="minorHAnsi"/>
                <w:b/>
                <w:bCs/>
              </w:rPr>
              <w:t xml:space="preserve">pipeline </w:t>
            </w:r>
            <w:r w:rsidRPr="002F2828">
              <w:rPr>
                <w:rFonts w:asciiTheme="minorHAnsi" w:hAnsiTheme="minorHAnsi"/>
                <w:b/>
                <w:bCs/>
              </w:rPr>
              <w:t>services</w:t>
            </w:r>
            <w:r w:rsidRPr="002F2828">
              <w:rPr>
                <w:rFonts w:asciiTheme="minorHAnsi" w:hAnsiTheme="minorHAnsi"/>
              </w:rPr>
              <w:t xml:space="preserve">) between a </w:t>
            </w:r>
            <w:r w:rsidRPr="002F2828">
              <w:rPr>
                <w:rFonts w:asciiTheme="minorHAnsi" w:hAnsiTheme="minorHAnsi"/>
                <w:b/>
                <w:bCs/>
              </w:rPr>
              <w:t>GDB</w:t>
            </w:r>
            <w:r w:rsidRPr="002F2828">
              <w:rPr>
                <w:rFonts w:asciiTheme="minorHAnsi" w:hAnsiTheme="minorHAnsi"/>
              </w:rPr>
              <w:t xml:space="preserve">, and any other </w:t>
            </w:r>
            <w:r w:rsidR="008B635B" w:rsidRPr="002F2828">
              <w:rPr>
                <w:rFonts w:asciiTheme="minorHAnsi" w:hAnsiTheme="minorHAnsi"/>
                <w:b/>
              </w:rPr>
              <w:t>p</w:t>
            </w:r>
            <w:r w:rsidRPr="002F2828">
              <w:rPr>
                <w:rFonts w:asciiTheme="minorHAnsi" w:hAnsiTheme="minorHAnsi"/>
                <w:b/>
              </w:rPr>
              <w:t>erson</w:t>
            </w:r>
            <w:r w:rsidRPr="002F2828">
              <w:rPr>
                <w:rFonts w:asciiTheme="minorHAnsi" w:hAnsiTheme="minorHAnsi"/>
              </w:rPr>
              <w:t>, where –</w:t>
            </w:r>
          </w:p>
          <w:p w:rsidR="00EA556C" w:rsidRPr="002F2828" w:rsidRDefault="008539EC" w:rsidP="00F82684">
            <w:pPr>
              <w:pStyle w:val="HeadingH6ClausesubtextL2"/>
              <w:numPr>
                <w:ilvl w:val="5"/>
                <w:numId w:val="42"/>
              </w:numPr>
              <w:tabs>
                <w:tab w:val="clear" w:pos="1702"/>
                <w:tab w:val="num" w:pos="459"/>
              </w:tabs>
              <w:ind w:left="459" w:hanging="425"/>
              <w:outlineLvl w:val="9"/>
              <w:rPr>
                <w:rFonts w:asciiTheme="minorHAnsi" w:hAnsiTheme="minorHAnsi"/>
                <w:b/>
                <w:bCs/>
              </w:rPr>
            </w:pPr>
            <w:r w:rsidRPr="002F2828">
              <w:rPr>
                <w:rFonts w:asciiTheme="minorHAnsi" w:hAnsiTheme="minorHAnsi"/>
              </w:rPr>
              <w:t xml:space="preserve">the price at which the </w:t>
            </w:r>
            <w:r w:rsidRPr="002F2828">
              <w:rPr>
                <w:rFonts w:asciiTheme="minorHAnsi" w:hAnsiTheme="minorHAnsi"/>
                <w:b/>
              </w:rPr>
              <w:t xml:space="preserve">gas </w:t>
            </w:r>
            <w:r w:rsidR="00E05AC4" w:rsidRPr="002F2828">
              <w:rPr>
                <w:rFonts w:asciiTheme="minorHAnsi" w:hAnsiTheme="minorHAnsi"/>
                <w:b/>
              </w:rPr>
              <w:t>pipeline</w:t>
            </w:r>
            <w:r w:rsidR="00E05AC4" w:rsidRPr="002F2828">
              <w:rPr>
                <w:rFonts w:asciiTheme="minorHAnsi" w:hAnsiTheme="minorHAnsi"/>
                <w:b/>
                <w:bCs/>
              </w:rPr>
              <w:t xml:space="preserve"> </w:t>
            </w:r>
            <w:r w:rsidRPr="002F2828">
              <w:rPr>
                <w:rFonts w:asciiTheme="minorHAnsi" w:hAnsiTheme="minorHAnsi"/>
                <w:b/>
                <w:bCs/>
              </w:rPr>
              <w:t>services</w:t>
            </w:r>
            <w:r w:rsidRPr="002F2828">
              <w:rPr>
                <w:rFonts w:asciiTheme="minorHAnsi" w:hAnsiTheme="minorHAnsi"/>
              </w:rPr>
              <w:t xml:space="preserve"> are to be carried out under the </w:t>
            </w:r>
            <w:r w:rsidRPr="002F2828">
              <w:rPr>
                <w:rFonts w:asciiTheme="minorHAnsi" w:hAnsiTheme="minorHAnsi"/>
                <w:b/>
              </w:rPr>
              <w:t xml:space="preserve">contract </w:t>
            </w:r>
            <w:r w:rsidRPr="002F2828">
              <w:rPr>
                <w:rFonts w:asciiTheme="minorHAnsi" w:hAnsiTheme="minorHAnsi"/>
              </w:rPr>
              <w:t xml:space="preserve">is determined solely by reference to a schedule of </w:t>
            </w:r>
            <w:r w:rsidRPr="002F2828">
              <w:rPr>
                <w:rFonts w:asciiTheme="minorHAnsi" w:hAnsiTheme="minorHAnsi"/>
                <w:b/>
              </w:rPr>
              <w:t>prescribed terms and conditions</w:t>
            </w:r>
            <w:r w:rsidRPr="002F2828">
              <w:rPr>
                <w:rFonts w:asciiTheme="minorHAnsi" w:hAnsiTheme="minorHAnsi"/>
              </w:rPr>
              <w:t xml:space="preserve">, being a schedule that is </w:t>
            </w:r>
            <w:r w:rsidRPr="002F2828">
              <w:rPr>
                <w:rFonts w:asciiTheme="minorHAnsi" w:hAnsiTheme="minorHAnsi"/>
                <w:b/>
              </w:rPr>
              <w:t>publicly disclosed</w:t>
            </w:r>
            <w:r w:rsidRPr="002F2828">
              <w:rPr>
                <w:rFonts w:asciiTheme="minorHAnsi" w:hAnsiTheme="minorHAnsi"/>
              </w:rPr>
              <w:t>; and</w:t>
            </w:r>
          </w:p>
          <w:p w:rsidR="00F56F86" w:rsidRDefault="008539EC">
            <w:pPr>
              <w:pStyle w:val="HeadingH6ClausesubtextL2"/>
              <w:numPr>
                <w:ilvl w:val="5"/>
                <w:numId w:val="42"/>
              </w:numPr>
              <w:tabs>
                <w:tab w:val="clear" w:pos="1702"/>
                <w:tab w:val="num" w:pos="459"/>
              </w:tabs>
              <w:ind w:left="459" w:hanging="425"/>
              <w:outlineLvl w:val="9"/>
              <w:rPr>
                <w:rFonts w:asciiTheme="minorHAnsi" w:hAnsiTheme="minorHAnsi"/>
              </w:rPr>
            </w:pPr>
            <w:r w:rsidRPr="002F2828">
              <w:rPr>
                <w:rFonts w:asciiTheme="minorHAnsi" w:hAnsiTheme="minorHAnsi"/>
              </w:rPr>
              <w:t xml:space="preserve">at least </w:t>
            </w:r>
            <w:r w:rsidR="00E3054F" w:rsidRPr="002F2828">
              <w:rPr>
                <w:rFonts w:asciiTheme="minorHAnsi" w:hAnsiTheme="minorHAnsi"/>
              </w:rPr>
              <w:t>4</w:t>
            </w:r>
            <w:r w:rsidRPr="002F2828">
              <w:rPr>
                <w:rFonts w:asciiTheme="minorHAnsi" w:hAnsiTheme="minorHAnsi"/>
              </w:rPr>
              <w:t xml:space="preserve"> other </w:t>
            </w:r>
            <w:r w:rsidR="008B635B" w:rsidRPr="002F2828">
              <w:rPr>
                <w:rFonts w:asciiTheme="minorHAnsi" w:hAnsiTheme="minorHAnsi"/>
                <w:b/>
              </w:rPr>
              <w:t>p</w:t>
            </w:r>
            <w:r w:rsidRPr="002F2828">
              <w:rPr>
                <w:rFonts w:asciiTheme="minorHAnsi" w:hAnsiTheme="minorHAnsi"/>
                <w:b/>
              </w:rPr>
              <w:t>ersons</w:t>
            </w:r>
            <w:r w:rsidRPr="002F2828">
              <w:rPr>
                <w:rFonts w:asciiTheme="minorHAnsi" w:hAnsiTheme="minorHAnsi"/>
              </w:rPr>
              <w:t xml:space="preserve"> have such contracts with the </w:t>
            </w:r>
            <w:r w:rsidRPr="002F2828">
              <w:rPr>
                <w:rFonts w:asciiTheme="minorHAnsi" w:hAnsiTheme="minorHAnsi"/>
                <w:b/>
                <w:bCs/>
              </w:rPr>
              <w:t>GDB</w:t>
            </w:r>
            <w:r w:rsidRPr="002F2828">
              <w:rPr>
                <w:rFonts w:asciiTheme="minorHAnsi" w:hAnsiTheme="minorHAnsi"/>
              </w:rPr>
              <w:t xml:space="preserve">, and none of those other </w:t>
            </w:r>
            <w:r w:rsidR="008B635B" w:rsidRPr="002F2828">
              <w:rPr>
                <w:rFonts w:asciiTheme="minorHAnsi" w:hAnsiTheme="minorHAnsi"/>
                <w:b/>
              </w:rPr>
              <w:t>p</w:t>
            </w:r>
            <w:r w:rsidRPr="002F2828">
              <w:rPr>
                <w:rFonts w:asciiTheme="minorHAnsi" w:hAnsiTheme="minorHAnsi"/>
                <w:b/>
              </w:rPr>
              <w:t>ersons</w:t>
            </w:r>
            <w:r w:rsidRPr="002F2828">
              <w:rPr>
                <w:rFonts w:asciiTheme="minorHAnsi" w:hAnsiTheme="minorHAnsi"/>
              </w:rPr>
              <w:t xml:space="preserve"> is </w:t>
            </w:r>
            <w:r w:rsidR="009764C2" w:rsidRPr="009764C2">
              <w:rPr>
                <w:rFonts w:asciiTheme="minorHAnsi" w:hAnsiTheme="minorHAnsi"/>
              </w:rPr>
              <w:t>a</w:t>
            </w:r>
            <w:r w:rsidR="003F0A7B">
              <w:rPr>
                <w:rFonts w:asciiTheme="minorHAnsi" w:hAnsiTheme="minorHAnsi"/>
                <w:b/>
              </w:rPr>
              <w:t xml:space="preserve"> related party </w:t>
            </w:r>
            <w:r w:rsidR="009764C2" w:rsidRPr="009764C2">
              <w:rPr>
                <w:rFonts w:asciiTheme="minorHAnsi" w:hAnsiTheme="minorHAnsi"/>
              </w:rPr>
              <w:t>of</w:t>
            </w:r>
            <w:r w:rsidR="003C7F15" w:rsidRPr="002F2828">
              <w:rPr>
                <w:rFonts w:asciiTheme="minorHAnsi" w:hAnsiTheme="minorHAnsi"/>
              </w:rPr>
              <w:t xml:space="preserve"> </w:t>
            </w:r>
            <w:r w:rsidRPr="002F2828">
              <w:rPr>
                <w:rFonts w:asciiTheme="minorHAnsi" w:hAnsiTheme="minorHAnsi"/>
              </w:rPr>
              <w:t xml:space="preserve">the </w:t>
            </w:r>
            <w:r w:rsidRPr="002F2828">
              <w:rPr>
                <w:rFonts w:asciiTheme="minorHAnsi" w:hAnsiTheme="minorHAnsi"/>
                <w:b/>
                <w:bCs/>
              </w:rPr>
              <w:t>GDB</w:t>
            </w:r>
            <w:r w:rsidRPr="002F2828">
              <w:rPr>
                <w:rFonts w:asciiTheme="minorHAnsi" w:hAnsiTheme="minorHAnsi"/>
              </w:rPr>
              <w:t xml:space="preserve">, or </w:t>
            </w:r>
            <w:r w:rsidR="003F0A7B">
              <w:rPr>
                <w:rFonts w:asciiTheme="minorHAnsi" w:hAnsiTheme="minorHAnsi"/>
              </w:rPr>
              <w:t xml:space="preserve">is a </w:t>
            </w:r>
            <w:r w:rsidR="003F0A7B">
              <w:rPr>
                <w:rFonts w:asciiTheme="minorHAnsi" w:hAnsiTheme="minorHAnsi"/>
                <w:b/>
              </w:rPr>
              <w:t>related party</w:t>
            </w:r>
            <w:r w:rsidR="003F0A7B">
              <w:rPr>
                <w:rFonts w:asciiTheme="minorHAnsi" w:hAnsiTheme="minorHAnsi"/>
              </w:rPr>
              <w:t xml:space="preserve"> </w:t>
            </w:r>
            <w:r w:rsidRPr="002F2828">
              <w:rPr>
                <w:rFonts w:asciiTheme="minorHAnsi" w:hAnsiTheme="minorHAnsi"/>
              </w:rPr>
              <w:t>of th</w:t>
            </w:r>
            <w:r w:rsidR="008C1A91" w:rsidRPr="002F2828">
              <w:rPr>
                <w:rFonts w:asciiTheme="minorHAnsi" w:hAnsiTheme="minorHAnsi"/>
              </w:rPr>
              <w:t>os</w:t>
            </w:r>
            <w:r w:rsidRPr="002F2828">
              <w:rPr>
                <w:rFonts w:asciiTheme="minorHAnsi" w:hAnsiTheme="minorHAnsi"/>
              </w:rPr>
              <w:t xml:space="preserve">e other </w:t>
            </w:r>
            <w:r w:rsidR="008B635B" w:rsidRPr="002F2828">
              <w:rPr>
                <w:rFonts w:asciiTheme="minorHAnsi" w:hAnsiTheme="minorHAnsi"/>
                <w:b/>
              </w:rPr>
              <w:t>p</w:t>
            </w:r>
            <w:r w:rsidRPr="002F2828">
              <w:rPr>
                <w:rFonts w:asciiTheme="minorHAnsi" w:hAnsiTheme="minorHAnsi"/>
                <w:b/>
              </w:rPr>
              <w:t>ersons</w:t>
            </w:r>
          </w:p>
        </w:tc>
      </w:tr>
      <w:tr w:rsidR="006B142F" w:rsidRPr="002F2828" w:rsidTr="00A03DC6">
        <w:tc>
          <w:tcPr>
            <w:tcW w:w="3510" w:type="dxa"/>
          </w:tcPr>
          <w:p w:rsidR="006B142F" w:rsidRPr="002F2828" w:rsidRDefault="006B142F" w:rsidP="000C09C5">
            <w:pPr>
              <w:pStyle w:val="Clausetextunnumbered"/>
              <w:rPr>
                <w:rStyle w:val="Emphasis-Bold"/>
              </w:rPr>
            </w:pPr>
            <w:r>
              <w:rPr>
                <w:rStyle w:val="Emphasis-Bold"/>
              </w:rPr>
              <w:t>Station</w:t>
            </w:r>
          </w:p>
        </w:tc>
        <w:tc>
          <w:tcPr>
            <w:tcW w:w="4882" w:type="dxa"/>
          </w:tcPr>
          <w:p w:rsidR="006B142F" w:rsidRPr="006B142F" w:rsidRDefault="006B142F" w:rsidP="00A472A3">
            <w:pPr>
              <w:pStyle w:val="BodyText"/>
              <w:rPr>
                <w:rFonts w:asciiTheme="minorHAnsi" w:hAnsiTheme="minorHAnsi"/>
                <w:lang w:val="en-AU"/>
              </w:rPr>
            </w:pPr>
            <w:r w:rsidRPr="006B142F">
              <w:rPr>
                <w:rFonts w:asciiTheme="minorHAnsi" w:hAnsiTheme="minorHAnsi"/>
                <w:lang w:val="en-AU"/>
              </w:rPr>
              <w:t xml:space="preserve">means a facility at which gas pressure is regulated </w:t>
            </w:r>
          </w:p>
        </w:tc>
      </w:tr>
      <w:tr w:rsidR="008539EC" w:rsidRPr="002F2828" w:rsidTr="00A03DC6">
        <w:tc>
          <w:tcPr>
            <w:tcW w:w="3510" w:type="dxa"/>
          </w:tcPr>
          <w:p w:rsidR="008539EC" w:rsidRPr="002F2828" w:rsidRDefault="008539EC" w:rsidP="000C09C5">
            <w:pPr>
              <w:pStyle w:val="Clausetextunnumbered"/>
            </w:pPr>
            <w:r w:rsidRPr="002F2828">
              <w:rPr>
                <w:rStyle w:val="Emphasis-Bold"/>
              </w:rPr>
              <w:t>Sub-network</w:t>
            </w:r>
          </w:p>
          <w:p w:rsidR="008539EC" w:rsidRPr="002F2828" w:rsidRDefault="008539EC" w:rsidP="00AE0D10">
            <w:pPr>
              <w:pStyle w:val="BodyText"/>
              <w:spacing w:line="264" w:lineRule="auto"/>
              <w:rPr>
                <w:rFonts w:asciiTheme="minorHAnsi" w:hAnsiTheme="minorHAnsi"/>
                <w:b/>
              </w:rPr>
            </w:pPr>
          </w:p>
        </w:tc>
        <w:tc>
          <w:tcPr>
            <w:tcW w:w="4882" w:type="dxa"/>
          </w:tcPr>
          <w:p w:rsidR="008539EC" w:rsidRPr="002F2828" w:rsidRDefault="008539EC" w:rsidP="000C09C5">
            <w:pPr>
              <w:pStyle w:val="Clausetextunnumbered"/>
            </w:pPr>
            <w:r w:rsidRPr="002F2828">
              <w:t xml:space="preserve">means, in relation to </w:t>
            </w:r>
            <w:r w:rsidRPr="002F2828">
              <w:rPr>
                <w:b/>
              </w:rPr>
              <w:t>network</w:t>
            </w:r>
            <w:r w:rsidRPr="002F2828">
              <w:t xml:space="preserve"> assets of—</w:t>
            </w:r>
          </w:p>
          <w:p w:rsidR="00EA556C" w:rsidRPr="002F2828" w:rsidRDefault="008539EC" w:rsidP="00F82684">
            <w:pPr>
              <w:pStyle w:val="HeadingH6ClausesubtextL2"/>
              <w:numPr>
                <w:ilvl w:val="0"/>
                <w:numId w:val="44"/>
              </w:numPr>
              <w:ind w:left="541" w:hanging="541"/>
              <w:rPr>
                <w:rFonts w:asciiTheme="minorHAnsi" w:hAnsiTheme="minorHAnsi"/>
              </w:rPr>
            </w:pPr>
            <w:r w:rsidRPr="002F2828">
              <w:rPr>
                <w:rFonts w:asciiTheme="minorHAnsi" w:hAnsiTheme="minorHAnsi"/>
              </w:rPr>
              <w:t>Vector, either the assets located in the Auckland geographic region or the assets located outside that region; and</w:t>
            </w:r>
          </w:p>
          <w:p w:rsidR="008539EC" w:rsidRPr="002F2828" w:rsidRDefault="008539EC" w:rsidP="00F82684">
            <w:pPr>
              <w:pStyle w:val="HeadingH6ClausesubtextL2"/>
              <w:numPr>
                <w:ilvl w:val="0"/>
                <w:numId w:val="44"/>
              </w:numPr>
              <w:ind w:left="541" w:hanging="541"/>
              <w:rPr>
                <w:rFonts w:asciiTheme="minorHAnsi" w:hAnsiTheme="minorHAnsi"/>
              </w:rPr>
            </w:pPr>
            <w:proofErr w:type="spellStart"/>
            <w:r w:rsidRPr="002F2828">
              <w:rPr>
                <w:rFonts w:asciiTheme="minorHAnsi" w:hAnsiTheme="minorHAnsi"/>
              </w:rPr>
              <w:t>Powerco</w:t>
            </w:r>
            <w:proofErr w:type="spellEnd"/>
            <w:r w:rsidRPr="002F2828">
              <w:rPr>
                <w:rFonts w:asciiTheme="minorHAnsi" w:hAnsiTheme="minorHAnsi"/>
              </w:rPr>
              <w:t xml:space="preserve">, either the assets located in the Wellington and the </w:t>
            </w:r>
            <w:proofErr w:type="spellStart"/>
            <w:r w:rsidRPr="002F2828">
              <w:rPr>
                <w:rFonts w:asciiTheme="minorHAnsi" w:hAnsiTheme="minorHAnsi"/>
              </w:rPr>
              <w:t>Hutt</w:t>
            </w:r>
            <w:proofErr w:type="spellEnd"/>
            <w:r w:rsidRPr="002F2828">
              <w:rPr>
                <w:rFonts w:asciiTheme="minorHAnsi" w:hAnsiTheme="minorHAnsi"/>
              </w:rPr>
              <w:t xml:space="preserve"> Valley &amp; </w:t>
            </w:r>
            <w:proofErr w:type="spellStart"/>
            <w:r w:rsidRPr="002F2828">
              <w:rPr>
                <w:rFonts w:asciiTheme="minorHAnsi" w:hAnsiTheme="minorHAnsi"/>
              </w:rPr>
              <w:t>Porirua</w:t>
            </w:r>
            <w:proofErr w:type="spellEnd"/>
            <w:r w:rsidRPr="002F2828">
              <w:rPr>
                <w:rFonts w:asciiTheme="minorHAnsi" w:hAnsiTheme="minorHAnsi"/>
              </w:rPr>
              <w:t xml:space="preserve"> geographic regions or the assets located outside those regions</w:t>
            </w:r>
          </w:p>
        </w:tc>
      </w:tr>
      <w:tr w:rsidR="00A42C18" w:rsidRPr="002F2828" w:rsidTr="00A03DC6">
        <w:tc>
          <w:tcPr>
            <w:tcW w:w="3510" w:type="dxa"/>
          </w:tcPr>
          <w:p w:rsidR="00A42C18" w:rsidRPr="002F2828" w:rsidRDefault="00A42C18" w:rsidP="00AE0D10">
            <w:pPr>
              <w:pStyle w:val="BodyText"/>
              <w:spacing w:line="264" w:lineRule="auto"/>
              <w:rPr>
                <w:rFonts w:asciiTheme="minorHAnsi" w:hAnsiTheme="minorHAnsi"/>
                <w:b/>
              </w:rPr>
            </w:pPr>
            <w:r w:rsidRPr="002F2828">
              <w:rPr>
                <w:rFonts w:asciiTheme="minorHAnsi" w:hAnsiTheme="minorHAnsi"/>
                <w:b/>
              </w:rPr>
              <w:t>System</w:t>
            </w:r>
          </w:p>
        </w:tc>
        <w:tc>
          <w:tcPr>
            <w:tcW w:w="4882" w:type="dxa"/>
          </w:tcPr>
          <w:p w:rsidR="00A42C18" w:rsidRPr="002F2828" w:rsidRDefault="00A42C18" w:rsidP="009246FB">
            <w:pPr>
              <w:rPr>
                <w:rFonts w:asciiTheme="minorHAnsi" w:hAnsiTheme="minorHAnsi"/>
              </w:rPr>
            </w:pPr>
            <w:r w:rsidRPr="002F2828">
              <w:rPr>
                <w:rFonts w:asciiTheme="minorHAnsi" w:hAnsiTheme="minorHAnsi"/>
              </w:rPr>
              <w:t>in relation to a pipeline owner, means a configuration of connected pipes and other fittings that are used or intended to be used for the conveyance or supply of gas</w:t>
            </w:r>
          </w:p>
        </w:tc>
      </w:tr>
      <w:tr w:rsidR="006B142F" w:rsidRPr="002F2828" w:rsidTr="00A03DC6">
        <w:tc>
          <w:tcPr>
            <w:tcW w:w="3510" w:type="dxa"/>
          </w:tcPr>
          <w:p w:rsidR="006B142F" w:rsidRPr="002F2828" w:rsidRDefault="006B142F" w:rsidP="00AE0D10">
            <w:pPr>
              <w:pStyle w:val="BodyText"/>
              <w:spacing w:line="264" w:lineRule="auto"/>
              <w:rPr>
                <w:rFonts w:asciiTheme="minorHAnsi" w:hAnsiTheme="minorHAnsi"/>
                <w:b/>
              </w:rPr>
            </w:pPr>
            <w:r w:rsidRPr="002F2828">
              <w:rPr>
                <w:rFonts w:asciiTheme="minorHAnsi" w:hAnsiTheme="minorHAnsi"/>
                <w:b/>
              </w:rPr>
              <w:t>System growth</w:t>
            </w:r>
          </w:p>
        </w:tc>
        <w:tc>
          <w:tcPr>
            <w:tcW w:w="4882" w:type="dxa"/>
          </w:tcPr>
          <w:p w:rsidR="006B142F" w:rsidRPr="006B142F" w:rsidRDefault="006B142F" w:rsidP="006B142F">
            <w:pPr>
              <w:pStyle w:val="BodyText"/>
            </w:pPr>
            <w:proofErr w:type="gramStart"/>
            <w:r w:rsidRPr="006B142F">
              <w:rPr>
                <w:szCs w:val="20"/>
              </w:rPr>
              <w:t>in</w:t>
            </w:r>
            <w:proofErr w:type="gramEnd"/>
            <w:r w:rsidRPr="006B142F">
              <w:rPr>
                <w:szCs w:val="20"/>
              </w:rPr>
              <w:t xml:space="preserve"> relation to expenditure, means </w:t>
            </w:r>
            <w:r w:rsidRPr="006B142F">
              <w:rPr>
                <w:b/>
                <w:szCs w:val="20"/>
              </w:rPr>
              <w:t>gross capital expenditure</w:t>
            </w:r>
            <w:r w:rsidRPr="006B142F">
              <w:rPr>
                <w:szCs w:val="20"/>
              </w:rPr>
              <w:t xml:space="preserve"> where the </w:t>
            </w:r>
            <w:r w:rsidRPr="006B142F">
              <w:rPr>
                <w:b/>
                <w:szCs w:val="20"/>
              </w:rPr>
              <w:t>primary driver</w:t>
            </w:r>
            <w:r w:rsidRPr="006B142F">
              <w:rPr>
                <w:szCs w:val="20"/>
              </w:rPr>
              <w:t xml:space="preserve"> is a change in demand on a part of the </w:t>
            </w:r>
            <w:r w:rsidRPr="006B142F">
              <w:rPr>
                <w:b/>
                <w:szCs w:val="20"/>
              </w:rPr>
              <w:t>network</w:t>
            </w:r>
            <w:r w:rsidRPr="006B142F">
              <w:rPr>
                <w:szCs w:val="20"/>
              </w:rPr>
              <w:t xml:space="preserve"> which results in a requirement for either additional capacity to meet this demand or additional investment to maintain current security and/or quality of supply standards due to the increased demand.  This expenditure category includes </w:t>
            </w:r>
            <w:r w:rsidRPr="006B142F">
              <w:rPr>
                <w:b/>
                <w:szCs w:val="20"/>
              </w:rPr>
              <w:t>gross capital expenditure</w:t>
            </w:r>
            <w:r w:rsidRPr="006B142F">
              <w:rPr>
                <w:szCs w:val="20"/>
              </w:rPr>
              <w:t xml:space="preserve"> associated with SCADA and telecommunications assets</w:t>
            </w:r>
          </w:p>
        </w:tc>
      </w:tr>
    </w:tbl>
    <w:p w:rsidR="003E69C4" w:rsidRPr="002F2828" w:rsidRDefault="003E69C4" w:rsidP="00AE0D10">
      <w:pPr>
        <w:pStyle w:val="Heading2"/>
        <w:spacing w:before="240" w:after="240" w:line="264" w:lineRule="auto"/>
        <w:jc w:val="center"/>
        <w:rPr>
          <w:rFonts w:asciiTheme="minorHAnsi" w:hAnsiTheme="minorHAnsi"/>
          <w:lang w:eastAsia="en-GB"/>
        </w:rPr>
      </w:pPr>
      <w:r w:rsidRPr="002F2828">
        <w:rPr>
          <w:rFonts w:asciiTheme="minorHAnsi" w:hAnsiTheme="minorHAnsi"/>
          <w:lang w:eastAsia="en-GB"/>
        </w:rPr>
        <w:t>T</w:t>
      </w:r>
    </w:p>
    <w:tbl>
      <w:tblPr>
        <w:tblStyle w:val="TableGrid"/>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510"/>
        <w:gridCol w:w="4882"/>
      </w:tblGrid>
      <w:tr w:rsidR="00AE7314" w:rsidRPr="002F2828" w:rsidTr="00A03DC6">
        <w:tc>
          <w:tcPr>
            <w:tcW w:w="3510" w:type="dxa"/>
          </w:tcPr>
          <w:p w:rsidR="00AE7314" w:rsidRPr="002F2828" w:rsidRDefault="00AE7314" w:rsidP="00AE0D10">
            <w:pPr>
              <w:pStyle w:val="BodyText"/>
              <w:spacing w:line="264" w:lineRule="auto"/>
              <w:rPr>
                <w:rFonts w:asciiTheme="minorHAnsi" w:hAnsiTheme="minorHAnsi" w:cs="Arial"/>
                <w:b/>
                <w:bCs/>
                <w:lang w:eastAsia="en-NZ"/>
              </w:rPr>
            </w:pPr>
            <w:r w:rsidRPr="002F2828">
              <w:rPr>
                <w:rFonts w:asciiTheme="minorHAnsi" w:hAnsiTheme="minorHAnsi"/>
                <w:b/>
                <w:bCs/>
              </w:rPr>
              <w:t>Target revenue</w:t>
            </w:r>
          </w:p>
        </w:tc>
        <w:tc>
          <w:tcPr>
            <w:tcW w:w="4882" w:type="dxa"/>
          </w:tcPr>
          <w:p w:rsidR="00AE7314" w:rsidRPr="002F2828" w:rsidRDefault="00AE7314" w:rsidP="00E71691">
            <w:pPr>
              <w:spacing w:line="264" w:lineRule="auto"/>
              <w:rPr>
                <w:rFonts w:asciiTheme="minorHAnsi" w:hAnsiTheme="minorHAnsi"/>
              </w:rPr>
            </w:pPr>
            <w:r w:rsidRPr="002F2828">
              <w:rPr>
                <w:rFonts w:asciiTheme="minorHAnsi" w:hAnsiTheme="minorHAnsi"/>
              </w:rPr>
              <w:t xml:space="preserve">means the revenue that the </w:t>
            </w:r>
            <w:r w:rsidR="00B26735" w:rsidRPr="002F2828">
              <w:rPr>
                <w:rFonts w:asciiTheme="minorHAnsi" w:hAnsiTheme="minorHAnsi"/>
                <w:b/>
              </w:rPr>
              <w:t>GDB</w:t>
            </w:r>
            <w:r w:rsidR="00B26735" w:rsidRPr="002F2828">
              <w:rPr>
                <w:rFonts w:asciiTheme="minorHAnsi" w:hAnsiTheme="minorHAnsi"/>
              </w:rPr>
              <w:t xml:space="preserve"> </w:t>
            </w:r>
            <w:r w:rsidRPr="002F2828">
              <w:rPr>
                <w:rFonts w:asciiTheme="minorHAnsi" w:hAnsiTheme="minorHAnsi"/>
              </w:rPr>
              <w:t>expects to obtain</w:t>
            </w:r>
            <w:r w:rsidRPr="002F2828">
              <w:rPr>
                <w:rFonts w:asciiTheme="minorHAnsi" w:hAnsiTheme="minorHAnsi"/>
                <w:b/>
                <w:bCs/>
              </w:rPr>
              <w:t xml:space="preserve"> </w:t>
            </w:r>
            <w:r w:rsidRPr="002F2828">
              <w:rPr>
                <w:rFonts w:asciiTheme="minorHAnsi" w:hAnsiTheme="minorHAnsi"/>
              </w:rPr>
              <w:t>from</w:t>
            </w:r>
            <w:r w:rsidR="00E71691" w:rsidRPr="002F2828">
              <w:rPr>
                <w:rFonts w:asciiTheme="minorHAnsi" w:hAnsiTheme="minorHAnsi"/>
              </w:rPr>
              <w:t xml:space="preserve"> </w:t>
            </w:r>
            <w:r w:rsidR="00E71691" w:rsidRPr="002F2828">
              <w:rPr>
                <w:rFonts w:asciiTheme="minorHAnsi" w:hAnsiTheme="minorHAnsi"/>
                <w:b/>
              </w:rPr>
              <w:t>prices</w:t>
            </w:r>
          </w:p>
        </w:tc>
      </w:tr>
      <w:tr w:rsidR="008B2B63" w:rsidRPr="002F2828" w:rsidTr="00A03DC6">
        <w:tc>
          <w:tcPr>
            <w:tcW w:w="3510" w:type="dxa"/>
          </w:tcPr>
          <w:p w:rsidR="008B2B63" w:rsidRPr="002F2828" w:rsidRDefault="008B2B63" w:rsidP="00AE0D10">
            <w:pPr>
              <w:pStyle w:val="BodyText"/>
              <w:spacing w:line="264" w:lineRule="auto"/>
              <w:rPr>
                <w:rFonts w:asciiTheme="minorHAnsi" w:hAnsiTheme="minorHAnsi" w:cs="Arial"/>
                <w:b/>
                <w:bCs/>
                <w:lang w:eastAsia="en-NZ"/>
              </w:rPr>
            </w:pPr>
            <w:r w:rsidRPr="002F2828">
              <w:rPr>
                <w:rFonts w:asciiTheme="minorHAnsi" w:hAnsiTheme="minorHAnsi" w:cs="Arial"/>
                <w:b/>
                <w:bCs/>
                <w:lang w:eastAsia="en-NZ"/>
              </w:rPr>
              <w:t>Total opening RAB values</w:t>
            </w:r>
          </w:p>
        </w:tc>
        <w:tc>
          <w:tcPr>
            <w:tcW w:w="4882" w:type="dxa"/>
          </w:tcPr>
          <w:p w:rsidR="008B2B63" w:rsidRPr="002F2828" w:rsidRDefault="008B2B63" w:rsidP="00AE0D10">
            <w:pPr>
              <w:spacing w:line="264" w:lineRule="auto"/>
              <w:rPr>
                <w:rFonts w:asciiTheme="minorHAnsi" w:hAnsiTheme="minorHAnsi" w:cs="Arial"/>
                <w:lang w:eastAsia="en-NZ"/>
              </w:rPr>
            </w:pPr>
            <w:r w:rsidRPr="002F2828">
              <w:rPr>
                <w:rFonts w:asciiTheme="minorHAnsi" w:hAnsiTheme="minorHAnsi" w:cs="Arial"/>
                <w:lang w:eastAsia="en-NZ"/>
              </w:rPr>
              <w:t>means:</w:t>
            </w:r>
          </w:p>
          <w:p w:rsidR="008B2B63" w:rsidRPr="002F2828" w:rsidRDefault="008B2B63" w:rsidP="00AE0D10">
            <w:pPr>
              <w:spacing w:line="264" w:lineRule="auto"/>
              <w:ind w:left="459" w:hanging="459"/>
              <w:rPr>
                <w:rFonts w:asciiTheme="minorHAnsi" w:hAnsiTheme="minorHAnsi" w:cs="Arial"/>
                <w:lang w:eastAsia="en-NZ"/>
              </w:rPr>
            </w:pPr>
            <w:r w:rsidRPr="002F2828">
              <w:rPr>
                <w:rFonts w:asciiTheme="minorHAnsi" w:hAnsiTheme="minorHAnsi" w:cs="Arial"/>
                <w:lang w:eastAsia="en-NZ"/>
              </w:rPr>
              <w:t>(a)</w:t>
            </w:r>
            <w:r w:rsidRPr="002F2828">
              <w:rPr>
                <w:rFonts w:asciiTheme="minorHAnsi" w:hAnsiTheme="minorHAnsi" w:cs="Arial"/>
                <w:lang w:eastAsia="en-NZ"/>
              </w:rPr>
              <w:tab/>
              <w:t xml:space="preserve">in relation to the </w:t>
            </w:r>
            <w:r w:rsidRPr="002F2828">
              <w:rPr>
                <w:rFonts w:asciiTheme="minorHAnsi" w:hAnsiTheme="minorHAnsi" w:cs="Arial"/>
                <w:b/>
                <w:bCs/>
                <w:lang w:eastAsia="en-NZ"/>
              </w:rPr>
              <w:t>unallocated RAB</w:t>
            </w:r>
            <w:r w:rsidRPr="002F2828">
              <w:rPr>
                <w:rFonts w:asciiTheme="minorHAnsi" w:hAnsiTheme="minorHAnsi" w:cs="Arial"/>
                <w:lang w:eastAsia="en-NZ"/>
              </w:rPr>
              <w:t xml:space="preserve">, the sum of unallocated opening </w:t>
            </w:r>
            <w:r w:rsidR="00E915A2" w:rsidRPr="002F2828">
              <w:rPr>
                <w:rFonts w:asciiTheme="minorHAnsi" w:hAnsiTheme="minorHAnsi" w:cs="Arial"/>
                <w:b/>
                <w:lang w:eastAsia="en-NZ"/>
              </w:rPr>
              <w:t>RAB</w:t>
            </w:r>
            <w:r w:rsidRPr="002F2828">
              <w:rPr>
                <w:rFonts w:asciiTheme="minorHAnsi" w:hAnsiTheme="minorHAnsi" w:cs="Arial"/>
                <w:lang w:eastAsia="en-NZ"/>
              </w:rPr>
              <w:t xml:space="preserve"> values as determined in accordance with the </w:t>
            </w:r>
            <w:r w:rsidRPr="002F2828">
              <w:rPr>
                <w:rFonts w:asciiTheme="minorHAnsi" w:hAnsiTheme="minorHAnsi" w:cs="Arial"/>
                <w:b/>
                <w:bCs/>
                <w:lang w:eastAsia="en-NZ"/>
              </w:rPr>
              <w:t>IM determination</w:t>
            </w:r>
            <w:r w:rsidR="00866BD4" w:rsidRPr="00866BD4">
              <w:rPr>
                <w:rFonts w:asciiTheme="minorHAnsi" w:hAnsiTheme="minorHAnsi" w:cs="Arial"/>
                <w:bCs/>
                <w:lang w:eastAsia="en-NZ"/>
              </w:rPr>
              <w:t>;</w:t>
            </w:r>
          </w:p>
          <w:p w:rsidR="008B2B63" w:rsidRPr="002F2828" w:rsidRDefault="008B2B63" w:rsidP="00AE0D10">
            <w:pPr>
              <w:tabs>
                <w:tab w:val="left" w:pos="4045"/>
              </w:tabs>
              <w:spacing w:line="264" w:lineRule="auto"/>
              <w:ind w:left="459" w:hanging="459"/>
              <w:rPr>
                <w:rFonts w:asciiTheme="minorHAnsi" w:hAnsiTheme="minorHAnsi" w:cs="Arial"/>
                <w:lang w:eastAsia="en-NZ"/>
              </w:rPr>
            </w:pPr>
            <w:r w:rsidRPr="002F2828">
              <w:rPr>
                <w:rFonts w:asciiTheme="minorHAnsi" w:hAnsiTheme="minorHAnsi" w:cs="Arial"/>
                <w:lang w:eastAsia="en-NZ"/>
              </w:rPr>
              <w:t>(b)</w:t>
            </w:r>
            <w:r w:rsidRPr="002F2828">
              <w:rPr>
                <w:rFonts w:asciiTheme="minorHAnsi" w:hAnsiTheme="minorHAnsi" w:cs="Arial"/>
                <w:lang w:eastAsia="en-NZ"/>
              </w:rPr>
              <w:tab/>
              <w:t xml:space="preserve">in relation to the </w:t>
            </w:r>
            <w:r w:rsidRPr="002F2828">
              <w:rPr>
                <w:rFonts w:asciiTheme="minorHAnsi" w:hAnsiTheme="minorHAnsi" w:cs="Arial"/>
                <w:b/>
                <w:bCs/>
                <w:lang w:eastAsia="en-NZ"/>
              </w:rPr>
              <w:t>RAB</w:t>
            </w:r>
            <w:r w:rsidRPr="002F2828">
              <w:rPr>
                <w:rFonts w:asciiTheme="minorHAnsi" w:hAnsiTheme="minorHAnsi" w:cs="Arial"/>
                <w:lang w:eastAsia="en-NZ"/>
              </w:rPr>
              <w:t xml:space="preserve">, the sum of opening </w:t>
            </w:r>
            <w:r w:rsidR="00E915A2" w:rsidRPr="002F2828">
              <w:rPr>
                <w:rFonts w:asciiTheme="minorHAnsi" w:hAnsiTheme="minorHAnsi" w:cs="Arial"/>
                <w:b/>
                <w:lang w:eastAsia="en-NZ"/>
              </w:rPr>
              <w:t>RAB</w:t>
            </w:r>
            <w:r w:rsidRPr="002F2828">
              <w:rPr>
                <w:rFonts w:asciiTheme="minorHAnsi" w:hAnsiTheme="minorHAnsi" w:cs="Arial"/>
                <w:lang w:eastAsia="en-NZ"/>
              </w:rPr>
              <w:t xml:space="preserve"> values as determined in accordance with the </w:t>
            </w:r>
            <w:r w:rsidRPr="002F2828">
              <w:rPr>
                <w:rFonts w:asciiTheme="minorHAnsi" w:hAnsiTheme="minorHAnsi" w:cs="Arial"/>
                <w:b/>
                <w:bCs/>
                <w:lang w:eastAsia="en-NZ"/>
              </w:rPr>
              <w:t>IM determination</w:t>
            </w:r>
          </w:p>
        </w:tc>
      </w:tr>
      <w:tr w:rsidR="008B2B63" w:rsidRPr="002F2828" w:rsidTr="00A03DC6">
        <w:tc>
          <w:tcPr>
            <w:tcW w:w="3510" w:type="dxa"/>
          </w:tcPr>
          <w:p w:rsidR="008B2B63" w:rsidRPr="002F2828" w:rsidRDefault="008B2B63" w:rsidP="00AE0D10">
            <w:pPr>
              <w:pStyle w:val="BodyText"/>
              <w:spacing w:line="264" w:lineRule="auto"/>
              <w:rPr>
                <w:rFonts w:asciiTheme="minorHAnsi" w:hAnsiTheme="minorHAnsi" w:cs="Arial"/>
                <w:b/>
                <w:bCs/>
                <w:lang w:eastAsia="en-NZ"/>
              </w:rPr>
            </w:pPr>
            <w:r w:rsidRPr="002F2828">
              <w:rPr>
                <w:rFonts w:asciiTheme="minorHAnsi" w:hAnsiTheme="minorHAnsi" w:cs="Arial"/>
                <w:b/>
                <w:bCs/>
                <w:lang w:eastAsia="en-NZ"/>
              </w:rPr>
              <w:t>Total regulatory income</w:t>
            </w:r>
          </w:p>
        </w:tc>
        <w:tc>
          <w:tcPr>
            <w:tcW w:w="4882" w:type="dxa"/>
          </w:tcPr>
          <w:p w:rsidR="008F5D7B" w:rsidRDefault="008B2B63" w:rsidP="00AE0D10">
            <w:pPr>
              <w:tabs>
                <w:tab w:val="left" w:pos="4045"/>
              </w:tabs>
              <w:spacing w:line="264" w:lineRule="auto"/>
              <w:rPr>
                <w:rFonts w:asciiTheme="minorHAnsi" w:hAnsiTheme="minorHAnsi" w:cs="Arial"/>
                <w:lang w:eastAsia="en-NZ"/>
              </w:rPr>
            </w:pPr>
            <w:r w:rsidRPr="002F2828">
              <w:rPr>
                <w:rFonts w:asciiTheme="minorHAnsi" w:hAnsiTheme="minorHAnsi" w:cs="Arial"/>
                <w:lang w:eastAsia="en-NZ"/>
              </w:rPr>
              <w:t>means:</w:t>
            </w:r>
          </w:p>
          <w:p w:rsidR="000813C9" w:rsidRPr="000813C9" w:rsidRDefault="008B2B63">
            <w:pPr>
              <w:pStyle w:val="ListParagraph"/>
              <w:numPr>
                <w:ilvl w:val="0"/>
                <w:numId w:val="34"/>
              </w:numPr>
              <w:spacing w:line="264" w:lineRule="auto"/>
              <w:ind w:left="459" w:hanging="425"/>
            </w:pPr>
            <w:r w:rsidRPr="002F2828">
              <w:rPr>
                <w:rFonts w:asciiTheme="minorHAnsi" w:hAnsiTheme="minorHAnsi" w:cs="Arial"/>
                <w:lang w:eastAsia="en-NZ"/>
              </w:rPr>
              <w:t xml:space="preserve">in relation to the </w:t>
            </w:r>
            <w:r w:rsidR="00E71691" w:rsidRPr="002F2828">
              <w:rPr>
                <w:rFonts w:asciiTheme="minorHAnsi" w:hAnsiTheme="minorHAnsi" w:cs="Arial"/>
                <w:lang w:eastAsia="en-NZ"/>
              </w:rPr>
              <w:t xml:space="preserve">Report </w:t>
            </w:r>
            <w:r w:rsidRPr="002F2828">
              <w:rPr>
                <w:rFonts w:asciiTheme="minorHAnsi" w:hAnsiTheme="minorHAnsi" w:cs="Arial"/>
                <w:lang w:eastAsia="en-NZ"/>
              </w:rPr>
              <w:t>o</w:t>
            </w:r>
            <w:r w:rsidR="00A91835" w:rsidRPr="002F2828">
              <w:rPr>
                <w:rFonts w:asciiTheme="minorHAnsi" w:hAnsiTheme="minorHAnsi" w:cs="Arial"/>
                <w:lang w:eastAsia="en-NZ"/>
              </w:rPr>
              <w:t>n</w:t>
            </w:r>
            <w:r w:rsidRPr="002F2828">
              <w:rPr>
                <w:rFonts w:asciiTheme="minorHAnsi" w:hAnsiTheme="minorHAnsi" w:cs="Arial"/>
                <w:lang w:eastAsia="en-NZ"/>
              </w:rPr>
              <w:t xml:space="preserve"> </w:t>
            </w:r>
            <w:r w:rsidR="00E71691" w:rsidRPr="002F2828">
              <w:rPr>
                <w:rFonts w:asciiTheme="minorHAnsi" w:hAnsiTheme="minorHAnsi" w:cs="Arial"/>
                <w:lang w:eastAsia="en-NZ"/>
              </w:rPr>
              <w:t>R</w:t>
            </w:r>
            <w:r w:rsidRPr="002F2828">
              <w:rPr>
                <w:rFonts w:asciiTheme="minorHAnsi" w:hAnsiTheme="minorHAnsi" w:cs="Arial"/>
                <w:lang w:eastAsia="en-NZ"/>
              </w:rPr>
              <w:t xml:space="preserve">egulatory </w:t>
            </w:r>
            <w:r w:rsidR="00E71691" w:rsidRPr="002F2828">
              <w:rPr>
                <w:rFonts w:asciiTheme="minorHAnsi" w:hAnsiTheme="minorHAnsi" w:cs="Arial"/>
                <w:lang w:eastAsia="en-NZ"/>
              </w:rPr>
              <w:t>P</w:t>
            </w:r>
            <w:r w:rsidRPr="002F2828">
              <w:rPr>
                <w:rFonts w:asciiTheme="minorHAnsi" w:hAnsiTheme="minorHAnsi" w:cs="Arial"/>
                <w:lang w:eastAsia="en-NZ"/>
              </w:rPr>
              <w:t xml:space="preserve">rofit, sum of </w:t>
            </w:r>
            <w:r w:rsidRPr="002F2828">
              <w:rPr>
                <w:rFonts w:asciiTheme="minorHAnsi" w:hAnsiTheme="minorHAnsi" w:cs="Arial"/>
                <w:b/>
                <w:lang w:eastAsia="en-NZ"/>
              </w:rPr>
              <w:t xml:space="preserve">line </w:t>
            </w:r>
            <w:r w:rsidR="00E71691" w:rsidRPr="002F2828">
              <w:rPr>
                <w:rFonts w:asciiTheme="minorHAnsi" w:hAnsiTheme="minorHAnsi" w:cs="Arial"/>
                <w:b/>
                <w:lang w:eastAsia="en-NZ"/>
              </w:rPr>
              <w:t xml:space="preserve">charge </w:t>
            </w:r>
            <w:r w:rsidR="003E00D3" w:rsidRPr="002F2828">
              <w:rPr>
                <w:rFonts w:asciiTheme="minorHAnsi" w:hAnsiTheme="minorHAnsi" w:cs="Arial"/>
                <w:b/>
                <w:lang w:eastAsia="en-NZ"/>
              </w:rPr>
              <w:t xml:space="preserve">revenue </w:t>
            </w:r>
            <w:r w:rsidRPr="002F2828">
              <w:rPr>
                <w:rFonts w:asciiTheme="minorHAnsi" w:hAnsiTheme="minorHAnsi" w:cs="Arial"/>
                <w:lang w:eastAsia="en-NZ"/>
              </w:rPr>
              <w:t xml:space="preserve">and </w:t>
            </w:r>
            <w:r w:rsidRPr="002F2828">
              <w:rPr>
                <w:rFonts w:asciiTheme="minorHAnsi" w:hAnsiTheme="minorHAnsi" w:cs="Arial"/>
                <w:b/>
                <w:lang w:eastAsia="en-NZ"/>
              </w:rPr>
              <w:t xml:space="preserve">other </w:t>
            </w:r>
            <w:r w:rsidR="001F24B8" w:rsidRPr="002F2828">
              <w:rPr>
                <w:rFonts w:asciiTheme="minorHAnsi" w:hAnsiTheme="minorHAnsi" w:cs="Arial"/>
                <w:b/>
                <w:lang w:eastAsia="en-NZ"/>
              </w:rPr>
              <w:t>regulat</w:t>
            </w:r>
            <w:r w:rsidR="001F24B8">
              <w:rPr>
                <w:rFonts w:asciiTheme="minorHAnsi" w:hAnsiTheme="minorHAnsi" w:cs="Arial"/>
                <w:b/>
                <w:lang w:eastAsia="en-NZ"/>
              </w:rPr>
              <w:t>ed</w:t>
            </w:r>
            <w:r w:rsidR="001F24B8" w:rsidRPr="002F2828">
              <w:rPr>
                <w:rFonts w:asciiTheme="minorHAnsi" w:hAnsiTheme="minorHAnsi" w:cs="Arial"/>
                <w:b/>
                <w:lang w:eastAsia="en-NZ"/>
              </w:rPr>
              <w:t xml:space="preserve"> </w:t>
            </w:r>
            <w:r w:rsidRPr="002F2828">
              <w:rPr>
                <w:rFonts w:asciiTheme="minorHAnsi" w:hAnsiTheme="minorHAnsi" w:cs="Arial"/>
                <w:b/>
                <w:lang w:eastAsia="en-NZ"/>
              </w:rPr>
              <w:t>income</w:t>
            </w:r>
          </w:p>
          <w:p w:rsidR="00EA556C" w:rsidRPr="002F2828" w:rsidRDefault="008B2B63" w:rsidP="000813C9">
            <w:pPr>
              <w:pStyle w:val="ListParagraph"/>
              <w:numPr>
                <w:ilvl w:val="0"/>
                <w:numId w:val="34"/>
              </w:numPr>
              <w:spacing w:line="264" w:lineRule="auto"/>
              <w:ind w:left="459" w:hanging="425"/>
              <w:rPr>
                <w:rFonts w:asciiTheme="minorHAnsi" w:hAnsiTheme="minorHAnsi" w:cs="Arial"/>
                <w:lang w:eastAsia="en-NZ"/>
              </w:rPr>
            </w:pPr>
            <w:r w:rsidRPr="00BD311A">
              <w:rPr>
                <w:rFonts w:asciiTheme="minorHAnsi" w:hAnsiTheme="minorHAnsi" w:cs="Arial"/>
                <w:lang w:eastAsia="en-NZ"/>
              </w:rPr>
              <w:t xml:space="preserve">in relation to the report on </w:t>
            </w:r>
            <w:r w:rsidRPr="00BD311A">
              <w:rPr>
                <w:rFonts w:asciiTheme="minorHAnsi" w:hAnsiTheme="minorHAnsi" w:cs="Arial"/>
                <w:b/>
                <w:lang w:eastAsia="en-NZ"/>
              </w:rPr>
              <w:t>related party</w:t>
            </w:r>
            <w:r w:rsidR="009764C2" w:rsidRPr="009764C2">
              <w:rPr>
                <w:rFonts w:asciiTheme="minorHAnsi" w:hAnsiTheme="minorHAnsi" w:cs="Arial"/>
                <w:b/>
                <w:lang w:eastAsia="en-NZ"/>
              </w:rPr>
              <w:t xml:space="preserve">, </w:t>
            </w:r>
            <w:r w:rsidR="009764C2" w:rsidRPr="009764C2">
              <w:rPr>
                <w:rFonts w:asciiTheme="minorHAnsi" w:hAnsiTheme="minorHAnsi" w:cs="Arial"/>
                <w:lang w:eastAsia="en-NZ"/>
              </w:rPr>
              <w:t xml:space="preserve">the total </w:t>
            </w:r>
            <w:r w:rsidR="009764C2" w:rsidRPr="009764C2">
              <w:rPr>
                <w:rFonts w:asciiTheme="minorHAnsi" w:hAnsiTheme="minorHAnsi" w:cs="Arial"/>
                <w:b/>
                <w:bCs/>
                <w:lang w:eastAsia="en-NZ"/>
              </w:rPr>
              <w:t>regulatory income</w:t>
            </w:r>
            <w:r w:rsidR="009764C2" w:rsidRPr="009764C2">
              <w:rPr>
                <w:rFonts w:asciiTheme="minorHAnsi" w:hAnsiTheme="minorHAnsi" w:cs="Arial"/>
                <w:lang w:eastAsia="en-NZ"/>
              </w:rPr>
              <w:t xml:space="preserve"> </w:t>
            </w:r>
            <w:r w:rsidR="009764C2" w:rsidRPr="009764C2">
              <w:rPr>
                <w:rFonts w:asciiTheme="minorHAnsi" w:hAnsiTheme="minorHAnsi" w:cs="Arial"/>
                <w:b/>
                <w:lang w:eastAsia="en-NZ"/>
              </w:rPr>
              <w:t xml:space="preserve">from </w:t>
            </w:r>
            <w:r w:rsidR="009764C2" w:rsidRPr="009764C2">
              <w:rPr>
                <w:rFonts w:asciiTheme="minorHAnsi" w:hAnsiTheme="minorHAnsi" w:cs="Arial"/>
                <w:b/>
                <w:bCs/>
                <w:lang w:eastAsia="en-NZ"/>
              </w:rPr>
              <w:t>related party transac</w:t>
            </w:r>
            <w:r w:rsidR="00BD311A">
              <w:rPr>
                <w:b/>
                <w:bCs/>
              </w:rPr>
              <w:t>tions</w:t>
            </w:r>
            <w:r w:rsidR="00BD311A">
              <w:t xml:space="preserve"> as determined after appl</w:t>
            </w:r>
            <w:r w:rsidR="009764C2" w:rsidRPr="009764C2">
              <w:rPr>
                <w:b/>
                <w:bCs/>
              </w:rPr>
              <w:t xml:space="preserve">ying clause </w:t>
            </w:r>
            <w:r w:rsidR="00004445">
              <w:rPr>
                <w:b/>
                <w:bCs/>
              </w:rPr>
              <w:fldChar w:fldCharType="begin"/>
            </w:r>
            <w:r w:rsidR="000813C9">
              <w:rPr>
                <w:b/>
                <w:bCs/>
              </w:rPr>
              <w:instrText xml:space="preserve"> REF _Ref329301034 \r \h </w:instrText>
            </w:r>
            <w:r w:rsidR="00004445">
              <w:rPr>
                <w:b/>
                <w:bCs/>
              </w:rPr>
            </w:r>
            <w:r w:rsidR="00004445">
              <w:rPr>
                <w:b/>
                <w:bCs/>
              </w:rPr>
              <w:fldChar w:fldCharType="separate"/>
            </w:r>
            <w:r w:rsidR="00A84D28">
              <w:rPr>
                <w:b/>
                <w:bCs/>
              </w:rPr>
              <w:t>2.3.6</w:t>
            </w:r>
            <w:r w:rsidR="00004445">
              <w:rPr>
                <w:b/>
                <w:bCs/>
              </w:rPr>
              <w:fldChar w:fldCharType="end"/>
            </w:r>
            <w:r w:rsidR="009764C2" w:rsidRPr="009764C2">
              <w:rPr>
                <w:b/>
                <w:bCs/>
              </w:rPr>
              <w:t xml:space="preserve"> of th</w:t>
            </w:r>
            <w:r w:rsidR="00BD311A">
              <w:rPr>
                <w:b/>
                <w:bCs/>
              </w:rPr>
              <w:t>is determination</w:t>
            </w:r>
          </w:p>
        </w:tc>
      </w:tr>
      <w:tr w:rsidR="002008D7" w:rsidRPr="002F2828" w:rsidTr="00A03DC6">
        <w:tc>
          <w:tcPr>
            <w:tcW w:w="3510" w:type="dxa"/>
          </w:tcPr>
          <w:p w:rsidR="002008D7" w:rsidRPr="002F2828" w:rsidRDefault="002008D7" w:rsidP="00AE0D10">
            <w:pPr>
              <w:pStyle w:val="BodyText"/>
              <w:spacing w:line="264" w:lineRule="auto"/>
              <w:rPr>
                <w:rFonts w:asciiTheme="minorHAnsi" w:hAnsiTheme="minorHAnsi" w:cs="Arial"/>
                <w:b/>
                <w:bCs/>
                <w:lang w:eastAsia="en-NZ"/>
              </w:rPr>
            </w:pPr>
            <w:r>
              <w:rPr>
                <w:rFonts w:asciiTheme="minorHAnsi" w:hAnsiTheme="minorHAnsi" w:cs="Arial"/>
                <w:b/>
                <w:bCs/>
                <w:lang w:eastAsia="en-NZ"/>
              </w:rPr>
              <w:t>Transitional AMP</w:t>
            </w:r>
          </w:p>
        </w:tc>
        <w:tc>
          <w:tcPr>
            <w:tcW w:w="4882" w:type="dxa"/>
          </w:tcPr>
          <w:p w:rsidR="002008D7" w:rsidRPr="002F2828" w:rsidRDefault="002008D7" w:rsidP="002008D7">
            <w:pPr>
              <w:tabs>
                <w:tab w:val="left" w:pos="4045"/>
              </w:tabs>
              <w:spacing w:line="264" w:lineRule="auto"/>
              <w:rPr>
                <w:rFonts w:asciiTheme="minorHAnsi" w:hAnsiTheme="minorHAnsi" w:cs="Arial"/>
                <w:lang w:eastAsia="en-NZ"/>
              </w:rPr>
            </w:pPr>
            <w:r w:rsidRPr="002008D7">
              <w:rPr>
                <w:rFonts w:asciiTheme="minorHAnsi" w:hAnsiTheme="minorHAnsi" w:cs="Arial"/>
                <w:lang w:eastAsia="en-NZ"/>
              </w:rPr>
              <w:t xml:space="preserve">has the meaning specified in clause </w:t>
            </w:r>
            <w:r w:rsidR="00004445">
              <w:fldChar w:fldCharType="begin"/>
            </w:r>
            <w:r w:rsidR="0098402F">
              <w:instrText xml:space="preserve"> REF  _Ref329170039 \h \w </w:instrText>
            </w:r>
            <w:r w:rsidR="00004445">
              <w:fldChar w:fldCharType="separate"/>
            </w:r>
            <w:r w:rsidR="00A84D28">
              <w:t>2.12.6(2)</w:t>
            </w:r>
            <w:r w:rsidR="00004445">
              <w:fldChar w:fldCharType="end"/>
            </w:r>
          </w:p>
        </w:tc>
      </w:tr>
    </w:tbl>
    <w:p w:rsidR="003E69C4" w:rsidRPr="002F2828" w:rsidRDefault="003E69C4" w:rsidP="00AE0D10">
      <w:pPr>
        <w:pStyle w:val="Heading2"/>
        <w:spacing w:before="240" w:after="240" w:line="264" w:lineRule="auto"/>
        <w:jc w:val="center"/>
        <w:rPr>
          <w:rFonts w:asciiTheme="minorHAnsi" w:hAnsiTheme="minorHAnsi"/>
          <w:lang w:eastAsia="en-GB"/>
        </w:rPr>
      </w:pPr>
      <w:r w:rsidRPr="002F2828">
        <w:rPr>
          <w:rFonts w:asciiTheme="minorHAnsi" w:hAnsiTheme="minorHAnsi"/>
          <w:lang w:eastAsia="en-GB"/>
        </w:rPr>
        <w:t>U</w:t>
      </w:r>
    </w:p>
    <w:tbl>
      <w:tblPr>
        <w:tblStyle w:val="TableGrid"/>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510"/>
        <w:gridCol w:w="4882"/>
      </w:tblGrid>
      <w:tr w:rsidR="00DE6E39" w:rsidRPr="002F2828" w:rsidTr="00A03DC6">
        <w:tc>
          <w:tcPr>
            <w:tcW w:w="3510" w:type="dxa"/>
          </w:tcPr>
          <w:p w:rsidR="00DE6E39" w:rsidRPr="002F2828" w:rsidRDefault="008B1098" w:rsidP="00AE0D10">
            <w:pPr>
              <w:pStyle w:val="BodyText"/>
              <w:spacing w:line="264" w:lineRule="auto"/>
              <w:rPr>
                <w:rFonts w:asciiTheme="minorHAnsi" w:hAnsiTheme="minorHAnsi" w:cs="Arial"/>
                <w:b/>
                <w:bCs/>
                <w:lang w:eastAsia="en-NZ"/>
              </w:rPr>
            </w:pPr>
            <w:r w:rsidRPr="002F2828">
              <w:rPr>
                <w:rFonts w:asciiTheme="minorHAnsi" w:hAnsiTheme="minorHAnsi" w:cs="Arial"/>
                <w:b/>
                <w:bCs/>
                <w:lang w:eastAsia="en-NZ"/>
              </w:rPr>
              <w:t>Unallocated RAB</w:t>
            </w:r>
          </w:p>
        </w:tc>
        <w:tc>
          <w:tcPr>
            <w:tcW w:w="4882" w:type="dxa"/>
          </w:tcPr>
          <w:p w:rsidR="00DE6E39" w:rsidRPr="002F2828" w:rsidRDefault="008B1098" w:rsidP="00AE0D10">
            <w:pPr>
              <w:tabs>
                <w:tab w:val="left" w:pos="4045"/>
              </w:tabs>
              <w:spacing w:line="264" w:lineRule="auto"/>
              <w:rPr>
                <w:rFonts w:asciiTheme="minorHAnsi" w:hAnsiTheme="minorHAnsi"/>
              </w:rPr>
            </w:pPr>
            <w:r w:rsidRPr="002F2828">
              <w:rPr>
                <w:rFonts w:asciiTheme="minorHAnsi" w:hAnsiTheme="minorHAnsi" w:cs="Arial"/>
                <w:lang w:eastAsia="en-NZ"/>
              </w:rPr>
              <w:t xml:space="preserve">means for the components of the </w:t>
            </w:r>
            <w:r w:rsidR="00E915A2" w:rsidRPr="002F2828">
              <w:rPr>
                <w:rFonts w:asciiTheme="minorHAnsi" w:hAnsiTheme="minorHAnsi" w:cs="Arial"/>
                <w:b/>
                <w:lang w:eastAsia="en-NZ"/>
              </w:rPr>
              <w:t>RAB</w:t>
            </w:r>
            <w:r w:rsidRPr="002F2828">
              <w:rPr>
                <w:rFonts w:asciiTheme="minorHAnsi" w:hAnsiTheme="minorHAnsi" w:cs="Arial"/>
                <w:lang w:eastAsia="en-NZ"/>
              </w:rPr>
              <w:t xml:space="preserve"> roll-forward, the values before the application of clause 2.1.1 of the </w:t>
            </w:r>
            <w:r w:rsidRPr="002F2828">
              <w:rPr>
                <w:rFonts w:asciiTheme="minorHAnsi" w:hAnsiTheme="minorHAnsi" w:cs="Arial"/>
                <w:b/>
                <w:lang w:eastAsia="en-NZ"/>
              </w:rPr>
              <w:t>IM determination</w:t>
            </w:r>
          </w:p>
        </w:tc>
      </w:tr>
      <w:tr w:rsidR="000E59D0" w:rsidRPr="002F2828" w:rsidTr="00A03DC6">
        <w:tc>
          <w:tcPr>
            <w:tcW w:w="3510" w:type="dxa"/>
          </w:tcPr>
          <w:p w:rsidR="000E59D0" w:rsidRPr="002F2828" w:rsidRDefault="000E59D0" w:rsidP="00AE0D10">
            <w:pPr>
              <w:pStyle w:val="BodyText"/>
              <w:spacing w:line="264" w:lineRule="auto"/>
              <w:rPr>
                <w:rFonts w:asciiTheme="minorHAnsi" w:hAnsiTheme="minorHAnsi" w:cs="Arial"/>
                <w:b/>
                <w:bCs/>
                <w:lang w:eastAsia="en-NZ"/>
              </w:rPr>
            </w:pPr>
            <w:r w:rsidRPr="002F2828">
              <w:rPr>
                <w:rFonts w:asciiTheme="minorHAnsi" w:hAnsiTheme="minorHAnsi" w:cs="Arial"/>
                <w:b/>
                <w:lang w:eastAsia="en-NZ"/>
              </w:rPr>
              <w:t>Unplanned interruption</w:t>
            </w:r>
          </w:p>
        </w:tc>
        <w:tc>
          <w:tcPr>
            <w:tcW w:w="4882" w:type="dxa"/>
          </w:tcPr>
          <w:p w:rsidR="000E59D0" w:rsidRPr="000E59D0" w:rsidRDefault="000E59D0" w:rsidP="000E59D0">
            <w:r w:rsidRPr="000E59D0">
              <w:t>means any interruption in respect of which less than 10 days notice, or no notice, was given, either to the retailer or to all gas consumers affected by the interruption</w:t>
            </w:r>
          </w:p>
        </w:tc>
      </w:tr>
    </w:tbl>
    <w:p w:rsidR="003E69C4" w:rsidRPr="002F2828" w:rsidRDefault="003E69C4" w:rsidP="00AE0D10">
      <w:pPr>
        <w:pStyle w:val="Heading2"/>
        <w:spacing w:before="240" w:after="240" w:line="264" w:lineRule="auto"/>
        <w:jc w:val="center"/>
        <w:rPr>
          <w:rFonts w:asciiTheme="minorHAnsi" w:hAnsiTheme="minorHAnsi"/>
          <w:lang w:eastAsia="en-GB"/>
        </w:rPr>
      </w:pPr>
      <w:r w:rsidRPr="002F2828">
        <w:rPr>
          <w:rFonts w:asciiTheme="minorHAnsi" w:hAnsiTheme="minorHAnsi"/>
          <w:lang w:eastAsia="en-GB"/>
        </w:rPr>
        <w:t>V</w:t>
      </w:r>
    </w:p>
    <w:tbl>
      <w:tblPr>
        <w:tblStyle w:val="TableGrid"/>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510"/>
        <w:gridCol w:w="4882"/>
      </w:tblGrid>
      <w:tr w:rsidR="00B26735" w:rsidRPr="002F2828" w:rsidDel="00B26735" w:rsidTr="00A03DC6">
        <w:tc>
          <w:tcPr>
            <w:tcW w:w="3510" w:type="dxa"/>
          </w:tcPr>
          <w:p w:rsidR="00B26735" w:rsidRPr="002F2828" w:rsidDel="00B26735" w:rsidRDefault="00B26735" w:rsidP="00AE0D10">
            <w:pPr>
              <w:pStyle w:val="BodyText"/>
              <w:spacing w:line="264" w:lineRule="auto"/>
              <w:rPr>
                <w:rFonts w:asciiTheme="minorHAnsi" w:hAnsiTheme="minorHAnsi"/>
                <w:b/>
              </w:rPr>
            </w:pPr>
            <w:r w:rsidRPr="002F2828">
              <w:rPr>
                <w:rFonts w:asciiTheme="minorHAnsi" w:hAnsiTheme="minorHAnsi"/>
                <w:b/>
              </w:rPr>
              <w:t>Valve</w:t>
            </w:r>
          </w:p>
        </w:tc>
        <w:tc>
          <w:tcPr>
            <w:tcW w:w="4882" w:type="dxa"/>
          </w:tcPr>
          <w:p w:rsidR="00B26735" w:rsidRPr="002F2828" w:rsidDel="00B26735" w:rsidRDefault="00B5679E" w:rsidP="00B5679E">
            <w:pPr>
              <w:spacing w:line="264" w:lineRule="auto"/>
              <w:rPr>
                <w:rFonts w:asciiTheme="minorHAnsi" w:hAnsiTheme="minorHAnsi"/>
              </w:rPr>
            </w:pPr>
            <w:r w:rsidRPr="002F2828">
              <w:rPr>
                <w:rFonts w:asciiTheme="minorHAnsi" w:hAnsiTheme="minorHAnsi"/>
              </w:rPr>
              <w:t xml:space="preserve">means </w:t>
            </w:r>
            <w:r w:rsidR="00042BA7" w:rsidRPr="002F2828">
              <w:rPr>
                <w:rFonts w:asciiTheme="minorHAnsi" w:hAnsiTheme="minorHAnsi"/>
              </w:rPr>
              <w:t xml:space="preserve">a </w:t>
            </w:r>
            <w:r w:rsidRPr="002F2828">
              <w:rPr>
                <w:rFonts w:asciiTheme="minorHAnsi" w:hAnsiTheme="minorHAnsi"/>
              </w:rPr>
              <w:t>fitting installed in a pipeline designed to control the flow of gas</w:t>
            </w:r>
          </w:p>
        </w:tc>
      </w:tr>
    </w:tbl>
    <w:p w:rsidR="003E69C4" w:rsidRPr="002F2828" w:rsidRDefault="003E69C4" w:rsidP="00AE0D10">
      <w:pPr>
        <w:pStyle w:val="Heading2"/>
        <w:spacing w:before="240" w:after="240" w:line="264" w:lineRule="auto"/>
        <w:jc w:val="center"/>
        <w:rPr>
          <w:rFonts w:asciiTheme="minorHAnsi" w:hAnsiTheme="minorHAnsi"/>
          <w:lang w:eastAsia="en-GB"/>
        </w:rPr>
      </w:pPr>
      <w:r w:rsidRPr="002F2828">
        <w:rPr>
          <w:rFonts w:asciiTheme="minorHAnsi" w:hAnsiTheme="minorHAnsi"/>
          <w:lang w:eastAsia="en-GB"/>
        </w:rPr>
        <w:t>W</w:t>
      </w:r>
    </w:p>
    <w:p w:rsidR="003E69C4" w:rsidRPr="002F2828" w:rsidRDefault="003E69C4" w:rsidP="00AE0D10">
      <w:pPr>
        <w:pStyle w:val="Heading2"/>
        <w:spacing w:before="240" w:after="240" w:line="264" w:lineRule="auto"/>
        <w:jc w:val="center"/>
        <w:rPr>
          <w:rFonts w:asciiTheme="minorHAnsi" w:hAnsiTheme="minorHAnsi"/>
          <w:lang w:eastAsia="en-GB"/>
        </w:rPr>
      </w:pPr>
      <w:r w:rsidRPr="002F2828">
        <w:rPr>
          <w:rFonts w:asciiTheme="minorHAnsi" w:hAnsiTheme="minorHAnsi"/>
          <w:lang w:eastAsia="en-GB"/>
        </w:rPr>
        <w:t>Y</w:t>
      </w:r>
    </w:p>
    <w:p w:rsidR="003E69C4" w:rsidRPr="002F2828" w:rsidRDefault="00527899" w:rsidP="00ED011C">
      <w:pPr>
        <w:pStyle w:val="BodyText"/>
        <w:spacing w:line="264" w:lineRule="auto"/>
        <w:rPr>
          <w:rFonts w:asciiTheme="minorHAnsi" w:hAnsiTheme="minorHAnsi"/>
        </w:rPr>
      </w:pPr>
      <w:r w:rsidRPr="002F2828">
        <w:rPr>
          <w:rFonts w:asciiTheme="minorHAnsi" w:hAnsiTheme="minorHAnsi" w:cs="Arial"/>
          <w:b/>
          <w:bCs/>
          <w:lang w:eastAsia="en-NZ"/>
        </w:rPr>
        <w:tab/>
      </w:r>
    </w:p>
    <w:p w:rsidR="000B08C6" w:rsidRPr="002F2828" w:rsidRDefault="000B08C6" w:rsidP="00AE0D10">
      <w:pPr>
        <w:spacing w:line="264" w:lineRule="auto"/>
        <w:rPr>
          <w:rFonts w:asciiTheme="minorHAnsi" w:hAnsiTheme="minorHAnsi"/>
        </w:rPr>
        <w:sectPr w:rsidR="000B08C6" w:rsidRPr="002F2828" w:rsidSect="00223E26">
          <w:pgSz w:w="11907" w:h="16840" w:code="9"/>
          <w:pgMar w:top="1440" w:right="1440" w:bottom="1440" w:left="1440" w:header="1134" w:footer="431" w:gutter="0"/>
          <w:cols w:space="720"/>
          <w:docGrid w:linePitch="326"/>
        </w:sectPr>
      </w:pPr>
    </w:p>
    <w:p w:rsidR="00092A55" w:rsidRDefault="006927B6">
      <w:pPr>
        <w:pStyle w:val="HeadingH2"/>
      </w:pPr>
      <w:bookmarkStart w:id="23" w:name="_Toc329301621"/>
      <w:r>
        <w:t>DIS</w:t>
      </w:r>
      <w:r w:rsidR="008F5D7B">
        <w:t>C</w:t>
      </w:r>
      <w:r>
        <w:t>LOSURE REQUIREMENTS</w:t>
      </w:r>
      <w:bookmarkEnd w:id="23"/>
    </w:p>
    <w:p w:rsidR="00092A55" w:rsidRDefault="009764C2">
      <w:pPr>
        <w:pStyle w:val="HeadingH3SectionHeading"/>
      </w:pPr>
      <w:bookmarkStart w:id="24" w:name="_Toc328904419"/>
      <w:bookmarkStart w:id="25" w:name="_Toc328904749"/>
      <w:bookmarkStart w:id="26" w:name="_Toc328904823"/>
      <w:bookmarkStart w:id="27" w:name="_Toc328904895"/>
      <w:bookmarkStart w:id="28" w:name="_Toc328904962"/>
      <w:bookmarkStart w:id="29" w:name="_Toc328905027"/>
      <w:bookmarkStart w:id="30" w:name="_Toc328905088"/>
      <w:bookmarkStart w:id="31" w:name="_Toc328905253"/>
      <w:bookmarkStart w:id="32" w:name="_Toc328905364"/>
      <w:bookmarkStart w:id="33" w:name="_Toc328905420"/>
      <w:bookmarkStart w:id="34" w:name="_Toc329301622"/>
      <w:bookmarkEnd w:id="24"/>
      <w:bookmarkEnd w:id="25"/>
      <w:bookmarkEnd w:id="26"/>
      <w:bookmarkEnd w:id="27"/>
      <w:bookmarkEnd w:id="28"/>
      <w:bookmarkEnd w:id="29"/>
      <w:bookmarkEnd w:id="30"/>
      <w:bookmarkEnd w:id="31"/>
      <w:bookmarkEnd w:id="32"/>
      <w:bookmarkEnd w:id="33"/>
      <w:r w:rsidRPr="009764C2">
        <w:t>INFORMATION DISCLOSURE</w:t>
      </w:r>
      <w:bookmarkEnd w:id="34"/>
    </w:p>
    <w:p w:rsidR="004A44CB" w:rsidRPr="002F2828" w:rsidRDefault="004A44CB" w:rsidP="00A55537">
      <w:pPr>
        <w:pStyle w:val="HeadingH4Clausetext"/>
      </w:pPr>
      <w:r w:rsidRPr="002F2828">
        <w:t xml:space="preserve">Subject to </w:t>
      </w:r>
      <w:r w:rsidR="00BC156E">
        <w:t xml:space="preserve">sections </w:t>
      </w:r>
      <w:r w:rsidR="00004445">
        <w:fldChar w:fldCharType="begin"/>
      </w:r>
      <w:r w:rsidR="00BC156E">
        <w:instrText xml:space="preserve"> REF _Ref328950971 \w \h </w:instrText>
      </w:r>
      <w:r w:rsidR="00004445">
        <w:fldChar w:fldCharType="separate"/>
      </w:r>
      <w:r w:rsidR="00A84D28">
        <w:t>2.11</w:t>
      </w:r>
      <w:r w:rsidR="00004445">
        <w:fldChar w:fldCharType="end"/>
      </w:r>
      <w:r w:rsidR="00042BA7" w:rsidRPr="002F2828">
        <w:t xml:space="preserve"> and </w:t>
      </w:r>
      <w:r w:rsidR="00004445">
        <w:fldChar w:fldCharType="begin"/>
      </w:r>
      <w:r w:rsidR="00BC156E">
        <w:instrText xml:space="preserve"> REF _Ref328950981 \w \h </w:instrText>
      </w:r>
      <w:r w:rsidR="00004445">
        <w:fldChar w:fldCharType="separate"/>
      </w:r>
      <w:r w:rsidR="00A84D28">
        <w:t>2.12</w:t>
      </w:r>
      <w:r w:rsidR="00004445">
        <w:fldChar w:fldCharType="end"/>
      </w:r>
      <w:r w:rsidRPr="002F2828">
        <w:t xml:space="preserve">, from the commencement date every </w:t>
      </w:r>
      <w:r w:rsidRPr="002F2828">
        <w:rPr>
          <w:b/>
        </w:rPr>
        <w:t>GDB</w:t>
      </w:r>
      <w:r w:rsidR="008837D4" w:rsidRPr="002F2828">
        <w:t xml:space="preserve"> </w:t>
      </w:r>
      <w:r w:rsidRPr="002F2828">
        <w:t>must comply with the information disclosure requirements set out in this determination and, in particular, must comply with:</w:t>
      </w:r>
    </w:p>
    <w:p w:rsidR="004A44CB" w:rsidRPr="002F2828" w:rsidRDefault="004A44CB" w:rsidP="00A55537">
      <w:pPr>
        <w:pStyle w:val="HeadingH5ClausesubtextL1"/>
      </w:pPr>
      <w:r w:rsidRPr="002F2828">
        <w:t xml:space="preserve">The requirements to disclose financial and other information in section </w:t>
      </w:r>
      <w:r w:rsidR="00004445">
        <w:fldChar w:fldCharType="begin"/>
      </w:r>
      <w:r w:rsidR="00A27AB6">
        <w:instrText xml:space="preserve"> REF _Ref328951084 \w \h </w:instrText>
      </w:r>
      <w:r w:rsidR="00004445">
        <w:fldChar w:fldCharType="separate"/>
      </w:r>
      <w:r w:rsidR="00A84D28">
        <w:t>2.3</w:t>
      </w:r>
      <w:r w:rsidR="00004445">
        <w:fldChar w:fldCharType="end"/>
      </w:r>
    </w:p>
    <w:p w:rsidR="004A44CB" w:rsidRDefault="004A44CB" w:rsidP="00A55537">
      <w:pPr>
        <w:pStyle w:val="HeadingH5ClausesubtextL1"/>
      </w:pPr>
      <w:r w:rsidRPr="002F2828">
        <w:t xml:space="preserve">The requirement to disclose pricing </w:t>
      </w:r>
      <w:r w:rsidR="008E4680" w:rsidRPr="002F2828">
        <w:t xml:space="preserve">and related </w:t>
      </w:r>
      <w:r w:rsidRPr="002F2828">
        <w:t xml:space="preserve">information in section </w:t>
      </w:r>
      <w:r w:rsidR="00004445">
        <w:fldChar w:fldCharType="begin"/>
      </w:r>
      <w:r w:rsidR="00A27AB6">
        <w:instrText xml:space="preserve"> REF _Ref328951108 \w \h </w:instrText>
      </w:r>
      <w:r w:rsidR="00004445">
        <w:fldChar w:fldCharType="separate"/>
      </w:r>
      <w:r w:rsidR="00A84D28">
        <w:t>2.4</w:t>
      </w:r>
      <w:r w:rsidR="00004445">
        <w:fldChar w:fldCharType="end"/>
      </w:r>
    </w:p>
    <w:p w:rsidR="00D87F5F" w:rsidRPr="002F2828" w:rsidRDefault="00BC156E" w:rsidP="00A55537">
      <w:pPr>
        <w:pStyle w:val="HeadingH5ClausesubtextL1"/>
      </w:pPr>
      <w:r>
        <w:t>The requirement to disclose n</w:t>
      </w:r>
      <w:r w:rsidR="00D87F5F">
        <w:t xml:space="preserve">on-financial information relating to network assets in section </w:t>
      </w:r>
      <w:r w:rsidR="00004445">
        <w:fldChar w:fldCharType="begin"/>
      </w:r>
      <w:r w:rsidR="00A27AB6">
        <w:instrText xml:space="preserve"> REF _Ref328951122 \w \h </w:instrText>
      </w:r>
      <w:r w:rsidR="00004445">
        <w:fldChar w:fldCharType="separate"/>
      </w:r>
      <w:r w:rsidR="00A84D28">
        <w:t>2.5</w:t>
      </w:r>
      <w:r w:rsidR="00004445">
        <w:fldChar w:fldCharType="end"/>
      </w:r>
    </w:p>
    <w:p w:rsidR="004A44CB" w:rsidRDefault="004A44CB" w:rsidP="00A55537">
      <w:pPr>
        <w:pStyle w:val="HeadingH5ClausesubtextL1"/>
      </w:pPr>
      <w:r w:rsidRPr="002F2828">
        <w:t xml:space="preserve">The requirement to disclose </w:t>
      </w:r>
      <w:r w:rsidR="00F92653" w:rsidRPr="002F2828">
        <w:t xml:space="preserve">asset management </w:t>
      </w:r>
      <w:r w:rsidR="00D87F5F">
        <w:t xml:space="preserve">plans and forecast </w:t>
      </w:r>
      <w:r w:rsidR="00F92653" w:rsidRPr="002F2828">
        <w:t xml:space="preserve">information </w:t>
      </w:r>
      <w:r w:rsidRPr="002F2828">
        <w:t xml:space="preserve">in section </w:t>
      </w:r>
      <w:r w:rsidR="00004445">
        <w:fldChar w:fldCharType="begin"/>
      </w:r>
      <w:r w:rsidR="00A27AB6">
        <w:instrText xml:space="preserve"> REF _Ref328951135 \w \h </w:instrText>
      </w:r>
      <w:r w:rsidR="00004445">
        <w:fldChar w:fldCharType="separate"/>
      </w:r>
      <w:r w:rsidR="00A84D28">
        <w:t>2.6</w:t>
      </w:r>
      <w:r w:rsidR="00004445">
        <w:fldChar w:fldCharType="end"/>
      </w:r>
    </w:p>
    <w:p w:rsidR="00A27AB6" w:rsidRPr="002F2828" w:rsidRDefault="00A27AB6" w:rsidP="00A55537">
      <w:pPr>
        <w:pStyle w:val="HeadingH5ClausesubtextL1"/>
      </w:pPr>
      <w:r>
        <w:t xml:space="preserve">The requirement to disclose explanatory notes in relation to disclosed information in section </w:t>
      </w:r>
      <w:r w:rsidR="00004445">
        <w:fldChar w:fldCharType="begin"/>
      </w:r>
      <w:r w:rsidR="007B029B">
        <w:instrText xml:space="preserve"> REF _Ref328949312 \w \h </w:instrText>
      </w:r>
      <w:r w:rsidR="00004445">
        <w:fldChar w:fldCharType="separate"/>
      </w:r>
      <w:r w:rsidR="00A84D28">
        <w:t>2.7</w:t>
      </w:r>
      <w:r w:rsidR="00004445">
        <w:fldChar w:fldCharType="end"/>
      </w:r>
    </w:p>
    <w:p w:rsidR="004A44CB" w:rsidRPr="002F2828" w:rsidRDefault="004A44CB" w:rsidP="00A55537">
      <w:pPr>
        <w:pStyle w:val="HeadingH5ClausesubtextL1"/>
      </w:pPr>
      <w:r w:rsidRPr="002F2828">
        <w:t xml:space="preserve">The audit, certification and verification requirements in section </w:t>
      </w:r>
      <w:r w:rsidR="00004445">
        <w:fldChar w:fldCharType="begin"/>
      </w:r>
      <w:r w:rsidR="00A27AB6">
        <w:instrText xml:space="preserve"> REF _Ref328951160 \w \h </w:instrText>
      </w:r>
      <w:r w:rsidR="00004445">
        <w:fldChar w:fldCharType="separate"/>
      </w:r>
      <w:r w:rsidR="00A84D28">
        <w:t>2.8</w:t>
      </w:r>
      <w:r w:rsidR="00004445">
        <w:fldChar w:fldCharType="end"/>
      </w:r>
      <w:r w:rsidR="00A27AB6">
        <w:t xml:space="preserve"> </w:t>
      </w:r>
      <w:r w:rsidR="005A70D8" w:rsidRPr="002F2828">
        <w:t xml:space="preserve">and </w:t>
      </w:r>
      <w:r w:rsidR="00004445">
        <w:fldChar w:fldCharType="begin"/>
      </w:r>
      <w:r w:rsidR="00A27AB6">
        <w:instrText xml:space="preserve"> REF _Ref328951171 \w \h </w:instrText>
      </w:r>
      <w:r w:rsidR="00004445">
        <w:fldChar w:fldCharType="separate"/>
      </w:r>
      <w:r w:rsidR="00A84D28">
        <w:t>2.9</w:t>
      </w:r>
      <w:r w:rsidR="00004445">
        <w:fldChar w:fldCharType="end"/>
      </w:r>
    </w:p>
    <w:p w:rsidR="004A44CB" w:rsidRPr="002F2828" w:rsidRDefault="004A44CB" w:rsidP="00A55537">
      <w:pPr>
        <w:pStyle w:val="HeadingH5ClausesubtextL1"/>
      </w:pPr>
      <w:r w:rsidRPr="002F2828">
        <w:t xml:space="preserve">The retention and continuous disclosure requirements in section </w:t>
      </w:r>
      <w:r w:rsidR="00004445">
        <w:fldChar w:fldCharType="begin"/>
      </w:r>
      <w:r w:rsidR="00A27AB6">
        <w:instrText xml:space="preserve"> REF _Ref328951183 \w \h </w:instrText>
      </w:r>
      <w:r w:rsidR="00004445">
        <w:fldChar w:fldCharType="separate"/>
      </w:r>
      <w:r w:rsidR="00A84D28">
        <w:t>2.10</w:t>
      </w:r>
      <w:r w:rsidR="00004445">
        <w:fldChar w:fldCharType="end"/>
      </w:r>
      <w:r w:rsidRPr="002F2828">
        <w:t>.</w:t>
      </w:r>
    </w:p>
    <w:p w:rsidR="00CF76F1" w:rsidRPr="002F2828" w:rsidRDefault="005E7E33" w:rsidP="00A55537">
      <w:pPr>
        <w:pStyle w:val="HeadingH5ClausesubtextL1"/>
        <w:sectPr w:rsidR="00CF76F1" w:rsidRPr="002F2828" w:rsidSect="00223E26">
          <w:pgSz w:w="11907" w:h="16840" w:code="9"/>
          <w:pgMar w:top="1440" w:right="1440" w:bottom="1440" w:left="1440" w:header="1134" w:footer="431" w:gutter="0"/>
          <w:cols w:space="720"/>
          <w:titlePg/>
        </w:sectPr>
      </w:pPr>
      <w:r w:rsidRPr="002F2828">
        <w:t xml:space="preserve">The transitional provisions in section </w:t>
      </w:r>
      <w:r w:rsidR="00004445">
        <w:fldChar w:fldCharType="begin"/>
      </w:r>
      <w:r w:rsidR="00A27AB6">
        <w:instrText xml:space="preserve"> REF _Ref328951193 \w \h </w:instrText>
      </w:r>
      <w:r w:rsidR="00004445">
        <w:fldChar w:fldCharType="separate"/>
      </w:r>
      <w:r w:rsidR="00A84D28">
        <w:t>2.12</w:t>
      </w:r>
      <w:r w:rsidR="00004445">
        <w:fldChar w:fldCharType="end"/>
      </w:r>
    </w:p>
    <w:p w:rsidR="004A44CB" w:rsidRPr="002F2828" w:rsidRDefault="0084688E" w:rsidP="00A55537">
      <w:pPr>
        <w:pStyle w:val="HeadingH3SectionHeading"/>
      </w:pPr>
      <w:bookmarkStart w:id="35" w:name="_Toc329301623"/>
      <w:r w:rsidRPr="002F2828">
        <w:t>APPLICABLE INPUT METHODOLOGIES</w:t>
      </w:r>
      <w:bookmarkEnd w:id="35"/>
    </w:p>
    <w:p w:rsidR="00870D08" w:rsidRPr="002F2828" w:rsidRDefault="00870D08" w:rsidP="00A55537">
      <w:pPr>
        <w:pStyle w:val="HeadingH4Clausetext"/>
      </w:pPr>
      <w:r w:rsidRPr="002F2828">
        <w:t xml:space="preserve">Every </w:t>
      </w:r>
      <w:r w:rsidR="005E0355" w:rsidRPr="002F2828">
        <w:rPr>
          <w:b/>
        </w:rPr>
        <w:t>GDB</w:t>
      </w:r>
      <w:r w:rsidR="008837D4" w:rsidRPr="002F2828">
        <w:rPr>
          <w:b/>
        </w:rPr>
        <w:t xml:space="preserve"> </w:t>
      </w:r>
      <w:r w:rsidRPr="002F2828">
        <w:t xml:space="preserve">must apply the following </w:t>
      </w:r>
      <w:r w:rsidR="008C1A91" w:rsidRPr="002F2828">
        <w:t>input methodologies</w:t>
      </w:r>
      <w:r w:rsidRPr="002F2828">
        <w:t xml:space="preserve"> as applicable, when complying with this determination:</w:t>
      </w:r>
    </w:p>
    <w:p w:rsidR="00FD61CF" w:rsidRPr="00604256" w:rsidRDefault="00FD61CF" w:rsidP="00FD61CF">
      <w:pPr>
        <w:pStyle w:val="HeadingH5ClausesubtextL1"/>
        <w:tabs>
          <w:tab w:val="num" w:pos="-31680"/>
        </w:tabs>
      </w:pPr>
      <w:r>
        <w:t xml:space="preserve">Subpart 1 of part 2, </w:t>
      </w:r>
      <w:r w:rsidRPr="00604256">
        <w:t>cost allocation</w:t>
      </w:r>
    </w:p>
    <w:p w:rsidR="00FD61CF" w:rsidRPr="00604256" w:rsidRDefault="00FD61CF" w:rsidP="00FD61CF">
      <w:pPr>
        <w:pStyle w:val="HeadingH5ClausesubtextL1"/>
        <w:tabs>
          <w:tab w:val="num" w:pos="-31680"/>
        </w:tabs>
      </w:pPr>
      <w:r>
        <w:t xml:space="preserve">Subpart 2 of part 2, </w:t>
      </w:r>
      <w:r w:rsidRPr="00604256">
        <w:t>asset valuation</w:t>
      </w:r>
    </w:p>
    <w:p w:rsidR="00FD61CF" w:rsidRDefault="00FD61CF" w:rsidP="00FD61CF">
      <w:pPr>
        <w:pStyle w:val="HeadingH5ClausesubtextL1"/>
        <w:tabs>
          <w:tab w:val="num" w:pos="-31680"/>
        </w:tabs>
      </w:pPr>
      <w:r>
        <w:t xml:space="preserve">Subpart 3 of part 2, </w:t>
      </w:r>
      <w:r w:rsidRPr="00604256">
        <w:t>treatment of taxation</w:t>
      </w:r>
    </w:p>
    <w:p w:rsidR="00FD61CF" w:rsidRPr="00604256" w:rsidRDefault="00FD61CF" w:rsidP="00FD61CF">
      <w:pPr>
        <w:pStyle w:val="HeadingH5ClausesubtextL1"/>
        <w:tabs>
          <w:tab w:val="num" w:pos="-31680"/>
        </w:tabs>
      </w:pPr>
      <w:r>
        <w:t>Subpart 4 of part 2, cost of capital</w:t>
      </w:r>
    </w:p>
    <w:p w:rsidR="00F56F86" w:rsidRDefault="00FD61CF">
      <w:pPr>
        <w:pStyle w:val="HeadingH5ClausesubtextL1"/>
        <w:spacing w:after="480"/>
      </w:pPr>
      <w:r>
        <w:t>Subpart 4 of part 2</w:t>
      </w:r>
      <w:r w:rsidR="00F56F86">
        <w:t xml:space="preserve">, </w:t>
      </w:r>
      <w:r w:rsidR="009764C2" w:rsidRPr="009764C2">
        <w:t>pricing methodologies</w:t>
      </w:r>
    </w:p>
    <w:p w:rsidR="009764C2" w:rsidRDefault="009764C2" w:rsidP="009764C2">
      <w:pPr>
        <w:pStyle w:val="HeadingH3SectionHeading"/>
        <w:keepNext/>
      </w:pPr>
      <w:bookmarkStart w:id="36" w:name="_Ref328951084"/>
      <w:bookmarkStart w:id="37" w:name="_Ref328953486"/>
      <w:bookmarkStart w:id="38" w:name="_Ref329169771"/>
      <w:bookmarkStart w:id="39" w:name="_Toc329301624"/>
      <w:r w:rsidRPr="009764C2">
        <w:t>FINANCIAL INFORMATION FOR THE DISCLOSURE YEAR</w:t>
      </w:r>
      <w:bookmarkEnd w:id="36"/>
      <w:bookmarkEnd w:id="37"/>
      <w:bookmarkEnd w:id="38"/>
      <w:bookmarkEnd w:id="39"/>
    </w:p>
    <w:p w:rsidR="00F56F86" w:rsidRDefault="0084688E">
      <w:pPr>
        <w:pStyle w:val="BodyText"/>
      </w:pPr>
      <w:bookmarkStart w:id="40" w:name="_Ref279614394"/>
      <w:bookmarkStart w:id="41" w:name="_Ref279615310"/>
      <w:bookmarkStart w:id="42" w:name="_Ref279615319"/>
      <w:bookmarkStart w:id="43" w:name="_Ref279616503"/>
      <w:bookmarkStart w:id="44" w:name="_Ref279616757"/>
      <w:bookmarkStart w:id="45" w:name="_Ref279617093"/>
      <w:bookmarkStart w:id="46" w:name="_Toc280783000"/>
      <w:r w:rsidRPr="006927B6">
        <w:rPr>
          <w:i/>
        </w:rPr>
        <w:t>Annual Disclosure Relating to Financial Information</w:t>
      </w:r>
      <w:bookmarkEnd w:id="40"/>
      <w:bookmarkEnd w:id="41"/>
      <w:bookmarkEnd w:id="42"/>
      <w:bookmarkEnd w:id="43"/>
      <w:bookmarkEnd w:id="44"/>
      <w:bookmarkEnd w:id="45"/>
      <w:bookmarkEnd w:id="46"/>
      <w:r w:rsidR="00974450" w:rsidRPr="006927B6">
        <w:rPr>
          <w:i/>
        </w:rPr>
        <w:t xml:space="preserve"> for the Disclosure Year</w:t>
      </w:r>
    </w:p>
    <w:p w:rsidR="0084688E" w:rsidRPr="002F2828" w:rsidRDefault="0084688E" w:rsidP="00A55537">
      <w:pPr>
        <w:pStyle w:val="HeadingH4Clausetext"/>
      </w:pPr>
      <w:bookmarkStart w:id="47" w:name="_Ref279613342"/>
      <w:r w:rsidRPr="002F2828">
        <w:t xml:space="preserve">Subject to </w:t>
      </w:r>
      <w:r w:rsidR="008C1A91" w:rsidRPr="002F2828">
        <w:t>section</w:t>
      </w:r>
      <w:r w:rsidR="00613F2D">
        <w:t xml:space="preserve"> 2.12</w:t>
      </w:r>
      <w:r w:rsidRPr="002F2828">
        <w:t xml:space="preserve">, within </w:t>
      </w:r>
      <w:r w:rsidR="005A113D">
        <w:t>6</w:t>
      </w:r>
      <w:r w:rsidR="005A113D" w:rsidRPr="002F2828">
        <w:t xml:space="preserve"> </w:t>
      </w:r>
      <w:r w:rsidRPr="009A5262">
        <w:rPr>
          <w:bCs/>
        </w:rPr>
        <w:t>months</w:t>
      </w:r>
      <w:r w:rsidRPr="002F2828">
        <w:t xml:space="preserve"> after the end of each </w:t>
      </w:r>
      <w:r w:rsidRPr="002F2828">
        <w:rPr>
          <w:b/>
          <w:bCs/>
        </w:rPr>
        <w:t>disclosure year</w:t>
      </w:r>
      <w:r w:rsidRPr="002F2828">
        <w:t xml:space="preserve">, every </w:t>
      </w:r>
      <w:r w:rsidR="00F045F6" w:rsidRPr="002F2828">
        <w:rPr>
          <w:b/>
          <w:bCs/>
        </w:rPr>
        <w:t>GDB</w:t>
      </w:r>
      <w:r w:rsidR="00F045F6" w:rsidRPr="002F2828">
        <w:t xml:space="preserve"> </w:t>
      </w:r>
      <w:r w:rsidRPr="002F2828">
        <w:t>must disclose information relating to its financial position by:</w:t>
      </w:r>
      <w:bookmarkEnd w:id="47"/>
    </w:p>
    <w:p w:rsidR="0084688E" w:rsidRPr="002F2828" w:rsidRDefault="000A38BA" w:rsidP="00A55537">
      <w:pPr>
        <w:pStyle w:val="HeadingH5ClausesubtextL1"/>
      </w:pPr>
      <w:bookmarkStart w:id="48" w:name="_Ref307473293"/>
      <w:r>
        <w:t>C</w:t>
      </w:r>
      <w:r w:rsidR="0084688E" w:rsidRPr="002F2828">
        <w:t xml:space="preserve">ompleting each of the following reports by inserting all information relating to the </w:t>
      </w:r>
      <w:r w:rsidR="00F045F6" w:rsidRPr="002F2828">
        <w:rPr>
          <w:b/>
        </w:rPr>
        <w:t xml:space="preserve">gas </w:t>
      </w:r>
      <w:r w:rsidR="00F92653" w:rsidRPr="002F2828">
        <w:rPr>
          <w:b/>
        </w:rPr>
        <w:t xml:space="preserve">pipeline </w:t>
      </w:r>
      <w:r w:rsidR="0084688E" w:rsidRPr="002F2828">
        <w:rPr>
          <w:b/>
        </w:rPr>
        <w:t>services</w:t>
      </w:r>
      <w:r w:rsidR="0084688E" w:rsidRPr="002F2828">
        <w:t xml:space="preserve"> supplied by the </w:t>
      </w:r>
      <w:r w:rsidR="00F045F6" w:rsidRPr="002F2828">
        <w:rPr>
          <w:b/>
          <w:bCs/>
        </w:rPr>
        <w:t>GDB</w:t>
      </w:r>
      <w:r w:rsidR="00F045F6" w:rsidRPr="002F2828">
        <w:t xml:space="preserve"> </w:t>
      </w:r>
      <w:r w:rsidR="0084688E" w:rsidRPr="002F2828">
        <w:t xml:space="preserve">for that </w:t>
      </w:r>
      <w:r w:rsidR="0084688E" w:rsidRPr="002F2828">
        <w:rPr>
          <w:b/>
          <w:bCs/>
        </w:rPr>
        <w:t>disclosure year</w:t>
      </w:r>
      <w:r w:rsidR="0084688E" w:rsidRPr="002F2828">
        <w:t>:</w:t>
      </w:r>
      <w:bookmarkEnd w:id="48"/>
    </w:p>
    <w:p w:rsidR="00974450" w:rsidRPr="002F2828" w:rsidRDefault="00974450" w:rsidP="00A55537">
      <w:pPr>
        <w:pStyle w:val="HeadingH6ClausesubtextL2"/>
      </w:pPr>
      <w:r w:rsidRPr="002F2828">
        <w:t xml:space="preserve">the </w:t>
      </w:r>
      <w:r w:rsidR="00A27AB6">
        <w:t xml:space="preserve">Comparison of Forecasts to </w:t>
      </w:r>
      <w:r>
        <w:t xml:space="preserve">Actual </w:t>
      </w:r>
      <w:r w:rsidRPr="002F2828">
        <w:t xml:space="preserve">Expenditure set out in Schedule </w:t>
      </w:r>
      <w:r>
        <w:t>2</w:t>
      </w:r>
      <w:r w:rsidRPr="002F2828">
        <w:t>;</w:t>
      </w:r>
    </w:p>
    <w:p w:rsidR="0084688E" w:rsidRDefault="0084688E" w:rsidP="00A55537">
      <w:pPr>
        <w:pStyle w:val="HeadingH6ClausesubtextL2"/>
      </w:pPr>
      <w:r w:rsidRPr="002F2828">
        <w:t xml:space="preserve">the Report on Return on Investment set out in Schedule </w:t>
      </w:r>
      <w:r w:rsidR="00974450">
        <w:t>3</w:t>
      </w:r>
      <w:r w:rsidRPr="002F2828">
        <w:t>;</w:t>
      </w:r>
    </w:p>
    <w:p w:rsidR="00974450" w:rsidRDefault="00974450" w:rsidP="00A55537">
      <w:pPr>
        <w:pStyle w:val="HeadingH6ClausesubtextL2"/>
      </w:pPr>
      <w:r w:rsidRPr="00604256">
        <w:t xml:space="preserve">the Report on Term Credit Spread Differential Allowance set out in Schedule </w:t>
      </w:r>
      <w:r>
        <w:t>3a</w:t>
      </w:r>
    </w:p>
    <w:p w:rsidR="00974450" w:rsidRDefault="00974450" w:rsidP="00A55537">
      <w:pPr>
        <w:pStyle w:val="HeadingH6ClausesubtextL2"/>
      </w:pPr>
      <w:r w:rsidRPr="00604256">
        <w:t xml:space="preserve">the Report on Regulatory Asset Base Roll Forward set out in Schedule </w:t>
      </w:r>
      <w:r>
        <w:t>4</w:t>
      </w:r>
    </w:p>
    <w:p w:rsidR="00974450" w:rsidRPr="002F2828" w:rsidRDefault="00974450" w:rsidP="00A55537">
      <w:pPr>
        <w:pStyle w:val="HeadingH6ClausesubtextL2"/>
      </w:pPr>
      <w:r w:rsidRPr="00604256">
        <w:t xml:space="preserve">the Report on Asset Allocations set out in Schedule </w:t>
      </w:r>
      <w:r>
        <w:t>4a</w:t>
      </w:r>
    </w:p>
    <w:p w:rsidR="0084688E" w:rsidRPr="002F2828" w:rsidRDefault="0084688E" w:rsidP="00A55537">
      <w:pPr>
        <w:pStyle w:val="HeadingH6ClausesubtextL2"/>
      </w:pPr>
      <w:r w:rsidRPr="002F2828">
        <w:t xml:space="preserve">the Report on Regulatory Profit set out in Schedule </w:t>
      </w:r>
      <w:r w:rsidR="00974450">
        <w:t>5</w:t>
      </w:r>
      <w:r w:rsidRPr="002F2828">
        <w:t>;</w:t>
      </w:r>
    </w:p>
    <w:p w:rsidR="0084688E" w:rsidRPr="002F2828" w:rsidRDefault="0084688E" w:rsidP="00A55537">
      <w:pPr>
        <w:pStyle w:val="HeadingH6ClausesubtextL2"/>
      </w:pPr>
      <w:r w:rsidRPr="002F2828">
        <w:t xml:space="preserve">the Report on Regulatory Tax Allowance set out in Schedule </w:t>
      </w:r>
      <w:r w:rsidR="00A27AB6">
        <w:t>5a</w:t>
      </w:r>
    </w:p>
    <w:p w:rsidR="00974450" w:rsidRPr="00974450" w:rsidRDefault="00210B7D" w:rsidP="00A55537">
      <w:pPr>
        <w:pStyle w:val="HeadingH6ClausesubtextL2"/>
      </w:pPr>
      <w:bookmarkStart w:id="49" w:name="_Ref279614676"/>
      <w:r>
        <w:t>the Report on Related Party Transactions set out in Schedule 5b;</w:t>
      </w:r>
    </w:p>
    <w:p w:rsidR="00974450" w:rsidRPr="00974450" w:rsidRDefault="00210B7D" w:rsidP="00A55537">
      <w:pPr>
        <w:pStyle w:val="HeadingH6ClausesubtextL2"/>
      </w:pPr>
      <w:r>
        <w:t>the Report on Cost Allocations set out in Schedule 5c;</w:t>
      </w:r>
    </w:p>
    <w:p w:rsidR="0084688E" w:rsidRPr="002F2828" w:rsidRDefault="0084688E" w:rsidP="00A55537">
      <w:pPr>
        <w:pStyle w:val="HeadingH6ClausesubtextL2"/>
      </w:pPr>
      <w:r w:rsidRPr="002F2828">
        <w:t xml:space="preserve">the Report on </w:t>
      </w:r>
      <w:r w:rsidR="00974450">
        <w:t xml:space="preserve">Capital </w:t>
      </w:r>
      <w:r w:rsidRPr="002F2828">
        <w:t xml:space="preserve">Expenditure </w:t>
      </w:r>
      <w:r w:rsidR="00974450">
        <w:t xml:space="preserve">for the Disclosure Year </w:t>
      </w:r>
      <w:r w:rsidRPr="002F2828">
        <w:t>set out in Schedule 6;</w:t>
      </w:r>
    </w:p>
    <w:bookmarkEnd w:id="49"/>
    <w:p w:rsidR="00092A55" w:rsidRDefault="00974450">
      <w:pPr>
        <w:pStyle w:val="HeadingH6ClausesubtextL2"/>
      </w:pPr>
      <w:r w:rsidRPr="002F2828">
        <w:t xml:space="preserve">the Report on </w:t>
      </w:r>
      <w:r>
        <w:t xml:space="preserve">Operational </w:t>
      </w:r>
      <w:r w:rsidRPr="002F2828">
        <w:t xml:space="preserve">Expenditure </w:t>
      </w:r>
      <w:r>
        <w:t xml:space="preserve">for the Disclosure Year </w:t>
      </w:r>
      <w:r w:rsidRPr="002F2828">
        <w:t>set out</w:t>
      </w:r>
      <w:r>
        <w:t xml:space="preserve"> in Schedule 7</w:t>
      </w:r>
      <w:r w:rsidRPr="002F2828">
        <w:t>; and</w:t>
      </w:r>
    </w:p>
    <w:p w:rsidR="00311CFD" w:rsidRPr="002F2828" w:rsidRDefault="001C11A3" w:rsidP="00A55537">
      <w:pPr>
        <w:pStyle w:val="HeadingH5ClausesubtextL1"/>
      </w:pPr>
      <w:r w:rsidRPr="002F2828">
        <w:rPr>
          <w:b/>
        </w:rPr>
        <w:t xml:space="preserve">Publicly </w:t>
      </w:r>
      <w:r w:rsidR="0084688E" w:rsidRPr="002F2828">
        <w:rPr>
          <w:b/>
        </w:rPr>
        <w:t>disclosing</w:t>
      </w:r>
      <w:r w:rsidR="0084688E" w:rsidRPr="002F2828">
        <w:t xml:space="preserve"> each of those reports</w:t>
      </w:r>
      <w:r w:rsidR="00311CFD" w:rsidRPr="002F2828">
        <w:t>;</w:t>
      </w:r>
    </w:p>
    <w:p w:rsidR="00974450" w:rsidRPr="002F2828" w:rsidRDefault="00A27AB6" w:rsidP="00A55537">
      <w:pPr>
        <w:pStyle w:val="HeadingH4Clausetext"/>
      </w:pPr>
      <w:bookmarkStart w:id="50" w:name="_Ref328953470"/>
      <w:r>
        <w:t xml:space="preserve">Subject to section </w:t>
      </w:r>
      <w:r w:rsidR="00004445">
        <w:fldChar w:fldCharType="begin"/>
      </w:r>
      <w:r>
        <w:instrText xml:space="preserve"> REF _Ref328951345 \w \h </w:instrText>
      </w:r>
      <w:r w:rsidR="00004445">
        <w:fldChar w:fldCharType="separate"/>
      </w:r>
      <w:r w:rsidR="00A84D28">
        <w:t>2.12</w:t>
      </w:r>
      <w:r w:rsidR="00004445">
        <w:fldChar w:fldCharType="end"/>
      </w:r>
      <w:r w:rsidR="005A113D">
        <w:t>, within 6</w:t>
      </w:r>
      <w:r w:rsidR="00974450" w:rsidRPr="002F2828">
        <w:t xml:space="preserve"> months after the end of each </w:t>
      </w:r>
      <w:r w:rsidR="00974450" w:rsidRPr="002F2828">
        <w:rPr>
          <w:b/>
        </w:rPr>
        <w:t>disclosure year</w:t>
      </w:r>
      <w:r w:rsidR="00974450" w:rsidRPr="002F2828">
        <w:t xml:space="preserve">, every </w:t>
      </w:r>
      <w:r w:rsidR="00974450" w:rsidRPr="002F2828">
        <w:rPr>
          <w:b/>
        </w:rPr>
        <w:t xml:space="preserve">GDB </w:t>
      </w:r>
      <w:r w:rsidR="00974450" w:rsidRPr="002F2828">
        <w:t xml:space="preserve">must disclose to the </w:t>
      </w:r>
      <w:r w:rsidR="00974450" w:rsidRPr="002F2828">
        <w:rPr>
          <w:b/>
        </w:rPr>
        <w:t>Commission</w:t>
      </w:r>
      <w:r w:rsidR="00974450" w:rsidRPr="002F2828">
        <w:t xml:space="preserve"> information supporting the information disclosed in accordance with subclause </w:t>
      </w:r>
      <w:r w:rsidR="00004445">
        <w:fldChar w:fldCharType="begin"/>
      </w:r>
      <w:r w:rsidR="00243C1F">
        <w:instrText xml:space="preserve"> REF _Ref279613342 \r \h </w:instrText>
      </w:r>
      <w:r w:rsidR="00004445">
        <w:fldChar w:fldCharType="separate"/>
      </w:r>
      <w:r w:rsidR="00A84D28">
        <w:t>2.3.1</w:t>
      </w:r>
      <w:r w:rsidR="00004445">
        <w:fldChar w:fldCharType="end"/>
      </w:r>
      <w:r w:rsidR="00974450" w:rsidRPr="002F2828">
        <w:t xml:space="preserve"> of this section above by:</w:t>
      </w:r>
      <w:bookmarkEnd w:id="50"/>
    </w:p>
    <w:p w:rsidR="00974450" w:rsidRPr="002F2828" w:rsidRDefault="00974450" w:rsidP="00A55537">
      <w:pPr>
        <w:pStyle w:val="HeadingH5ClausesubtextL1"/>
      </w:pPr>
      <w:r w:rsidRPr="002F2828">
        <w:t xml:space="preserve">Completing each of the following reports by inserting all information relating to the information supplied by the </w:t>
      </w:r>
      <w:r w:rsidRPr="002F2828">
        <w:rPr>
          <w:b/>
        </w:rPr>
        <w:t>GDB</w:t>
      </w:r>
      <w:r w:rsidR="00A27AB6">
        <w:t xml:space="preserve"> in Schedules 4a and 5c</w:t>
      </w:r>
      <w:r w:rsidRPr="002F2828">
        <w:t xml:space="preserve"> for that </w:t>
      </w:r>
      <w:r w:rsidRPr="002F2828">
        <w:rPr>
          <w:b/>
        </w:rPr>
        <w:t>disclosure year</w:t>
      </w:r>
      <w:r w:rsidRPr="002F2828">
        <w:t>:</w:t>
      </w:r>
    </w:p>
    <w:p w:rsidR="00974450" w:rsidRPr="002F2828" w:rsidRDefault="00974450" w:rsidP="00A55537">
      <w:pPr>
        <w:pStyle w:val="HeadingH6ClausesubtextL2"/>
      </w:pPr>
      <w:r w:rsidRPr="002F2828">
        <w:t xml:space="preserve">the Report Supporting Asset Allocation set out in Schedule </w:t>
      </w:r>
      <w:r>
        <w:t>4b</w:t>
      </w:r>
      <w:r w:rsidRPr="002F2828">
        <w:t>;</w:t>
      </w:r>
    </w:p>
    <w:p w:rsidR="00F56F86" w:rsidRDefault="00210B7D">
      <w:pPr>
        <w:pStyle w:val="HeadingH6ClausesubtextL2"/>
      </w:pPr>
      <w:r>
        <w:t xml:space="preserve">the Report Supporting Cost Allocation set out in Schedule </w:t>
      </w:r>
      <w:r w:rsidR="00974450">
        <w:t>5d</w:t>
      </w:r>
      <w:r>
        <w:t>;</w:t>
      </w:r>
    </w:p>
    <w:p w:rsidR="008F5D7B" w:rsidRDefault="00974450" w:rsidP="006927B6">
      <w:pPr>
        <w:pStyle w:val="BodyText"/>
        <w:rPr>
          <w:i/>
        </w:rPr>
      </w:pPr>
      <w:r w:rsidRPr="006927B6">
        <w:rPr>
          <w:i/>
        </w:rPr>
        <w:t>Alternative Method for Return on Investment Information</w:t>
      </w:r>
    </w:p>
    <w:p w:rsidR="000D0799" w:rsidRDefault="000D0799" w:rsidP="000D0799">
      <w:pPr>
        <w:pStyle w:val="HeadingH4Clausetext"/>
        <w:tabs>
          <w:tab w:val="clear" w:pos="0"/>
        </w:tabs>
        <w:outlineLvl w:val="9"/>
        <w:rPr>
          <w:rFonts w:eastAsiaTheme="minorHAnsi"/>
        </w:rPr>
      </w:pPr>
      <w:r>
        <w:t>Subject to section 2.12, in completing the Report on Return on Investment in Schedule 3:</w:t>
      </w:r>
    </w:p>
    <w:p w:rsidR="000D0799" w:rsidRDefault="000D0799" w:rsidP="000D0799">
      <w:pPr>
        <w:pStyle w:val="HeadingH5ClausesubtextL1"/>
        <w:outlineLvl w:val="9"/>
        <w:rPr>
          <w:rFonts w:eastAsiaTheme="minorHAnsi"/>
        </w:rPr>
      </w:pPr>
      <w:r>
        <w:t xml:space="preserve">an </w:t>
      </w:r>
      <w:r w:rsidR="009C6A27">
        <w:rPr>
          <w:b/>
          <w:bCs/>
        </w:rPr>
        <w:t>G</w:t>
      </w:r>
      <w:r>
        <w:rPr>
          <w:b/>
          <w:bCs/>
        </w:rPr>
        <w:t>DB</w:t>
      </w:r>
      <w:r>
        <w:t xml:space="preserve"> must disclose information in accordance with part 3(iii) of Schedule 3 if the calculation of ROI under part 3(iii), to the extent it relates to the specific timing and value of </w:t>
      </w:r>
      <w:r>
        <w:rPr>
          <w:b/>
          <w:bCs/>
        </w:rPr>
        <w:t>assets commissioned</w:t>
      </w:r>
      <w:r>
        <w:t xml:space="preserve"> by the </w:t>
      </w:r>
      <w:r w:rsidR="009C6A27">
        <w:rPr>
          <w:b/>
          <w:bCs/>
        </w:rPr>
        <w:t>G</w:t>
      </w:r>
      <w:r>
        <w:rPr>
          <w:b/>
          <w:bCs/>
        </w:rPr>
        <w:t>DB</w:t>
      </w:r>
      <w:r>
        <w:t xml:space="preserve"> during the </w:t>
      </w:r>
      <w:r>
        <w:rPr>
          <w:b/>
          <w:bCs/>
        </w:rPr>
        <w:t>disclosure year,</w:t>
      </w:r>
      <w:r>
        <w:t xml:space="preserve"> would lead to a difference of 50 basis points or more compared to the ROI calculation set out in part 3(</w:t>
      </w:r>
      <w:proofErr w:type="spellStart"/>
      <w:r>
        <w:t>i</w:t>
      </w:r>
      <w:proofErr w:type="spellEnd"/>
      <w:r>
        <w:t>) of Schedule 3;</w:t>
      </w:r>
    </w:p>
    <w:p w:rsidR="009764C2" w:rsidRDefault="000D0799" w:rsidP="009764C2">
      <w:pPr>
        <w:pStyle w:val="HeadingH5ClausesubtextL1"/>
        <w:outlineLvl w:val="9"/>
      </w:pPr>
      <w:r>
        <w:t xml:space="preserve">Otherwise an </w:t>
      </w:r>
      <w:r w:rsidR="009C6A27">
        <w:rPr>
          <w:b/>
          <w:bCs/>
        </w:rPr>
        <w:t>G</w:t>
      </w:r>
      <w:r>
        <w:rPr>
          <w:b/>
          <w:bCs/>
        </w:rPr>
        <w:t xml:space="preserve">DB </w:t>
      </w:r>
      <w:r>
        <w:t xml:space="preserve">may elect to disclose information in accordance with part 3(iii) of Schedule 3; </w:t>
      </w:r>
    </w:p>
    <w:p w:rsidR="00F56F86" w:rsidRDefault="00974450">
      <w:pPr>
        <w:pStyle w:val="BodyText"/>
      </w:pPr>
      <w:r w:rsidRPr="006927B6">
        <w:rPr>
          <w:i/>
        </w:rPr>
        <w:t>Term Credit Spread Differential Allowance</w:t>
      </w:r>
    </w:p>
    <w:p w:rsidR="00F56F86" w:rsidRDefault="00210B7D">
      <w:pPr>
        <w:pStyle w:val="HeadingH4Clausetext"/>
      </w:pPr>
      <w:bookmarkStart w:id="51" w:name="_Ref329166629"/>
      <w:r>
        <w:t xml:space="preserve">Schedule </w:t>
      </w:r>
      <w:r w:rsidR="00D11D51">
        <w:t xml:space="preserve">3a </w:t>
      </w:r>
      <w:r>
        <w:t>is only required to be completed by qualifying suppliers as qualifying suppliers is defined in the IM determination.</w:t>
      </w:r>
      <w:bookmarkEnd w:id="51"/>
    </w:p>
    <w:p w:rsidR="00CC39D4" w:rsidRDefault="00CC39D4" w:rsidP="00CC39D4">
      <w:pPr>
        <w:pStyle w:val="Heading3"/>
        <w:spacing w:line="264" w:lineRule="auto"/>
        <w:rPr>
          <w:rFonts w:asciiTheme="minorHAnsi" w:hAnsiTheme="minorHAnsi"/>
        </w:rPr>
      </w:pPr>
      <w:r>
        <w:rPr>
          <w:rFonts w:asciiTheme="minorHAnsi" w:hAnsiTheme="minorHAnsi"/>
        </w:rPr>
        <w:t xml:space="preserve">Allocation of Assets and </w:t>
      </w:r>
      <w:r w:rsidR="006C39C2">
        <w:rPr>
          <w:rFonts w:asciiTheme="minorHAnsi" w:hAnsiTheme="minorHAnsi"/>
        </w:rPr>
        <w:t xml:space="preserve">Operating </w:t>
      </w:r>
      <w:r>
        <w:rPr>
          <w:rFonts w:asciiTheme="minorHAnsi" w:hAnsiTheme="minorHAnsi"/>
        </w:rPr>
        <w:t>Costs</w:t>
      </w:r>
    </w:p>
    <w:p w:rsidR="00594AAC" w:rsidRPr="002F2828" w:rsidRDefault="0084688E" w:rsidP="00A55537">
      <w:pPr>
        <w:pStyle w:val="HeadingH4Clausetext"/>
      </w:pPr>
      <w:bookmarkStart w:id="52" w:name="_Ref329166659"/>
      <w:r w:rsidRPr="002F2828">
        <w:t xml:space="preserve">In completing </w:t>
      </w:r>
      <w:r w:rsidR="00A27AB6">
        <w:t xml:space="preserve">the Report on Asset Allocations in </w:t>
      </w:r>
      <w:r w:rsidR="00D23B5C" w:rsidRPr="002F2828">
        <w:t xml:space="preserve">Schedule </w:t>
      </w:r>
      <w:r w:rsidR="00A27AB6">
        <w:t>4a</w:t>
      </w:r>
      <w:r w:rsidRPr="002F2828">
        <w:t xml:space="preserve"> and </w:t>
      </w:r>
      <w:r w:rsidR="00A27AB6">
        <w:t>the Report on Cost Allocations in Schedule 5c</w:t>
      </w:r>
      <w:r w:rsidR="00A27AB6" w:rsidRPr="002F2828">
        <w:t xml:space="preserve"> </w:t>
      </w:r>
      <w:r w:rsidR="00F8278A" w:rsidRPr="002F2828">
        <w:t xml:space="preserve">every </w:t>
      </w:r>
      <w:r w:rsidR="00F8278A" w:rsidRPr="002F2828">
        <w:rPr>
          <w:b/>
        </w:rPr>
        <w:t>GDB</w:t>
      </w:r>
      <w:r w:rsidR="00F8278A" w:rsidRPr="002F2828">
        <w:t xml:space="preserve"> must </w:t>
      </w:r>
      <w:r w:rsidRPr="002F2828">
        <w:rPr>
          <w:b/>
        </w:rPr>
        <w:t>publicly disclos</w:t>
      </w:r>
      <w:r w:rsidR="00F8278A" w:rsidRPr="002F2828">
        <w:rPr>
          <w:b/>
        </w:rPr>
        <w:t>e</w:t>
      </w:r>
      <w:r w:rsidRPr="002F2828">
        <w:t xml:space="preserve">, for each asset category in Schedule </w:t>
      </w:r>
      <w:r w:rsidR="00A27AB6">
        <w:t>4a</w:t>
      </w:r>
      <w:r w:rsidRPr="002F2828">
        <w:t xml:space="preserve"> and each </w:t>
      </w:r>
      <w:r w:rsidRPr="002F2828">
        <w:rPr>
          <w:b/>
        </w:rPr>
        <w:t>operational expenditure</w:t>
      </w:r>
      <w:r w:rsidRPr="002F2828">
        <w:t xml:space="preserve"> category in Schedule </w:t>
      </w:r>
      <w:r w:rsidR="00A27AB6">
        <w:t>5c</w:t>
      </w:r>
      <w:r w:rsidRPr="002F2828">
        <w:t xml:space="preserve"> that has </w:t>
      </w:r>
      <w:r w:rsidRPr="002F2828">
        <w:rPr>
          <w:b/>
        </w:rPr>
        <w:t xml:space="preserve">not directly attributable </w:t>
      </w:r>
      <w:r w:rsidRPr="002F2828">
        <w:t>costs</w:t>
      </w:r>
      <w:r w:rsidR="00A40BE3" w:rsidRPr="002F2828">
        <w:t>:</w:t>
      </w:r>
      <w:bookmarkEnd w:id="52"/>
    </w:p>
    <w:p w:rsidR="00594AAC" w:rsidRPr="002F2828" w:rsidRDefault="001C11A3" w:rsidP="00A55537">
      <w:pPr>
        <w:pStyle w:val="HeadingH5ClausesubtextL1"/>
      </w:pPr>
      <w:r w:rsidRPr="002F2828">
        <w:t>A</w:t>
      </w:r>
      <w:r w:rsidR="0084688E" w:rsidRPr="002F2828">
        <w:t xml:space="preserve"> description of the </w:t>
      </w:r>
      <w:r w:rsidR="0084688E" w:rsidRPr="002F2828">
        <w:rPr>
          <w:b/>
        </w:rPr>
        <w:t>not directly attributable</w:t>
      </w:r>
      <w:r w:rsidR="0084688E" w:rsidRPr="002F2828">
        <w:t xml:space="preserve"> costs or assets;</w:t>
      </w:r>
    </w:p>
    <w:p w:rsidR="00594AAC" w:rsidRPr="002F2828" w:rsidRDefault="001C11A3" w:rsidP="00A55537">
      <w:pPr>
        <w:pStyle w:val="HeadingH5ClausesubtextL1"/>
      </w:pPr>
      <w:r w:rsidRPr="002F2828">
        <w:t xml:space="preserve">The </w:t>
      </w:r>
      <w:r w:rsidR="0084688E" w:rsidRPr="002F2828">
        <w:t xml:space="preserve">allocation methodology types used to allocate the </w:t>
      </w:r>
      <w:r w:rsidR="0084688E" w:rsidRPr="002F2828">
        <w:rPr>
          <w:b/>
        </w:rPr>
        <w:t xml:space="preserve">not directly attributable </w:t>
      </w:r>
      <w:r w:rsidR="0084688E" w:rsidRPr="002F2828">
        <w:t>costs or assets;</w:t>
      </w:r>
    </w:p>
    <w:p w:rsidR="00594AAC" w:rsidRPr="002F2828" w:rsidRDefault="001C11A3" w:rsidP="00A55537">
      <w:pPr>
        <w:pStyle w:val="HeadingH5ClausesubtextL1"/>
      </w:pPr>
      <w:r w:rsidRPr="002F2828">
        <w:t xml:space="preserve">Where </w:t>
      </w:r>
      <w:r w:rsidR="0084688E" w:rsidRPr="002F2828">
        <w:t xml:space="preserve">more than one allocation method is used, the percentage of </w:t>
      </w:r>
      <w:r w:rsidR="0084688E" w:rsidRPr="002F2828">
        <w:rPr>
          <w:b/>
        </w:rPr>
        <w:t>not directly attributable</w:t>
      </w:r>
      <w:r w:rsidR="0084688E" w:rsidRPr="002F2828">
        <w:t xml:space="preserve"> costs or assets allocated using each method;</w:t>
      </w:r>
    </w:p>
    <w:p w:rsidR="00594AAC" w:rsidRPr="002F2828" w:rsidRDefault="001C11A3" w:rsidP="00A55537">
      <w:pPr>
        <w:pStyle w:val="HeadingH5ClausesubtextL1"/>
      </w:pPr>
      <w:r w:rsidRPr="002F2828">
        <w:t xml:space="preserve">Where </w:t>
      </w:r>
      <w:r w:rsidR="0084688E" w:rsidRPr="002F2828">
        <w:t xml:space="preserve">ABAA or OVABAA methodologies are used, whether the </w:t>
      </w:r>
      <w:proofErr w:type="spellStart"/>
      <w:r w:rsidR="0084688E" w:rsidRPr="002F2828">
        <w:rPr>
          <w:b/>
        </w:rPr>
        <w:t>allocators</w:t>
      </w:r>
      <w:proofErr w:type="spellEnd"/>
      <w:r w:rsidR="0084688E" w:rsidRPr="002F2828">
        <w:t xml:space="preserve"> are proxy asset </w:t>
      </w:r>
      <w:proofErr w:type="spellStart"/>
      <w:r w:rsidR="0084688E" w:rsidRPr="002F2828">
        <w:t>allocators</w:t>
      </w:r>
      <w:proofErr w:type="spellEnd"/>
      <w:r w:rsidR="0084688E" w:rsidRPr="002F2828">
        <w:t xml:space="preserve">, proxy cost </w:t>
      </w:r>
      <w:proofErr w:type="spellStart"/>
      <w:r w:rsidR="0084688E" w:rsidRPr="002F2828">
        <w:t>allocators</w:t>
      </w:r>
      <w:proofErr w:type="spellEnd"/>
      <w:r w:rsidR="0084688E" w:rsidRPr="002F2828">
        <w:t xml:space="preserve"> or causal </w:t>
      </w:r>
      <w:proofErr w:type="spellStart"/>
      <w:r w:rsidR="0084688E" w:rsidRPr="002F2828">
        <w:t>allocators</w:t>
      </w:r>
      <w:proofErr w:type="spellEnd"/>
      <w:r w:rsidR="0084688E" w:rsidRPr="002F2828">
        <w:t>,</w:t>
      </w:r>
      <w:r w:rsidR="00A40BE3" w:rsidRPr="002F2828">
        <w:t xml:space="preserve"> </w:t>
      </w:r>
      <w:r w:rsidR="0084688E" w:rsidRPr="002F2828">
        <w:t xml:space="preserve">as ABAA, OVABAA, proxy assets </w:t>
      </w:r>
      <w:proofErr w:type="spellStart"/>
      <w:r w:rsidR="0084688E" w:rsidRPr="002F2828">
        <w:t>allocator</w:t>
      </w:r>
      <w:proofErr w:type="spellEnd"/>
      <w:r w:rsidR="0084688E" w:rsidRPr="002F2828">
        <w:t xml:space="preserve">, proxy cost </w:t>
      </w:r>
      <w:proofErr w:type="spellStart"/>
      <w:r w:rsidR="0084688E" w:rsidRPr="002F2828">
        <w:t>allocator</w:t>
      </w:r>
      <w:proofErr w:type="spellEnd"/>
      <w:r w:rsidR="0084688E" w:rsidRPr="002F2828">
        <w:t xml:space="preserve"> and causal are defined in the </w:t>
      </w:r>
      <w:r w:rsidR="0084688E" w:rsidRPr="002F2828">
        <w:rPr>
          <w:b/>
        </w:rPr>
        <w:t>IM determination</w:t>
      </w:r>
      <w:r w:rsidR="0084688E" w:rsidRPr="002F2828">
        <w:t>; and</w:t>
      </w:r>
    </w:p>
    <w:p w:rsidR="008F5D7B" w:rsidRDefault="001C11A3" w:rsidP="00A55537">
      <w:pPr>
        <w:pStyle w:val="HeadingH5ClausesubtextL1"/>
      </w:pPr>
      <w:r w:rsidRPr="002F2828">
        <w:t xml:space="preserve">The </w:t>
      </w:r>
      <w:proofErr w:type="spellStart"/>
      <w:r w:rsidR="0084688E" w:rsidRPr="002F2828">
        <w:rPr>
          <w:b/>
        </w:rPr>
        <w:t>allocators</w:t>
      </w:r>
      <w:proofErr w:type="spellEnd"/>
      <w:r w:rsidR="0084688E" w:rsidRPr="002F2828">
        <w:t xml:space="preserve"> used and the rationale for using each </w:t>
      </w:r>
      <w:proofErr w:type="spellStart"/>
      <w:r w:rsidR="0084688E" w:rsidRPr="002F2828">
        <w:rPr>
          <w:b/>
        </w:rPr>
        <w:t>allocator</w:t>
      </w:r>
      <w:proofErr w:type="spellEnd"/>
    </w:p>
    <w:p w:rsidR="00CC39D4" w:rsidRDefault="00CC39D4" w:rsidP="00CC39D4">
      <w:pPr>
        <w:pStyle w:val="Heading3"/>
        <w:spacing w:line="264" w:lineRule="auto"/>
        <w:rPr>
          <w:rFonts w:asciiTheme="minorHAnsi" w:hAnsiTheme="minorHAnsi"/>
        </w:rPr>
      </w:pPr>
      <w:bookmarkStart w:id="53" w:name="_Ref309711615"/>
      <w:r>
        <w:rPr>
          <w:rFonts w:asciiTheme="minorHAnsi" w:hAnsiTheme="minorHAnsi"/>
        </w:rPr>
        <w:t>Related Party Transactions</w:t>
      </w:r>
    </w:p>
    <w:p w:rsidR="000D0799" w:rsidRDefault="000D0799" w:rsidP="000D0799">
      <w:pPr>
        <w:pStyle w:val="HeadingH4Clausetext"/>
        <w:tabs>
          <w:tab w:val="clear" w:pos="0"/>
        </w:tabs>
        <w:outlineLvl w:val="9"/>
      </w:pPr>
      <w:bookmarkStart w:id="54" w:name="_Ref329301034"/>
      <w:bookmarkStart w:id="55" w:name="_Ref328909809"/>
      <w:r>
        <w:t xml:space="preserve">For the purpose of clause 2.3.1, the cost of any service, good, or asset from a </w:t>
      </w:r>
      <w:r>
        <w:rPr>
          <w:b/>
          <w:bCs/>
        </w:rPr>
        <w:t xml:space="preserve">related party </w:t>
      </w:r>
      <w:r>
        <w:t>must be:</w:t>
      </w:r>
      <w:bookmarkEnd w:id="54"/>
    </w:p>
    <w:p w:rsidR="000D0799" w:rsidRDefault="000D0799" w:rsidP="000D0799">
      <w:pPr>
        <w:pStyle w:val="HeadingH5ClausesubtextL1"/>
        <w:outlineLvl w:val="9"/>
      </w:pPr>
      <w:bookmarkStart w:id="56" w:name="_Ref329297734"/>
      <w:r>
        <w:t xml:space="preserve">for any </w:t>
      </w:r>
      <w:r>
        <w:rPr>
          <w:b/>
          <w:bCs/>
        </w:rPr>
        <w:t>assets acquired from a related party</w:t>
      </w:r>
      <w:r>
        <w:t xml:space="preserve">, as determined in accordance with clause 2.2.11(1)(g) of the </w:t>
      </w:r>
      <w:r>
        <w:rPr>
          <w:b/>
          <w:bCs/>
        </w:rPr>
        <w:t>IM determination</w:t>
      </w:r>
      <w:r>
        <w:t>; or</w:t>
      </w:r>
      <w:bookmarkEnd w:id="56"/>
    </w:p>
    <w:p w:rsidR="000D0799" w:rsidRDefault="000D0799" w:rsidP="000D0799">
      <w:pPr>
        <w:pStyle w:val="HeadingH5ClausesubtextL1"/>
        <w:outlineLvl w:val="9"/>
      </w:pPr>
      <w:r>
        <w:t xml:space="preserve">for any service, good, or for any assets other than </w:t>
      </w:r>
      <w:r>
        <w:rPr>
          <w:b/>
          <w:bCs/>
        </w:rPr>
        <w:t>assets acquired from a related party</w:t>
      </w:r>
      <w:r>
        <w:t>, one of the following:</w:t>
      </w:r>
    </w:p>
    <w:p w:rsidR="000D0799" w:rsidRDefault="000D0799" w:rsidP="000D0799">
      <w:pPr>
        <w:pStyle w:val="HeadingH6ClausesubtextL2"/>
        <w:tabs>
          <w:tab w:val="clear" w:pos="0"/>
        </w:tabs>
        <w:ind w:left="2126" w:hanging="708"/>
        <w:outlineLvl w:val="9"/>
      </w:pPr>
      <w:r>
        <w:t xml:space="preserve">at the directly attributable cost incurred by the </w:t>
      </w:r>
      <w:r>
        <w:rPr>
          <w:b/>
          <w:bCs/>
        </w:rPr>
        <w:t>related party</w:t>
      </w:r>
      <w:r>
        <w:t xml:space="preserve"> in accordance with the cost allocation process set out in clauses [clause references] of the </w:t>
      </w:r>
      <w:r>
        <w:rPr>
          <w:b/>
          <w:bCs/>
        </w:rPr>
        <w:t>IM determination</w:t>
      </w:r>
      <w:r>
        <w:t xml:space="preserve">, provided that the cost incurred by the </w:t>
      </w:r>
      <w:r>
        <w:rPr>
          <w:b/>
          <w:bCs/>
        </w:rPr>
        <w:t>related party</w:t>
      </w:r>
      <w:r>
        <w:t xml:space="preserve"> in providing the service to the </w:t>
      </w:r>
      <w:r>
        <w:rPr>
          <w:b/>
          <w:bCs/>
        </w:rPr>
        <w:t>GDB</w:t>
      </w:r>
      <w:r>
        <w:rPr>
          <w:bCs/>
        </w:rPr>
        <w:t>–</w:t>
      </w:r>
    </w:p>
    <w:p w:rsidR="000D0799" w:rsidRDefault="000D0799" w:rsidP="000D0799">
      <w:pPr>
        <w:pStyle w:val="HeadingH7ClausesubtextL3"/>
        <w:ind w:left="2160" w:hanging="360"/>
        <w:outlineLvl w:val="9"/>
      </w:pPr>
      <w:r>
        <w:t xml:space="preserve">is fair and reasonable to the </w:t>
      </w:r>
      <w:r>
        <w:rPr>
          <w:b/>
          <w:bCs/>
        </w:rPr>
        <w:t>GDB</w:t>
      </w:r>
      <w:r>
        <w:t>, and</w:t>
      </w:r>
    </w:p>
    <w:p w:rsidR="000D0799" w:rsidRDefault="000D0799" w:rsidP="000D0799">
      <w:pPr>
        <w:pStyle w:val="HeadingH7ClausesubtextL3"/>
        <w:ind w:left="2160" w:hanging="360"/>
        <w:outlineLvl w:val="9"/>
      </w:pPr>
      <w:r>
        <w:t xml:space="preserve">is substantially the same as the cost incurred by the </w:t>
      </w:r>
      <w:r>
        <w:rPr>
          <w:b/>
          <w:bCs/>
        </w:rPr>
        <w:t>related party</w:t>
      </w:r>
      <w:r>
        <w:t xml:space="preserve"> in providing the same type of services to third parties,; or</w:t>
      </w:r>
    </w:p>
    <w:p w:rsidR="000D0799" w:rsidRDefault="000D0799" w:rsidP="000D0799">
      <w:pPr>
        <w:pStyle w:val="HeadingH6ClausesubtextL2"/>
        <w:tabs>
          <w:tab w:val="clear" w:pos="0"/>
        </w:tabs>
        <w:ind w:left="2126" w:hanging="708"/>
        <w:outlineLvl w:val="9"/>
      </w:pPr>
      <w:r>
        <w:t xml:space="preserve"> </w:t>
      </w:r>
      <w:r>
        <w:rPr>
          <w:rStyle w:val="CommentReference"/>
        </w:rPr>
        <w:t> </w:t>
      </w:r>
      <w:r>
        <w:t xml:space="preserve">for </w:t>
      </w:r>
      <w:r>
        <w:rPr>
          <w:b/>
          <w:bCs/>
        </w:rPr>
        <w:t>electrical contracting services</w:t>
      </w:r>
      <w:r>
        <w:t xml:space="preserve"> to maintain or develop the </w:t>
      </w:r>
      <w:r>
        <w:rPr>
          <w:b/>
          <w:bCs/>
        </w:rPr>
        <w:t>network</w:t>
      </w:r>
      <w:r>
        <w:t xml:space="preserve">, at the directly attributable cost incurred by the </w:t>
      </w:r>
      <w:r>
        <w:rPr>
          <w:b/>
          <w:bCs/>
        </w:rPr>
        <w:t xml:space="preserve">related party, </w:t>
      </w:r>
      <w:r>
        <w:t xml:space="preserve">determined in accordance with the cost allocation process and approaches of the </w:t>
      </w:r>
      <w:r>
        <w:rPr>
          <w:b/>
          <w:bCs/>
        </w:rPr>
        <w:t>IM determination</w:t>
      </w:r>
      <w:r>
        <w:rPr>
          <w:bCs/>
        </w:rPr>
        <w:t>,</w:t>
      </w:r>
      <w:r>
        <w:t xml:space="preserve"> plus a </w:t>
      </w:r>
      <w:r>
        <w:rPr>
          <w:b/>
          <w:bCs/>
        </w:rPr>
        <w:t>mark-up</w:t>
      </w:r>
      <w:r>
        <w:t xml:space="preserve"> which does not exceed 17.2%; or</w:t>
      </w:r>
    </w:p>
    <w:p w:rsidR="000D0799" w:rsidRDefault="000D0799" w:rsidP="000D0799">
      <w:pPr>
        <w:pStyle w:val="HeadingH6ClausesubtextL2"/>
        <w:tabs>
          <w:tab w:val="clear" w:pos="0"/>
        </w:tabs>
        <w:ind w:left="2126" w:hanging="708"/>
        <w:outlineLvl w:val="9"/>
      </w:pPr>
      <w:r>
        <w:t xml:space="preserve">the price paid by the </w:t>
      </w:r>
      <w:r>
        <w:rPr>
          <w:b/>
        </w:rPr>
        <w:t>GDB</w:t>
      </w:r>
      <w:r>
        <w:t>, where–</w:t>
      </w:r>
    </w:p>
    <w:p w:rsidR="000D0799" w:rsidRDefault="000D0799" w:rsidP="000D0799">
      <w:pPr>
        <w:pStyle w:val="HeadingH7ClausesubtextL3"/>
        <w:ind w:left="2552" w:hanging="360"/>
        <w:outlineLvl w:val="9"/>
      </w:pPr>
      <w:r>
        <w:t>at least 50%</w:t>
      </w:r>
      <w:r>
        <w:rPr>
          <w:rStyle w:val="CommentReference"/>
        </w:rPr>
        <w:t> </w:t>
      </w:r>
      <w:r>
        <w:t xml:space="preserve"> of the </w:t>
      </w:r>
      <w:r>
        <w:rPr>
          <w:b/>
          <w:bCs/>
        </w:rPr>
        <w:t>related party’s</w:t>
      </w:r>
      <w:r>
        <w:t xml:space="preserve"> sales of services, goods, and assets are to third parties, and third parties may purchase the same or similar services, goods, and assets from the </w:t>
      </w:r>
      <w:r>
        <w:rPr>
          <w:b/>
          <w:bCs/>
        </w:rPr>
        <w:t>related party</w:t>
      </w:r>
      <w:r>
        <w:t xml:space="preserve"> on substantially the same terms and conditions, including price; or</w:t>
      </w:r>
    </w:p>
    <w:p w:rsidR="000D0799" w:rsidRDefault="000D0799" w:rsidP="000D0799">
      <w:pPr>
        <w:pStyle w:val="HeadingH7ClausesubtextL3"/>
        <w:ind w:left="2552" w:hanging="360"/>
        <w:outlineLvl w:val="9"/>
      </w:pPr>
      <w:r>
        <w:t xml:space="preserve">that price is substantially the same as the price paid for the same or substantially similar services (including any adjustments for inflation using CPI or an appropriate input price index) on substantially the same terms and conditions in the preceding 3 </w:t>
      </w:r>
      <w:r>
        <w:rPr>
          <w:b/>
        </w:rPr>
        <w:t>disclosure years</w:t>
      </w:r>
      <w:r>
        <w:t xml:space="preserve"> from a party other than a </w:t>
      </w:r>
      <w:r>
        <w:rPr>
          <w:b/>
          <w:bCs/>
        </w:rPr>
        <w:t>related party</w:t>
      </w:r>
      <w:r>
        <w:t>; or</w:t>
      </w:r>
      <w:r>
        <w:rPr>
          <w:rStyle w:val="CommentReference"/>
        </w:rPr>
        <w:t> </w:t>
      </w:r>
    </w:p>
    <w:p w:rsidR="000D0799" w:rsidRDefault="000D0799" w:rsidP="000D0799">
      <w:pPr>
        <w:pStyle w:val="HeadingH6ClausesubtextL2"/>
        <w:tabs>
          <w:tab w:val="clear" w:pos="0"/>
        </w:tabs>
        <w:ind w:left="2126" w:hanging="708"/>
        <w:outlineLvl w:val="9"/>
      </w:pPr>
      <w:r>
        <w:t xml:space="preserve">at the price paid by the </w:t>
      </w:r>
      <w:r>
        <w:rPr>
          <w:b/>
        </w:rPr>
        <w:t>GDB</w:t>
      </w:r>
      <w:r>
        <w:t>, where –</w:t>
      </w:r>
    </w:p>
    <w:p w:rsidR="000D0799" w:rsidRDefault="000D0799" w:rsidP="000D0799">
      <w:pPr>
        <w:pStyle w:val="HeadingH7ClausesubtextL3"/>
        <w:ind w:left="2552" w:hanging="360"/>
        <w:outlineLvl w:val="9"/>
      </w:pPr>
      <w:r>
        <w:t xml:space="preserve">the price paid for all services, goods, and assets acquired from that </w:t>
      </w:r>
      <w:r>
        <w:rPr>
          <w:b/>
          <w:bCs/>
        </w:rPr>
        <w:t>related party</w:t>
      </w:r>
      <w:r>
        <w:t xml:space="preserve"> is less than 1% of the </w:t>
      </w:r>
      <w:proofErr w:type="spellStart"/>
      <w:r>
        <w:rPr>
          <w:b/>
          <w:bCs/>
        </w:rPr>
        <w:t>GDB</w:t>
      </w:r>
      <w:r>
        <w:t>’s</w:t>
      </w:r>
      <w:proofErr w:type="spellEnd"/>
      <w:r>
        <w:t xml:space="preserve"> total revenue from the </w:t>
      </w:r>
      <w:r>
        <w:rPr>
          <w:b/>
          <w:bCs/>
        </w:rPr>
        <w:t>regulated service</w:t>
      </w:r>
      <w:r>
        <w:t xml:space="preserve"> for that year, and</w:t>
      </w:r>
    </w:p>
    <w:p w:rsidR="000D0799" w:rsidRDefault="000D0799" w:rsidP="000D0799">
      <w:pPr>
        <w:pStyle w:val="HeadingH7ClausesubtextL3"/>
        <w:ind w:left="2552" w:hanging="360"/>
        <w:outlineLvl w:val="9"/>
      </w:pPr>
      <w:r>
        <w:t xml:space="preserve">the total price paid for all </w:t>
      </w:r>
      <w:r>
        <w:rPr>
          <w:b/>
          <w:bCs/>
        </w:rPr>
        <w:t>related party transactions</w:t>
      </w:r>
      <w:r>
        <w:t xml:space="preserve"> is less than 5% of the </w:t>
      </w:r>
      <w:proofErr w:type="spellStart"/>
      <w:r>
        <w:rPr>
          <w:b/>
          <w:bCs/>
        </w:rPr>
        <w:t>GDB</w:t>
      </w:r>
      <w:r>
        <w:t>’s</w:t>
      </w:r>
      <w:proofErr w:type="spellEnd"/>
      <w:r>
        <w:t xml:space="preserve"> total revenue from the </w:t>
      </w:r>
      <w:r>
        <w:rPr>
          <w:b/>
          <w:bCs/>
        </w:rPr>
        <w:t>regulated service</w:t>
      </w:r>
      <w:r>
        <w:t>; or</w:t>
      </w:r>
    </w:p>
    <w:p w:rsidR="000D0799" w:rsidRDefault="000D0799" w:rsidP="000D0799">
      <w:pPr>
        <w:pStyle w:val="HeadingH6ClausesubtextL2"/>
        <w:tabs>
          <w:tab w:val="clear" w:pos="0"/>
        </w:tabs>
        <w:ind w:left="2126" w:hanging="708"/>
        <w:outlineLvl w:val="9"/>
      </w:pPr>
      <w:r>
        <w:t xml:space="preserve">at the price paid by the </w:t>
      </w:r>
      <w:r w:rsidR="009764C2" w:rsidRPr="009764C2">
        <w:rPr>
          <w:b/>
        </w:rPr>
        <w:t>GDB</w:t>
      </w:r>
      <w:r>
        <w:t xml:space="preserve"> to the </w:t>
      </w:r>
      <w:r>
        <w:rPr>
          <w:b/>
        </w:rPr>
        <w:t>related party</w:t>
      </w:r>
      <w:r>
        <w:t xml:space="preserve"> following a competitive tender process, provided that–</w:t>
      </w:r>
    </w:p>
    <w:p w:rsidR="000D0799" w:rsidRDefault="000D0799" w:rsidP="000D0799">
      <w:pPr>
        <w:pStyle w:val="HeadingH7ClausesubtextL3"/>
        <w:ind w:left="2552" w:hanging="360"/>
        <w:outlineLvl w:val="9"/>
      </w:pPr>
      <w:r>
        <w:t>the price is no more than 5% higher than the price of the lowest conforming tender received;</w:t>
      </w:r>
    </w:p>
    <w:p w:rsidR="000D0799" w:rsidRDefault="000D0799" w:rsidP="000D0799">
      <w:pPr>
        <w:pStyle w:val="HeadingH7ClausesubtextL3"/>
        <w:ind w:left="2552" w:hanging="360"/>
        <w:outlineLvl w:val="9"/>
      </w:pPr>
      <w:r>
        <w:t>all relevant information material to consideration of a proposal was provided to third parties, or made available upon request;</w:t>
      </w:r>
    </w:p>
    <w:p w:rsidR="000D0799" w:rsidRDefault="000D0799" w:rsidP="000D0799">
      <w:pPr>
        <w:pStyle w:val="HeadingH7ClausesubtextL3"/>
        <w:ind w:left="2552" w:hanging="360"/>
        <w:outlineLvl w:val="9"/>
      </w:pPr>
      <w:r>
        <w:t>at least one other qualifying proposal was received;</w:t>
      </w:r>
    </w:p>
    <w:p w:rsidR="000D0799" w:rsidRDefault="000D0799" w:rsidP="000D0799">
      <w:pPr>
        <w:pStyle w:val="HeadingH7ClausesubtextL3"/>
        <w:ind w:left="2552" w:hanging="360"/>
        <w:outlineLvl w:val="9"/>
      </w:pPr>
      <w:r>
        <w:t xml:space="preserve">the final agreement for the provision of the services, goods, or assets by the </w:t>
      </w:r>
      <w:r>
        <w:rPr>
          <w:b/>
        </w:rPr>
        <w:t>related party</w:t>
      </w:r>
      <w:r>
        <w:t xml:space="preserve"> does not include any </w:t>
      </w:r>
      <w:r>
        <w:rPr>
          <w:b/>
        </w:rPr>
        <w:t>special contract terms</w:t>
      </w:r>
      <w:r>
        <w:t xml:space="preserve">; </w:t>
      </w:r>
    </w:p>
    <w:p w:rsidR="000D0799" w:rsidRDefault="000D0799" w:rsidP="000D0799">
      <w:pPr>
        <w:pStyle w:val="HeadingH7ClausesubtextL3"/>
        <w:ind w:left="2552" w:hanging="360"/>
        <w:outlineLvl w:val="9"/>
      </w:pPr>
      <w:r>
        <w:t xml:space="preserve">the </w:t>
      </w:r>
      <w:r w:rsidR="009764C2" w:rsidRPr="009764C2">
        <w:rPr>
          <w:b/>
        </w:rPr>
        <w:t>GDB</w:t>
      </w:r>
      <w:r>
        <w:t xml:space="preserve"> retains for a period of 7 years following the closing date of tender proposals a record of the tender and tender process, including request for information and/or proposal, the criteria used for the assessment of proposals, reasons for acceptance or rejection of proposals, and all proposals and requests for information on the tender for the purposes of making proposals; and</w:t>
      </w:r>
    </w:p>
    <w:p w:rsidR="000D0799" w:rsidRDefault="000D0799" w:rsidP="000D0799">
      <w:pPr>
        <w:pStyle w:val="HeadingH7ClausesubtextL3"/>
        <w:ind w:left="2552" w:hanging="360"/>
        <w:outlineLvl w:val="9"/>
      </w:pPr>
      <w:r>
        <w:t xml:space="preserve">its </w:t>
      </w:r>
      <w:r>
        <w:rPr>
          <w:b/>
        </w:rPr>
        <w:t>directly attributable</w:t>
      </w:r>
      <w:r>
        <w:t xml:space="preserve"> cost would be as incurred by the group to which the </w:t>
      </w:r>
      <w:r>
        <w:rPr>
          <w:b/>
        </w:rPr>
        <w:t>GDB</w:t>
      </w:r>
      <w:r>
        <w:t xml:space="preserve"> and </w:t>
      </w:r>
      <w:r>
        <w:rPr>
          <w:b/>
        </w:rPr>
        <w:t>related party</w:t>
      </w:r>
      <w:r>
        <w:t xml:space="preserve"> are a part, determined in accordance with GAAP, as the if the consolidate group was the </w:t>
      </w:r>
      <w:r w:rsidR="009764C2" w:rsidRPr="009764C2">
        <w:rPr>
          <w:b/>
        </w:rPr>
        <w:t>GDB</w:t>
      </w:r>
      <w:r>
        <w:t>;</w:t>
      </w:r>
    </w:p>
    <w:p w:rsidR="000D0799" w:rsidRDefault="000D0799" w:rsidP="000D0799">
      <w:pPr>
        <w:pStyle w:val="HeadingH6ClausesubtextL2"/>
        <w:tabs>
          <w:tab w:val="clear" w:pos="0"/>
        </w:tabs>
        <w:ind w:left="2126" w:hanging="708"/>
        <w:outlineLvl w:val="9"/>
      </w:pPr>
      <w:bookmarkStart w:id="57" w:name="_Ref329297745"/>
      <w:r>
        <w:t xml:space="preserve">the price paid by the </w:t>
      </w:r>
      <w:r w:rsidR="009764C2" w:rsidRPr="009764C2">
        <w:rPr>
          <w:b/>
        </w:rPr>
        <w:t>G</w:t>
      </w:r>
      <w:r>
        <w:rPr>
          <w:b/>
        </w:rPr>
        <w:t>DB</w:t>
      </w:r>
      <w:r>
        <w:t>, provided–</w:t>
      </w:r>
      <w:bookmarkEnd w:id="57"/>
    </w:p>
    <w:p w:rsidR="000D0799" w:rsidRDefault="000D0799" w:rsidP="000D0799">
      <w:pPr>
        <w:pStyle w:val="HeadingH7ClausesubtextL3"/>
        <w:ind w:left="2552" w:hanging="360"/>
        <w:outlineLvl w:val="9"/>
      </w:pPr>
      <w:r>
        <w:t>the price cannot otherwise be determined under subclauses (a) to (e), and</w:t>
      </w:r>
    </w:p>
    <w:p w:rsidR="000D0799" w:rsidRDefault="000D0799" w:rsidP="000D0799">
      <w:pPr>
        <w:pStyle w:val="HeadingH7ClausesubtextL3"/>
        <w:ind w:left="2552" w:hanging="360"/>
        <w:outlineLvl w:val="9"/>
      </w:pPr>
      <w:r>
        <w:t xml:space="preserve">no fewer than 2 </w:t>
      </w:r>
      <w:r>
        <w:rPr>
          <w:b/>
          <w:bCs/>
        </w:rPr>
        <w:t>director</w:t>
      </w:r>
      <w:r>
        <w:t xml:space="preserve">s of the </w:t>
      </w:r>
      <w:r>
        <w:rPr>
          <w:b/>
          <w:bCs/>
        </w:rPr>
        <w:t>GDB</w:t>
      </w:r>
      <w:r>
        <w:t xml:space="preserve"> provide a written certification that they are satisfied that the price or prices paid for all services, goods, or assets determined in accordance with this paragraph reflect the price or prices that would be received in an arm’s-length transaction; or</w:t>
      </w:r>
    </w:p>
    <w:p w:rsidR="000D0799" w:rsidRDefault="000D0799" w:rsidP="000D0799">
      <w:pPr>
        <w:pStyle w:val="HeadingH6ClausesubtextL2"/>
        <w:tabs>
          <w:tab w:val="clear" w:pos="0"/>
        </w:tabs>
        <w:ind w:left="2126" w:hanging="708"/>
        <w:outlineLvl w:val="9"/>
      </w:pPr>
      <w:proofErr w:type="gramStart"/>
      <w:r>
        <w:t>nil</w:t>
      </w:r>
      <w:proofErr w:type="gramEnd"/>
      <w:r>
        <w:t>.</w:t>
      </w:r>
    </w:p>
    <w:p w:rsidR="000D0799" w:rsidRDefault="000D0799" w:rsidP="000D0799">
      <w:pPr>
        <w:pStyle w:val="HeadingH4Clausetext"/>
        <w:tabs>
          <w:tab w:val="clear" w:pos="0"/>
        </w:tabs>
        <w:outlineLvl w:val="9"/>
      </w:pPr>
      <w:r>
        <w:t xml:space="preserve">For the purpose of clause 2.3.1 above, the price received for any sale or supply of services, goods, or assets to a </w:t>
      </w:r>
      <w:r>
        <w:rPr>
          <w:b/>
          <w:bCs/>
        </w:rPr>
        <w:t>related party</w:t>
      </w:r>
      <w:r>
        <w:t>, must be one of the following:</w:t>
      </w:r>
    </w:p>
    <w:p w:rsidR="000D0799" w:rsidRDefault="000D0799" w:rsidP="000D0799">
      <w:pPr>
        <w:pStyle w:val="HeadingH5ClausesubtextL1"/>
        <w:outlineLvl w:val="9"/>
      </w:pPr>
      <w:r>
        <w:t xml:space="preserve">if the </w:t>
      </w:r>
      <w:r>
        <w:rPr>
          <w:b/>
          <w:bCs/>
        </w:rPr>
        <w:t>related party</w:t>
      </w:r>
      <w:r>
        <w:t xml:space="preserve"> is another </w:t>
      </w:r>
      <w:r>
        <w:rPr>
          <w:b/>
          <w:bCs/>
        </w:rPr>
        <w:t>GDB</w:t>
      </w:r>
      <w:r>
        <w:rPr>
          <w:bCs/>
        </w:rPr>
        <w:t>,</w:t>
      </w:r>
      <w:r>
        <w:t xml:space="preserve"> an </w:t>
      </w:r>
      <w:r>
        <w:rPr>
          <w:b/>
          <w:bCs/>
        </w:rPr>
        <w:t>EDB</w:t>
      </w:r>
      <w:r>
        <w:rPr>
          <w:bCs/>
        </w:rPr>
        <w:t>,</w:t>
      </w:r>
      <w:r>
        <w:t xml:space="preserve"> or </w:t>
      </w:r>
      <w:r>
        <w:rPr>
          <w:b/>
          <w:bCs/>
        </w:rPr>
        <w:t>GTB</w:t>
      </w:r>
      <w:r>
        <w:t xml:space="preserve"> required to publicly disclose the price paid or cost incurred in accordance with another </w:t>
      </w:r>
      <w:r w:rsidR="009764C2" w:rsidRPr="009764C2">
        <w:rPr>
          <w:b/>
        </w:rPr>
        <w:t>Commission</w:t>
      </w:r>
      <w:r>
        <w:t xml:space="preserve"> determination, then the price received must be that disclosed by the </w:t>
      </w:r>
      <w:r>
        <w:rPr>
          <w:b/>
          <w:bCs/>
        </w:rPr>
        <w:t>related party</w:t>
      </w:r>
      <w:r>
        <w:t>; or</w:t>
      </w:r>
    </w:p>
    <w:p w:rsidR="000D0799" w:rsidRDefault="000D0799" w:rsidP="000D0799">
      <w:pPr>
        <w:pStyle w:val="HeadingH5ClausesubtextL1"/>
        <w:outlineLvl w:val="9"/>
      </w:pPr>
      <w:r>
        <w:t>if the price received cannot be determined under subclause (1), then:</w:t>
      </w:r>
    </w:p>
    <w:p w:rsidR="000D0799" w:rsidRDefault="000D0799" w:rsidP="000D0799">
      <w:pPr>
        <w:pStyle w:val="HeadingH6ClausesubtextL2"/>
        <w:tabs>
          <w:tab w:val="clear" w:pos="0"/>
        </w:tabs>
        <w:ind w:left="2126" w:hanging="708"/>
        <w:outlineLvl w:val="9"/>
      </w:pPr>
      <w:r>
        <w:t xml:space="preserve">at the price received from the </w:t>
      </w:r>
      <w:r>
        <w:rPr>
          <w:b/>
        </w:rPr>
        <w:t>related party</w:t>
      </w:r>
      <w:r>
        <w:t xml:space="preserve">, where the </w:t>
      </w:r>
      <w:r>
        <w:rPr>
          <w:b/>
          <w:bCs/>
        </w:rPr>
        <w:t xml:space="preserve">GDB </w:t>
      </w:r>
      <w:r>
        <w:t xml:space="preserve">makes at least 50% </w:t>
      </w:r>
      <w:r>
        <w:rPr>
          <w:rStyle w:val="CommentReference"/>
        </w:rPr>
        <w:t> </w:t>
      </w:r>
      <w:r>
        <w:t xml:space="preserve">of its revenue from the provision of similar services to unrelated parties, and the price charged by the </w:t>
      </w:r>
      <w:r>
        <w:rPr>
          <w:b/>
          <w:bCs/>
        </w:rPr>
        <w:t>GDB</w:t>
      </w:r>
      <w:r>
        <w:t xml:space="preserve"> to the </w:t>
      </w:r>
      <w:r>
        <w:rPr>
          <w:b/>
          <w:bCs/>
        </w:rPr>
        <w:t>related party</w:t>
      </w:r>
      <w:r>
        <w:t xml:space="preserve"> is substantially the same as the price charged to third parties for similar services, goods, or assets on substantially the same terms and conditions; or</w:t>
      </w:r>
    </w:p>
    <w:p w:rsidR="000D0799" w:rsidRDefault="000D0799" w:rsidP="000D0799">
      <w:pPr>
        <w:pStyle w:val="HeadingH6ClausesubtextL2"/>
        <w:tabs>
          <w:tab w:val="clear" w:pos="0"/>
        </w:tabs>
        <w:ind w:left="2126" w:hanging="708"/>
        <w:outlineLvl w:val="9"/>
      </w:pPr>
      <w:bookmarkStart w:id="58" w:name="_Ref329297793"/>
      <w:r>
        <w:t xml:space="preserve">at the price received from the </w:t>
      </w:r>
      <w:r>
        <w:rPr>
          <w:b/>
        </w:rPr>
        <w:t>related party</w:t>
      </w:r>
      <w:r>
        <w:t xml:space="preserve">, provided that no fewer than 2 directors of the </w:t>
      </w:r>
      <w:proofErr w:type="spellStart"/>
      <w:r>
        <w:rPr>
          <w:b/>
          <w:bCs/>
        </w:rPr>
        <w:t>GDB</w:t>
      </w:r>
      <w:r>
        <w:t>'s</w:t>
      </w:r>
      <w:proofErr w:type="spellEnd"/>
      <w:r>
        <w:t xml:space="preserve"> </w:t>
      </w:r>
      <w:r>
        <w:rPr>
          <w:bCs/>
        </w:rPr>
        <w:t xml:space="preserve">provide a written certification that they are satisfied that the prices received for all services, goods, or assets provided to </w:t>
      </w:r>
      <w:r>
        <w:rPr>
          <w:b/>
          <w:bCs/>
        </w:rPr>
        <w:t>related parties</w:t>
      </w:r>
      <w:r>
        <w:rPr>
          <w:bCs/>
        </w:rPr>
        <w:t xml:space="preserve"> reflect the price or prices that would</w:t>
      </w:r>
      <w:r>
        <w:t xml:space="preserve"> be received in an arm’s length transaction; or</w:t>
      </w:r>
      <w:bookmarkEnd w:id="58"/>
    </w:p>
    <w:p w:rsidR="000D0799" w:rsidRDefault="000D0799" w:rsidP="000D0799">
      <w:pPr>
        <w:pStyle w:val="HeadingH6ClausesubtextL2"/>
        <w:tabs>
          <w:tab w:val="clear" w:pos="0"/>
        </w:tabs>
        <w:ind w:left="2126" w:hanging="708"/>
        <w:outlineLvl w:val="9"/>
      </w:pPr>
      <w:proofErr w:type="gramStart"/>
      <w:r>
        <w:t>at</w:t>
      </w:r>
      <w:proofErr w:type="gramEnd"/>
      <w:r>
        <w:t xml:space="preserve"> the cost incurred by the </w:t>
      </w:r>
      <w:r>
        <w:rPr>
          <w:b/>
          <w:bCs/>
        </w:rPr>
        <w:t>GDB</w:t>
      </w:r>
      <w:r>
        <w:t xml:space="preserve"> in providing the service, good, or asset.</w:t>
      </w:r>
    </w:p>
    <w:p w:rsidR="000D0799" w:rsidRDefault="000D0799" w:rsidP="000D0799"/>
    <w:bookmarkEnd w:id="53"/>
    <w:bookmarkEnd w:id="55"/>
    <w:p w:rsidR="00A27AB6" w:rsidRPr="0039153F" w:rsidRDefault="00A27AB6" w:rsidP="00A27AB6">
      <w:pPr>
        <w:pStyle w:val="Heading3"/>
        <w:spacing w:line="264" w:lineRule="auto"/>
        <w:rPr>
          <w:rFonts w:asciiTheme="minorHAnsi" w:hAnsiTheme="minorHAnsi"/>
        </w:rPr>
      </w:pPr>
      <w:r>
        <w:rPr>
          <w:rFonts w:asciiTheme="minorHAnsi" w:hAnsiTheme="minorHAnsi"/>
        </w:rPr>
        <w:t>Information on capital expenditure projects</w:t>
      </w:r>
    </w:p>
    <w:p w:rsidR="00A27AB6" w:rsidRPr="002F2828" w:rsidRDefault="00A27AB6" w:rsidP="00A27AB6">
      <w:pPr>
        <w:pStyle w:val="HeadingH4Clausetext"/>
      </w:pPr>
      <w:r w:rsidRPr="002F2828">
        <w:t xml:space="preserve">Subject to section </w:t>
      </w:r>
      <w:r w:rsidR="00004445">
        <w:fldChar w:fldCharType="begin"/>
      </w:r>
      <w:r w:rsidR="00663C60">
        <w:instrText xml:space="preserve"> REF _Ref328951773 \w \h </w:instrText>
      </w:r>
      <w:r w:rsidR="00004445">
        <w:fldChar w:fldCharType="separate"/>
      </w:r>
      <w:r w:rsidR="00A84D28">
        <w:t>2.12</w:t>
      </w:r>
      <w:r w:rsidR="00004445">
        <w:fldChar w:fldCharType="end"/>
      </w:r>
      <w:r w:rsidRPr="002F2828">
        <w:t xml:space="preserve">, in completing </w:t>
      </w:r>
      <w:r w:rsidR="00663C60">
        <w:t xml:space="preserve">the Report on Capital Expenditure for the Disclosure Year in </w:t>
      </w:r>
      <w:r w:rsidRPr="002F2828">
        <w:t>Schedule 6</w:t>
      </w:r>
      <w:r w:rsidR="00663C60">
        <w:t xml:space="preserve">, </w:t>
      </w:r>
      <w:proofErr w:type="spellStart"/>
      <w:r w:rsidR="00663C60">
        <w:rPr>
          <w:b/>
        </w:rPr>
        <w:t>GDB</w:t>
      </w:r>
      <w:r w:rsidR="00663C60">
        <w:t>s</w:t>
      </w:r>
      <w:proofErr w:type="spellEnd"/>
      <w:r w:rsidR="00663C60">
        <w:t xml:space="preserve"> must disclose the following information in relation to </w:t>
      </w:r>
      <w:r w:rsidR="00663C60">
        <w:rPr>
          <w:b/>
        </w:rPr>
        <w:t>material projects and programmes</w:t>
      </w:r>
      <w:r w:rsidRPr="002F2828">
        <w:t>:</w:t>
      </w:r>
    </w:p>
    <w:p w:rsidR="00B85DE4" w:rsidRDefault="00B85DE4" w:rsidP="00A27AB6">
      <w:pPr>
        <w:pStyle w:val="HeadingH5ClausesubtextL1"/>
      </w:pPr>
      <w:r>
        <w:t xml:space="preserve">Separately disclose </w:t>
      </w:r>
      <w:r w:rsidR="009764C2" w:rsidRPr="009764C2">
        <w:rPr>
          <w:b/>
        </w:rPr>
        <w:t>customer connection</w:t>
      </w:r>
      <w:r>
        <w:t xml:space="preserve"> expenditure for each customer type </w:t>
      </w:r>
      <w:r w:rsidR="00D75B2B">
        <w:t xml:space="preserve">defined by the </w:t>
      </w:r>
      <w:r w:rsidR="00CA17F8">
        <w:rPr>
          <w:b/>
        </w:rPr>
        <w:t>GDB</w:t>
      </w:r>
      <w:r w:rsidR="00D75B2B">
        <w:rPr>
          <w:b/>
        </w:rPr>
        <w:t xml:space="preserve"> </w:t>
      </w:r>
      <w:r>
        <w:t>in 6(iii) of Schedule 6;</w:t>
      </w:r>
    </w:p>
    <w:p w:rsidR="00A27AB6" w:rsidRPr="002F2828" w:rsidRDefault="00A27AB6" w:rsidP="00A27AB6">
      <w:pPr>
        <w:pStyle w:val="HeadingH5ClausesubtextL1"/>
      </w:pPr>
      <w:r w:rsidRPr="002F2828">
        <w:t xml:space="preserve">For each material </w:t>
      </w:r>
      <w:r w:rsidRPr="002F2828">
        <w:rPr>
          <w:b/>
        </w:rPr>
        <w:t xml:space="preserve">asset relocation </w:t>
      </w:r>
      <w:r w:rsidRPr="002F2828">
        <w:t>project</w:t>
      </w:r>
      <w:r w:rsidR="00D75B2B">
        <w:t xml:space="preserve"> in Schedule 6</w:t>
      </w:r>
      <w:r w:rsidRPr="002F2828">
        <w:t>:</w:t>
      </w:r>
    </w:p>
    <w:p w:rsidR="00A27AB6" w:rsidRPr="002F2828" w:rsidRDefault="00A27AB6" w:rsidP="00A27AB6">
      <w:pPr>
        <w:pStyle w:val="HeadingH6ClausesubtextL2"/>
      </w:pPr>
      <w:r w:rsidRPr="002F2828">
        <w:t xml:space="preserve">separately disclose a </w:t>
      </w:r>
      <w:r w:rsidR="00D75B2B">
        <w:t xml:space="preserve">brief </w:t>
      </w:r>
      <w:r w:rsidRPr="002F2828">
        <w:t xml:space="preserve">description of the project and its value in </w:t>
      </w:r>
      <w:r w:rsidR="00663C60">
        <w:t>6(</w:t>
      </w:r>
      <w:r w:rsidRPr="002F2828">
        <w:t>v) of Schedule 6</w:t>
      </w:r>
    </w:p>
    <w:p w:rsidR="00A27AB6" w:rsidRPr="002F2828" w:rsidRDefault="00B25844" w:rsidP="00A27AB6">
      <w:pPr>
        <w:pStyle w:val="HeadingH6ClausesubtextL2"/>
      </w:pPr>
      <w:r>
        <w:t xml:space="preserve">provide </w:t>
      </w:r>
      <w:r w:rsidR="00D75B2B">
        <w:t xml:space="preserve">any </w:t>
      </w:r>
      <w:r>
        <w:t xml:space="preserve">additional commentary, including </w:t>
      </w:r>
      <w:r w:rsidR="00A27AB6" w:rsidRPr="002F2828">
        <w:t xml:space="preserve">the purpose of the project and a description of the assets </w:t>
      </w:r>
      <w:r w:rsidR="00D75B2B">
        <w:t xml:space="preserve">relocated </w:t>
      </w:r>
      <w:r w:rsidR="00A27AB6" w:rsidRPr="002F2828">
        <w:t xml:space="preserve">for each project in </w:t>
      </w:r>
      <w:r>
        <w:t>Schedule 14 (Mandatory Explanatory Notes)</w:t>
      </w:r>
    </w:p>
    <w:p w:rsidR="00A27AB6" w:rsidRPr="002F2828" w:rsidRDefault="00A27AB6" w:rsidP="00A27AB6">
      <w:pPr>
        <w:pStyle w:val="HeadingH5ClausesubtextL1"/>
      </w:pPr>
      <w:r w:rsidRPr="002F2828">
        <w:t xml:space="preserve">For each material </w:t>
      </w:r>
      <w:r w:rsidRPr="002F2828">
        <w:rPr>
          <w:b/>
        </w:rPr>
        <w:t>quality of supply</w:t>
      </w:r>
      <w:r w:rsidRPr="002F2828">
        <w:t xml:space="preserve"> project:</w:t>
      </w:r>
    </w:p>
    <w:p w:rsidR="00A27AB6" w:rsidRPr="002F2828" w:rsidRDefault="00A27AB6" w:rsidP="00A27AB6">
      <w:pPr>
        <w:pStyle w:val="HeadingH6ClausesubtextL2"/>
      </w:pPr>
      <w:r w:rsidRPr="002F2828">
        <w:t xml:space="preserve">separately disclose a </w:t>
      </w:r>
      <w:r w:rsidR="00D75B2B">
        <w:t xml:space="preserve">brief </w:t>
      </w:r>
      <w:r w:rsidRPr="002F2828">
        <w:t xml:space="preserve">description of the project and its value in </w:t>
      </w:r>
      <w:r w:rsidR="00663C60">
        <w:t>6(vi)</w:t>
      </w:r>
      <w:r w:rsidRPr="002F2828">
        <w:t xml:space="preserve"> in Schedule 6;</w:t>
      </w:r>
    </w:p>
    <w:p w:rsidR="00A27AB6" w:rsidRPr="002F2828" w:rsidRDefault="00B25844" w:rsidP="00A27AB6">
      <w:pPr>
        <w:pStyle w:val="HeadingH6ClausesubtextL2"/>
      </w:pPr>
      <w:r>
        <w:t xml:space="preserve">provide </w:t>
      </w:r>
      <w:r w:rsidR="00D75B2B">
        <w:t xml:space="preserve">any </w:t>
      </w:r>
      <w:r>
        <w:t xml:space="preserve">additional commentary, including </w:t>
      </w:r>
      <w:r w:rsidR="00A27AB6" w:rsidRPr="002F2828">
        <w:t xml:space="preserve">the purpose of the project and a description of the assets </w:t>
      </w:r>
      <w:r w:rsidR="00D75B2B">
        <w:t xml:space="preserve">affected </w:t>
      </w:r>
      <w:r w:rsidR="00A27AB6" w:rsidRPr="002F2828">
        <w:t xml:space="preserve">for each project in </w:t>
      </w:r>
      <w:r>
        <w:t>Schedule 14 (Mandatory Explanatory Notes)</w:t>
      </w:r>
    </w:p>
    <w:p w:rsidR="00A27AB6" w:rsidRPr="002F2828" w:rsidRDefault="00A27AB6" w:rsidP="00A27AB6">
      <w:pPr>
        <w:pStyle w:val="HeadingH5ClausesubtextL1"/>
      </w:pPr>
      <w:r w:rsidRPr="002F2828">
        <w:t xml:space="preserve">For each material </w:t>
      </w:r>
      <w:r w:rsidR="009764C2" w:rsidRPr="009764C2">
        <w:rPr>
          <w:b/>
        </w:rPr>
        <w:t>legislative and regulatory</w:t>
      </w:r>
      <w:r w:rsidRPr="002F2828">
        <w:t xml:space="preserve"> project:</w:t>
      </w:r>
    </w:p>
    <w:p w:rsidR="00A27AB6" w:rsidRPr="002F2828" w:rsidRDefault="00A27AB6" w:rsidP="00A27AB6">
      <w:pPr>
        <w:pStyle w:val="HeadingH6ClausesubtextL2"/>
      </w:pPr>
      <w:r w:rsidRPr="002F2828">
        <w:t xml:space="preserve">separately disclose a </w:t>
      </w:r>
      <w:r w:rsidR="00D75B2B">
        <w:t xml:space="preserve">brief </w:t>
      </w:r>
      <w:r w:rsidRPr="002F2828">
        <w:t xml:space="preserve">description of the </w:t>
      </w:r>
      <w:r w:rsidR="00A6781D">
        <w:rPr>
          <w:b/>
        </w:rPr>
        <w:t xml:space="preserve">legislative and regulatory </w:t>
      </w:r>
      <w:r w:rsidR="00A6781D">
        <w:t xml:space="preserve">requirement </w:t>
      </w:r>
      <w:r w:rsidRPr="002F2828">
        <w:t xml:space="preserve">and </w:t>
      </w:r>
      <w:r w:rsidR="00A6781D">
        <w:t xml:space="preserve">the </w:t>
      </w:r>
      <w:r w:rsidRPr="002F2828">
        <w:t xml:space="preserve">value </w:t>
      </w:r>
      <w:r w:rsidR="00A6781D">
        <w:t xml:space="preserve">of the project </w:t>
      </w:r>
      <w:r w:rsidRPr="002F2828">
        <w:t>in 6</w:t>
      </w:r>
      <w:r w:rsidR="00663C60" w:rsidRPr="002F2828">
        <w:t xml:space="preserve"> </w:t>
      </w:r>
      <w:r w:rsidRPr="002F2828">
        <w:t>(v</w:t>
      </w:r>
      <w:r w:rsidR="00663C60">
        <w:t>ii</w:t>
      </w:r>
      <w:r w:rsidRPr="002F2828">
        <w:t>) in Schedule 6;</w:t>
      </w:r>
    </w:p>
    <w:p w:rsidR="00A27AB6" w:rsidRPr="002F2828" w:rsidRDefault="00B25844" w:rsidP="00A27AB6">
      <w:pPr>
        <w:pStyle w:val="HeadingH6ClausesubtextL2"/>
      </w:pPr>
      <w:r>
        <w:t xml:space="preserve">provide </w:t>
      </w:r>
      <w:r w:rsidR="00D75B2B">
        <w:t xml:space="preserve">any </w:t>
      </w:r>
      <w:r>
        <w:t xml:space="preserve">additional commentary, including </w:t>
      </w:r>
      <w:r w:rsidR="00A27AB6" w:rsidRPr="002F2828">
        <w:t xml:space="preserve">the purpose of the projects and a description of the assets </w:t>
      </w:r>
      <w:r w:rsidR="00D75B2B">
        <w:t xml:space="preserve">affected </w:t>
      </w:r>
      <w:r w:rsidR="00A27AB6" w:rsidRPr="002F2828">
        <w:t xml:space="preserve">for each project in </w:t>
      </w:r>
      <w:r>
        <w:t>Schedule 14 (Mandatory Explanatory Notes)</w:t>
      </w:r>
      <w:r w:rsidR="00A27AB6" w:rsidRPr="002F2828">
        <w:t>;</w:t>
      </w:r>
    </w:p>
    <w:p w:rsidR="00663C60" w:rsidRDefault="00663C60" w:rsidP="00663C60">
      <w:pPr>
        <w:pStyle w:val="HeadingH5ClausesubtextL1"/>
        <w:tabs>
          <w:tab w:val="num" w:pos="-31680"/>
        </w:tabs>
      </w:pPr>
      <w:r w:rsidRPr="00604256">
        <w:t xml:space="preserve">For each material </w:t>
      </w:r>
      <w:r w:rsidRPr="002B5BEE">
        <w:rPr>
          <w:b/>
        </w:rPr>
        <w:t>other reliability, safety and environment</w:t>
      </w:r>
      <w:r w:rsidRPr="00604256">
        <w:t xml:space="preserve"> project </w:t>
      </w:r>
      <w:r>
        <w:t>in Schedule 6</w:t>
      </w:r>
      <w:r w:rsidRPr="00B03DE7">
        <w:t>:</w:t>
      </w:r>
    </w:p>
    <w:p w:rsidR="00663C60" w:rsidRDefault="00663C60" w:rsidP="00663C60">
      <w:pPr>
        <w:pStyle w:val="HeadingH6ClausesubtextL2"/>
        <w:tabs>
          <w:tab w:val="clear" w:pos="0"/>
        </w:tabs>
        <w:ind w:left="2126" w:hanging="708"/>
      </w:pPr>
      <w:r w:rsidRPr="00604256">
        <w:t xml:space="preserve">separately disclose a </w:t>
      </w:r>
      <w:r w:rsidR="00D75B2B">
        <w:t xml:space="preserve">brief </w:t>
      </w:r>
      <w:r w:rsidRPr="00604256">
        <w:t xml:space="preserve">description of the </w:t>
      </w:r>
      <w:r>
        <w:t xml:space="preserve">project </w:t>
      </w:r>
      <w:r w:rsidRPr="00604256">
        <w:t xml:space="preserve">and its value in </w:t>
      </w:r>
      <w:r>
        <w:t>6</w:t>
      </w:r>
      <w:r w:rsidRPr="00604256">
        <w:t>(v</w:t>
      </w:r>
      <w:r>
        <w:t>iii</w:t>
      </w:r>
      <w:r w:rsidRPr="00604256">
        <w:t>) of Schedule 6;</w:t>
      </w:r>
    </w:p>
    <w:p w:rsidR="00663C60" w:rsidRDefault="00B25844" w:rsidP="00663C60">
      <w:pPr>
        <w:pStyle w:val="HeadingH6ClausesubtextL2"/>
        <w:tabs>
          <w:tab w:val="clear" w:pos="0"/>
        </w:tabs>
        <w:ind w:left="2126" w:hanging="708"/>
      </w:pPr>
      <w:r>
        <w:t xml:space="preserve">provide </w:t>
      </w:r>
      <w:r w:rsidR="00D75B2B">
        <w:t xml:space="preserve">any </w:t>
      </w:r>
      <w:r>
        <w:t xml:space="preserve">additional commentary, including </w:t>
      </w:r>
      <w:r w:rsidR="00663C60" w:rsidRPr="00604256">
        <w:t>the purpose of the project</w:t>
      </w:r>
      <w:r w:rsidR="00663C60">
        <w:t xml:space="preserve"> and </w:t>
      </w:r>
      <w:r w:rsidR="00663C60" w:rsidRPr="00604256">
        <w:t xml:space="preserve">a description of the assets </w:t>
      </w:r>
      <w:r w:rsidR="00663C60">
        <w:t>affected</w:t>
      </w:r>
      <w:r>
        <w:t xml:space="preserve"> </w:t>
      </w:r>
      <w:r w:rsidR="00D75B2B">
        <w:t xml:space="preserve">for each project </w:t>
      </w:r>
      <w:r w:rsidR="00FE64DD">
        <w:t xml:space="preserve">in </w:t>
      </w:r>
      <w:r>
        <w:t>Schedule 14 (Mandatory Explanatory Notes)</w:t>
      </w:r>
      <w:r w:rsidR="00663C60" w:rsidRPr="00604256">
        <w:t>;</w:t>
      </w:r>
    </w:p>
    <w:p w:rsidR="00A27AB6" w:rsidRPr="002F2828" w:rsidRDefault="00A27AB6" w:rsidP="00A27AB6">
      <w:pPr>
        <w:pStyle w:val="HeadingH5ClausesubtextL1"/>
      </w:pPr>
      <w:r w:rsidRPr="002F2828">
        <w:t xml:space="preserve">For each material </w:t>
      </w:r>
      <w:r w:rsidR="00663C60">
        <w:rPr>
          <w:b/>
        </w:rPr>
        <w:t xml:space="preserve">non-network </w:t>
      </w:r>
      <w:proofErr w:type="spellStart"/>
      <w:r w:rsidR="00663C60">
        <w:rPr>
          <w:b/>
        </w:rPr>
        <w:t>capex</w:t>
      </w:r>
      <w:proofErr w:type="spellEnd"/>
      <w:r w:rsidR="00663C60">
        <w:rPr>
          <w:b/>
        </w:rPr>
        <w:t xml:space="preserve"> </w:t>
      </w:r>
      <w:r w:rsidRPr="002F2828">
        <w:t>project</w:t>
      </w:r>
      <w:r w:rsidR="00663C60">
        <w:t xml:space="preserve"> in Schedule 6</w:t>
      </w:r>
      <w:r w:rsidRPr="002F2828">
        <w:t>:</w:t>
      </w:r>
    </w:p>
    <w:p w:rsidR="00A27AB6" w:rsidRPr="002F2828" w:rsidRDefault="00A27AB6" w:rsidP="00A27AB6">
      <w:pPr>
        <w:pStyle w:val="HeadingH6ClausesubtextL2"/>
      </w:pPr>
      <w:r w:rsidRPr="002F2828">
        <w:t xml:space="preserve">separately disclose a </w:t>
      </w:r>
      <w:r w:rsidR="00D75B2B">
        <w:t xml:space="preserve">brief </w:t>
      </w:r>
      <w:r w:rsidRPr="002F2828">
        <w:t>description of the pro</w:t>
      </w:r>
      <w:r w:rsidR="00663C60">
        <w:t>ject and its value in 6(ix</w:t>
      </w:r>
      <w:r w:rsidRPr="002F2828">
        <w:t>) in Schedule 6</w:t>
      </w:r>
    </w:p>
    <w:p w:rsidR="00A27AB6" w:rsidRPr="002F2828" w:rsidRDefault="00B25844" w:rsidP="00A27AB6">
      <w:pPr>
        <w:pStyle w:val="HeadingH6ClausesubtextL2"/>
      </w:pPr>
      <w:r>
        <w:t xml:space="preserve">provide </w:t>
      </w:r>
      <w:r w:rsidR="00D75B2B">
        <w:t xml:space="preserve">any </w:t>
      </w:r>
      <w:r>
        <w:t xml:space="preserve">additional commentary, including </w:t>
      </w:r>
      <w:r w:rsidR="00A27AB6" w:rsidRPr="002F2828">
        <w:t xml:space="preserve">the purpose of the project and a description of the assets </w:t>
      </w:r>
      <w:r w:rsidR="00D75B2B">
        <w:t xml:space="preserve">affected </w:t>
      </w:r>
      <w:r w:rsidR="00A27AB6" w:rsidRPr="002F2828">
        <w:t xml:space="preserve">for each project in </w:t>
      </w:r>
      <w:r>
        <w:t>Schedule 14 (Mandatory Explanatory Notes)</w:t>
      </w:r>
    </w:p>
    <w:p w:rsidR="00A27AB6" w:rsidRPr="002F2828" w:rsidRDefault="00A27AB6">
      <w:pPr>
        <w:pStyle w:val="Para3"/>
        <w:rPr>
          <w:rFonts w:asciiTheme="minorHAnsi" w:hAnsiTheme="minorHAnsi"/>
        </w:rPr>
        <w:sectPr w:rsidR="00A27AB6" w:rsidRPr="002F2828" w:rsidSect="00223E26">
          <w:type w:val="continuous"/>
          <w:pgSz w:w="11907" w:h="16840" w:code="9"/>
          <w:pgMar w:top="1440" w:right="1440" w:bottom="1440" w:left="1440" w:header="1134" w:footer="431" w:gutter="0"/>
          <w:cols w:space="720"/>
          <w:titlePg/>
        </w:sectPr>
      </w:pPr>
    </w:p>
    <w:p w:rsidR="009764C2" w:rsidRDefault="00870D08" w:rsidP="009764C2">
      <w:pPr>
        <w:pStyle w:val="HeadingH3SectionHeading"/>
        <w:keepNext/>
      </w:pPr>
      <w:bookmarkStart w:id="59" w:name="_Ref328951108"/>
      <w:bookmarkStart w:id="60" w:name="_Ref328953534"/>
      <w:bookmarkStart w:id="61" w:name="_Toc329301625"/>
      <w:r w:rsidRPr="002F2828">
        <w:t xml:space="preserve">PRICING </w:t>
      </w:r>
      <w:r w:rsidR="003B2FF5">
        <w:t xml:space="preserve">AND RELATED </w:t>
      </w:r>
      <w:r w:rsidRPr="002F2828">
        <w:t>INFORMATION</w:t>
      </w:r>
      <w:bookmarkEnd w:id="59"/>
      <w:bookmarkEnd w:id="60"/>
      <w:bookmarkEnd w:id="61"/>
    </w:p>
    <w:p w:rsidR="00F56F86" w:rsidRDefault="004A18E0">
      <w:pPr>
        <w:pStyle w:val="BodyText"/>
      </w:pPr>
      <w:r w:rsidRPr="006927B6">
        <w:rPr>
          <w:i/>
        </w:rPr>
        <w:t>Disclosure of pricing methodologies</w:t>
      </w:r>
    </w:p>
    <w:p w:rsidR="004A18E0" w:rsidRPr="002F2828" w:rsidRDefault="004A18E0" w:rsidP="008847B3">
      <w:pPr>
        <w:pStyle w:val="HeadingH4Clausetext"/>
      </w:pPr>
      <w:bookmarkStart w:id="62" w:name="r1999_082_s_23_ss_0"/>
      <w:bookmarkStart w:id="63" w:name="_Ref329115818"/>
      <w:bookmarkEnd w:id="62"/>
      <w:r w:rsidRPr="002F2828">
        <w:t xml:space="preserve">Every </w:t>
      </w:r>
      <w:r w:rsidRPr="002F2828">
        <w:rPr>
          <w:b/>
        </w:rPr>
        <w:t>GDB</w:t>
      </w:r>
      <w:r w:rsidRPr="002F2828">
        <w:t xml:space="preserve"> must </w:t>
      </w:r>
      <w:r w:rsidRPr="002F2828">
        <w:rPr>
          <w:b/>
        </w:rPr>
        <w:t>publicly disclose</w:t>
      </w:r>
      <w:r w:rsidRPr="002F2828">
        <w:t xml:space="preserve">, </w:t>
      </w:r>
      <w:r w:rsidR="00C86D74">
        <w:t>before the start</w:t>
      </w:r>
      <w:r w:rsidRPr="002F2828">
        <w:t xml:space="preserve"> of each </w:t>
      </w:r>
      <w:r w:rsidRPr="002F2828">
        <w:rPr>
          <w:b/>
        </w:rPr>
        <w:t>disclosure year</w:t>
      </w:r>
      <w:r w:rsidRPr="002F2828">
        <w:t>, a pricing methodology which</w:t>
      </w:r>
      <w:r w:rsidR="00CF76F1" w:rsidRPr="002F2828">
        <w:t>:</w:t>
      </w:r>
      <w:bookmarkEnd w:id="63"/>
    </w:p>
    <w:p w:rsidR="004A18E0" w:rsidRPr="002F2828" w:rsidRDefault="001C11A3" w:rsidP="008847B3">
      <w:pPr>
        <w:pStyle w:val="HeadingH5ClausesubtextL1"/>
      </w:pPr>
      <w:bookmarkStart w:id="64" w:name="r1999_082_s_24"/>
      <w:bookmarkEnd w:id="64"/>
      <w:r w:rsidRPr="002F2828">
        <w:t>D</w:t>
      </w:r>
      <w:r w:rsidR="004A18E0" w:rsidRPr="002F2828">
        <w:t xml:space="preserve">escribes the methodology, in accordance with clause </w:t>
      </w:r>
      <w:r w:rsidR="00004445">
        <w:fldChar w:fldCharType="begin"/>
      </w:r>
      <w:r w:rsidR="00784603">
        <w:instrText xml:space="preserve"> REF _Ref329116073 \r \h </w:instrText>
      </w:r>
      <w:r w:rsidR="00004445">
        <w:fldChar w:fldCharType="separate"/>
      </w:r>
      <w:r w:rsidR="00A84D28">
        <w:t>2.4.3</w:t>
      </w:r>
      <w:r w:rsidR="00004445">
        <w:fldChar w:fldCharType="end"/>
      </w:r>
      <w:r w:rsidR="004A18E0" w:rsidRPr="002F2828">
        <w:t xml:space="preserve"> </w:t>
      </w:r>
      <w:r w:rsidR="008C1A91" w:rsidRPr="002F2828">
        <w:t>of this section</w:t>
      </w:r>
      <w:r w:rsidR="004A18E0" w:rsidRPr="002F2828">
        <w:t xml:space="preserve">, used to calculate the </w:t>
      </w:r>
      <w:r w:rsidR="008E4680" w:rsidRPr="002F2828">
        <w:rPr>
          <w:b/>
        </w:rPr>
        <w:t>prices</w:t>
      </w:r>
      <w:r w:rsidR="004A18E0" w:rsidRPr="002F2828">
        <w:t xml:space="preserve"> payable or to be payable</w:t>
      </w:r>
    </w:p>
    <w:p w:rsidR="004A18E0" w:rsidRPr="002F2828" w:rsidRDefault="0023126D" w:rsidP="008847B3">
      <w:pPr>
        <w:pStyle w:val="HeadingH5ClausesubtextL1"/>
      </w:pPr>
      <w:bookmarkStart w:id="65" w:name="_Ref329296560"/>
      <w:r>
        <w:t>Describes</w:t>
      </w:r>
      <w:r w:rsidR="004A18E0" w:rsidRPr="002F2828">
        <w:t xml:space="preserve"> any changes in </w:t>
      </w:r>
      <w:r w:rsidR="004A18E0" w:rsidRPr="002F2828">
        <w:rPr>
          <w:b/>
        </w:rPr>
        <w:t>prices</w:t>
      </w:r>
      <w:r w:rsidR="004A18E0" w:rsidRPr="002F2828">
        <w:t xml:space="preserve"> and </w:t>
      </w:r>
      <w:r w:rsidR="004A18E0" w:rsidRPr="002F2828">
        <w:rPr>
          <w:b/>
        </w:rPr>
        <w:t>target revenues</w:t>
      </w:r>
      <w:bookmarkEnd w:id="65"/>
    </w:p>
    <w:p w:rsidR="004A18E0" w:rsidRPr="002F2828" w:rsidRDefault="001C11A3" w:rsidP="008847B3">
      <w:pPr>
        <w:pStyle w:val="HeadingH5ClausesubtextL1"/>
        <w:rPr>
          <w:color w:val="000000"/>
        </w:rPr>
      </w:pPr>
      <w:r w:rsidRPr="002F2828">
        <w:rPr>
          <w:color w:val="000000"/>
        </w:rPr>
        <w:t>E</w:t>
      </w:r>
      <w:r w:rsidR="004A18E0" w:rsidRPr="002F2828">
        <w:rPr>
          <w:color w:val="000000"/>
        </w:rPr>
        <w:t xml:space="preserve">xplains, </w:t>
      </w:r>
      <w:r w:rsidR="004A18E0" w:rsidRPr="002F2828">
        <w:t xml:space="preserve">in accordance with clause </w:t>
      </w:r>
      <w:r w:rsidR="00004445">
        <w:fldChar w:fldCharType="begin"/>
      </w:r>
      <w:r w:rsidR="00784603">
        <w:instrText xml:space="preserve"> REF _Ref329116106 \r \h </w:instrText>
      </w:r>
      <w:r w:rsidR="00004445">
        <w:fldChar w:fldCharType="separate"/>
      </w:r>
      <w:r w:rsidR="00A84D28">
        <w:t>2.4.5</w:t>
      </w:r>
      <w:r w:rsidR="00004445">
        <w:fldChar w:fldCharType="end"/>
      </w:r>
      <w:r w:rsidR="004A18E0" w:rsidRPr="002F2828">
        <w:t xml:space="preserve"> </w:t>
      </w:r>
      <w:r w:rsidR="008C1A91" w:rsidRPr="002F2828">
        <w:t>of this section</w:t>
      </w:r>
      <w:r w:rsidR="004A18E0" w:rsidRPr="002F2828">
        <w:t>, the approach taken with respect to pricing</w:t>
      </w:r>
      <w:r w:rsidR="00CF76F1" w:rsidRPr="002F2828">
        <w:t xml:space="preserve"> in</w:t>
      </w:r>
      <w:r w:rsidR="004A18E0" w:rsidRPr="002F2828">
        <w:t xml:space="preserve"> </w:t>
      </w:r>
      <w:r w:rsidR="004A18E0" w:rsidRPr="002F2828">
        <w:rPr>
          <w:b/>
        </w:rPr>
        <w:t>non-standard contracts</w:t>
      </w:r>
    </w:p>
    <w:p w:rsidR="004A18E0" w:rsidRPr="002F2828" w:rsidRDefault="001C11A3" w:rsidP="008847B3">
      <w:pPr>
        <w:pStyle w:val="HeadingH5ClausesubtextL1"/>
      </w:pPr>
      <w:r w:rsidRPr="002F2828">
        <w:t>E</w:t>
      </w:r>
      <w:r w:rsidR="004A18E0" w:rsidRPr="002F2828">
        <w:t xml:space="preserve">xplains whether, and if so how, the </w:t>
      </w:r>
      <w:r w:rsidR="00854AA6" w:rsidRPr="002F2828">
        <w:rPr>
          <w:b/>
        </w:rPr>
        <w:t>GDB</w:t>
      </w:r>
      <w:r w:rsidR="004A18E0" w:rsidRPr="002F2828">
        <w:t xml:space="preserve"> has sought the view</w:t>
      </w:r>
      <w:r w:rsidR="00B63384">
        <w:t>s</w:t>
      </w:r>
      <w:r w:rsidR="004A18E0" w:rsidRPr="002F2828">
        <w:t xml:space="preserve"> of </w:t>
      </w:r>
      <w:r w:rsidR="004A18E0" w:rsidRPr="002F2828">
        <w:rPr>
          <w:b/>
        </w:rPr>
        <w:t>consumers</w:t>
      </w:r>
      <w:r w:rsidR="004A18E0" w:rsidRPr="002F2828">
        <w:t xml:space="preserve">, their expectations in terms of </w:t>
      </w:r>
      <w:r w:rsidR="004A18E0" w:rsidRPr="002F2828">
        <w:rPr>
          <w:b/>
        </w:rPr>
        <w:t>price</w:t>
      </w:r>
      <w:r w:rsidR="004A18E0" w:rsidRPr="002F2828">
        <w:t xml:space="preserve"> and quality, and reflected those views</w:t>
      </w:r>
      <w:r w:rsidR="004A18E0" w:rsidRPr="002F2828">
        <w:rPr>
          <w:rFonts w:cs="Calibri"/>
        </w:rPr>
        <w:t xml:space="preserve">, in calculating the </w:t>
      </w:r>
      <w:r w:rsidR="00394849" w:rsidRPr="002F2828">
        <w:rPr>
          <w:rFonts w:cs="Calibri"/>
          <w:b/>
        </w:rPr>
        <w:t>prices</w:t>
      </w:r>
      <w:r w:rsidR="004A18E0" w:rsidRPr="002F2828">
        <w:rPr>
          <w:rFonts w:cs="Calibri"/>
        </w:rPr>
        <w:t xml:space="preserve"> payable or to be payable</w:t>
      </w:r>
      <w:r w:rsidR="008F5D7B">
        <w:t xml:space="preserve">. </w:t>
      </w:r>
      <w:r w:rsidR="002A3FEB" w:rsidRPr="002F2828">
        <w:t xml:space="preserve">If the </w:t>
      </w:r>
      <w:r w:rsidR="009764C2" w:rsidRPr="009764C2">
        <w:rPr>
          <w:b/>
        </w:rPr>
        <w:t>GDB</w:t>
      </w:r>
      <w:r w:rsidR="002A3FEB" w:rsidRPr="002F2828">
        <w:t xml:space="preserve"> has not sought the views of </w:t>
      </w:r>
      <w:r w:rsidR="009764C2" w:rsidRPr="009764C2">
        <w:rPr>
          <w:b/>
        </w:rPr>
        <w:t>consumers</w:t>
      </w:r>
      <w:r w:rsidR="002A3FEB" w:rsidRPr="002F2828">
        <w:t xml:space="preserve">, the reasons for not doing so </w:t>
      </w:r>
      <w:r w:rsidR="008C1A91" w:rsidRPr="002F2828">
        <w:t>must</w:t>
      </w:r>
      <w:r w:rsidR="002A3FEB" w:rsidRPr="002F2828">
        <w:t xml:space="preserve"> be disclosed.</w:t>
      </w:r>
    </w:p>
    <w:p w:rsidR="004A18E0" w:rsidRPr="002F2828" w:rsidRDefault="004A18E0" w:rsidP="008847B3">
      <w:pPr>
        <w:pStyle w:val="HeadingH4Clausetext"/>
      </w:pPr>
      <w:r w:rsidRPr="002F2828">
        <w:t xml:space="preserve">Any change in the pricing methodology or adoption of a different pricing methodology, must be </w:t>
      </w:r>
      <w:r w:rsidRPr="002F2828">
        <w:rPr>
          <w:b/>
        </w:rPr>
        <w:t>publicly disclosed</w:t>
      </w:r>
      <w:r w:rsidRPr="002F2828">
        <w:t xml:space="preserve"> </w:t>
      </w:r>
      <w:r w:rsidR="00366FD0">
        <w:t>at least 20 working days</w:t>
      </w:r>
      <w:r w:rsidR="00366FD0" w:rsidRPr="00604256">
        <w:t xml:space="preserve"> </w:t>
      </w:r>
      <w:r w:rsidRPr="002F2828">
        <w:t xml:space="preserve">before the change or the </w:t>
      </w:r>
      <w:r w:rsidR="00F8278A" w:rsidRPr="002F2828">
        <w:t xml:space="preserve">adoption of a </w:t>
      </w:r>
      <w:r w:rsidR="008C1A91" w:rsidRPr="002F2828">
        <w:t>d</w:t>
      </w:r>
      <w:r w:rsidRPr="002F2828">
        <w:t>ifferent methodology takes effect</w:t>
      </w:r>
      <w:r w:rsidR="00572AA9" w:rsidRPr="002F2828">
        <w:t>.</w:t>
      </w:r>
    </w:p>
    <w:p w:rsidR="004A18E0" w:rsidRPr="002F2828" w:rsidRDefault="004A18E0" w:rsidP="008847B3">
      <w:pPr>
        <w:pStyle w:val="HeadingH4Clausetext"/>
      </w:pPr>
      <w:bookmarkStart w:id="66" w:name="r1999_082_s_24_ss_0"/>
      <w:bookmarkStart w:id="67" w:name="_Ref329116073"/>
      <w:bookmarkEnd w:id="66"/>
      <w:r w:rsidRPr="002F2828">
        <w:t xml:space="preserve">Every disclosure under clause </w:t>
      </w:r>
      <w:r w:rsidR="00004445">
        <w:fldChar w:fldCharType="begin"/>
      </w:r>
      <w:r w:rsidR="00784603">
        <w:instrText xml:space="preserve"> REF _Ref329115818 \r \h </w:instrText>
      </w:r>
      <w:r w:rsidR="00004445">
        <w:fldChar w:fldCharType="separate"/>
      </w:r>
      <w:r w:rsidR="00A84D28">
        <w:t>2.4.1</w:t>
      </w:r>
      <w:r w:rsidR="00004445">
        <w:fldChar w:fldCharType="end"/>
      </w:r>
      <w:r w:rsidRPr="002F2828">
        <w:t xml:space="preserve"> </w:t>
      </w:r>
      <w:r w:rsidR="007F26D6">
        <w:t>above</w:t>
      </w:r>
      <w:r w:rsidR="008C1A91" w:rsidRPr="002F2828">
        <w:t xml:space="preserve"> </w:t>
      </w:r>
      <w:r w:rsidRPr="002F2828">
        <w:t>must:</w:t>
      </w:r>
      <w:bookmarkEnd w:id="67"/>
    </w:p>
    <w:p w:rsidR="004A18E0" w:rsidRPr="002F2828" w:rsidRDefault="001C11A3" w:rsidP="008847B3">
      <w:pPr>
        <w:pStyle w:val="HeadingH5ClausesubtextL1"/>
      </w:pPr>
      <w:r w:rsidRPr="002F2828">
        <w:t>I</w:t>
      </w:r>
      <w:r w:rsidR="004A18E0" w:rsidRPr="002F2828">
        <w:t xml:space="preserve">nclude </w:t>
      </w:r>
      <w:r w:rsidR="000D08C3">
        <w:t xml:space="preserve">sufficient </w:t>
      </w:r>
      <w:r w:rsidR="004A18E0" w:rsidRPr="002F2828">
        <w:t xml:space="preserve">information and commentary </w:t>
      </w:r>
      <w:r w:rsidR="003504F6" w:rsidRPr="002F2828">
        <w:t xml:space="preserve">to enable </w:t>
      </w:r>
      <w:r w:rsidR="004A18E0" w:rsidRPr="002F2828">
        <w:t xml:space="preserve">interested persons to understand how </w:t>
      </w:r>
      <w:r w:rsidR="004A18E0" w:rsidRPr="002F2828">
        <w:rPr>
          <w:b/>
        </w:rPr>
        <w:t>prices</w:t>
      </w:r>
      <w:r w:rsidR="004A18E0" w:rsidRPr="002F2828">
        <w:t xml:space="preserve"> were set for each </w:t>
      </w:r>
      <w:r w:rsidR="004A18E0" w:rsidRPr="002F2828">
        <w:rPr>
          <w:b/>
        </w:rPr>
        <w:t>consumer group</w:t>
      </w:r>
      <w:r w:rsidR="004A18E0" w:rsidRPr="002F2828">
        <w:t xml:space="preserve">, including the assumptions and statistics used to determine </w:t>
      </w:r>
      <w:r w:rsidR="004A18E0" w:rsidRPr="002F2828">
        <w:rPr>
          <w:b/>
        </w:rPr>
        <w:t>prices</w:t>
      </w:r>
      <w:r w:rsidR="004A18E0" w:rsidRPr="002F2828">
        <w:t xml:space="preserve"> for each </w:t>
      </w:r>
      <w:r w:rsidR="004A18E0" w:rsidRPr="002F2828">
        <w:rPr>
          <w:b/>
        </w:rPr>
        <w:t>consumer group</w:t>
      </w:r>
    </w:p>
    <w:p w:rsidR="004A18E0" w:rsidRPr="002F2828" w:rsidRDefault="001C11A3" w:rsidP="008847B3">
      <w:pPr>
        <w:pStyle w:val="HeadingH5ClausesubtextL1"/>
      </w:pPr>
      <w:r w:rsidRPr="002F2828">
        <w:t>D</w:t>
      </w:r>
      <w:r w:rsidR="003504F6" w:rsidRPr="002F2828">
        <w:t xml:space="preserve">emonstrate </w:t>
      </w:r>
      <w:r w:rsidR="004A18E0" w:rsidRPr="002F2828">
        <w:t>the extent to which the pricing methodology is consistent with the</w:t>
      </w:r>
      <w:r w:rsidR="004A18E0" w:rsidRPr="002F2828">
        <w:rPr>
          <w:b/>
        </w:rPr>
        <w:t xml:space="preserve"> pricing principles</w:t>
      </w:r>
      <w:r w:rsidR="004A18E0" w:rsidRPr="002F2828">
        <w:t xml:space="preserve"> and </w:t>
      </w:r>
      <w:r w:rsidR="003504F6" w:rsidRPr="002F2828">
        <w:t xml:space="preserve">explain the reasons for any </w:t>
      </w:r>
      <w:r w:rsidR="004A18E0" w:rsidRPr="002F2828">
        <w:t>inconsistency between the pricing methodology and the</w:t>
      </w:r>
      <w:r w:rsidR="004A18E0" w:rsidRPr="002F2828">
        <w:rPr>
          <w:b/>
        </w:rPr>
        <w:t xml:space="preserve"> pricing principles</w:t>
      </w:r>
    </w:p>
    <w:p w:rsidR="00F56F86" w:rsidRDefault="00F40287">
      <w:pPr>
        <w:pStyle w:val="HeadingH5ClausesubtextL1"/>
      </w:pPr>
      <w:bookmarkStart w:id="68" w:name="_Ref329296503"/>
      <w:r w:rsidRPr="002F2828">
        <w:t xml:space="preserve">State the </w:t>
      </w:r>
      <w:r w:rsidR="009764C2" w:rsidRPr="009764C2">
        <w:rPr>
          <w:b/>
        </w:rPr>
        <w:t>target revenue</w:t>
      </w:r>
      <w:r w:rsidRPr="002F2828">
        <w:t xml:space="preserve"> </w:t>
      </w:r>
      <w:r w:rsidR="000D08C3">
        <w:t xml:space="preserve">to be collected </w:t>
      </w:r>
      <w:r w:rsidRPr="002F2828">
        <w:t xml:space="preserve">for the current </w:t>
      </w:r>
      <w:r w:rsidR="009764C2" w:rsidRPr="009764C2">
        <w:rPr>
          <w:b/>
        </w:rPr>
        <w:t>disclosure year</w:t>
      </w:r>
      <w:bookmarkEnd w:id="68"/>
    </w:p>
    <w:p w:rsidR="004A18E0" w:rsidRPr="002F2828" w:rsidRDefault="001C11A3" w:rsidP="008847B3">
      <w:pPr>
        <w:pStyle w:val="HeadingH5ClausesubtextL1"/>
      </w:pPr>
      <w:r w:rsidRPr="002F2828">
        <w:t>W</w:t>
      </w:r>
      <w:r w:rsidR="004A18E0" w:rsidRPr="002F2828">
        <w:t xml:space="preserve">here applicable, identify the key components of </w:t>
      </w:r>
      <w:r w:rsidR="004A18E0" w:rsidRPr="002F2828">
        <w:rPr>
          <w:b/>
        </w:rPr>
        <w:t>target revenue</w:t>
      </w:r>
      <w:r w:rsidR="004A18E0" w:rsidRPr="002F2828">
        <w:t xml:space="preserve"> required to cover the costs and </w:t>
      </w:r>
      <w:r w:rsidR="00242930">
        <w:t>return on investment associated with</w:t>
      </w:r>
      <w:r w:rsidR="00784603">
        <w:t xml:space="preserve"> </w:t>
      </w:r>
      <w:r w:rsidR="004A18E0" w:rsidRPr="002F2828">
        <w:t xml:space="preserve">the </w:t>
      </w:r>
      <w:proofErr w:type="spellStart"/>
      <w:r w:rsidR="004A18E0" w:rsidRPr="002F2828">
        <w:rPr>
          <w:b/>
        </w:rPr>
        <w:t>GDB</w:t>
      </w:r>
      <w:r w:rsidR="004A18E0" w:rsidRPr="002F2828">
        <w:t>’s</w:t>
      </w:r>
      <w:proofErr w:type="spellEnd"/>
      <w:r w:rsidR="004A18E0" w:rsidRPr="002F2828">
        <w:t xml:space="preserve"> provision of </w:t>
      </w:r>
      <w:r w:rsidR="004A18E0" w:rsidRPr="002F2828">
        <w:rPr>
          <w:b/>
        </w:rPr>
        <w:t>gas pipeline services</w:t>
      </w:r>
      <w:r w:rsidR="004A18E0" w:rsidRPr="002F2828">
        <w:t xml:space="preserve">. Disclosure must include the numerical </w:t>
      </w:r>
      <w:r w:rsidR="00CF76F1" w:rsidRPr="002F2828">
        <w:t>value of each of the components</w:t>
      </w:r>
    </w:p>
    <w:p w:rsidR="008F5D7B" w:rsidRDefault="001C11A3" w:rsidP="008847B3">
      <w:pPr>
        <w:pStyle w:val="HeadingH5ClausesubtextL1"/>
      </w:pPr>
      <w:r w:rsidRPr="002F2828">
        <w:t>S</w:t>
      </w:r>
      <w:r w:rsidR="004A18E0" w:rsidRPr="002F2828">
        <w:t xml:space="preserve">tate the </w:t>
      </w:r>
      <w:r w:rsidR="004A18E0" w:rsidRPr="002F2828">
        <w:rPr>
          <w:b/>
        </w:rPr>
        <w:t>consumer groups</w:t>
      </w:r>
      <w:r w:rsidR="004A18E0" w:rsidRPr="002F2828">
        <w:t xml:space="preserve"> for whom </w:t>
      </w:r>
      <w:r w:rsidR="004A18E0" w:rsidRPr="002F2828">
        <w:rPr>
          <w:b/>
        </w:rPr>
        <w:t>prices</w:t>
      </w:r>
      <w:r w:rsidR="004A18E0" w:rsidRPr="002F2828">
        <w:t xml:space="preserve"> have been set, and describe</w:t>
      </w:r>
      <w:r w:rsidR="00CF76F1" w:rsidRPr="002F2828">
        <w:t>:</w:t>
      </w:r>
    </w:p>
    <w:p w:rsidR="004A18E0" w:rsidRPr="002F2828" w:rsidRDefault="004A18E0" w:rsidP="008847B3">
      <w:pPr>
        <w:pStyle w:val="HeadingH6ClausesubtextL2"/>
      </w:pPr>
      <w:r w:rsidRPr="002F2828">
        <w:t xml:space="preserve">the rationale for grouping </w:t>
      </w:r>
      <w:r w:rsidRPr="002F2828">
        <w:rPr>
          <w:b/>
        </w:rPr>
        <w:t>consumers</w:t>
      </w:r>
      <w:r w:rsidRPr="002F2828">
        <w:t xml:space="preserve"> in this way</w:t>
      </w:r>
    </w:p>
    <w:p w:rsidR="004A18E0" w:rsidRPr="002F2828" w:rsidRDefault="004A18E0" w:rsidP="008847B3">
      <w:pPr>
        <w:pStyle w:val="HeadingH6ClausesubtextL2"/>
      </w:pPr>
      <w:proofErr w:type="gramStart"/>
      <w:r w:rsidRPr="002F2828">
        <w:t>the</w:t>
      </w:r>
      <w:proofErr w:type="gramEnd"/>
      <w:r w:rsidRPr="002F2828">
        <w:t xml:space="preserve"> method and the criteria used by the </w:t>
      </w:r>
      <w:r w:rsidR="00854AA6" w:rsidRPr="002F2828">
        <w:rPr>
          <w:b/>
        </w:rPr>
        <w:t>GDB</w:t>
      </w:r>
      <w:r w:rsidRPr="002F2828">
        <w:t xml:space="preserve"> to allocate </w:t>
      </w:r>
      <w:r w:rsidRPr="002F2828">
        <w:rPr>
          <w:b/>
        </w:rPr>
        <w:t>consumers</w:t>
      </w:r>
      <w:r w:rsidRPr="002F2828">
        <w:t xml:space="preserve"> to each of the </w:t>
      </w:r>
      <w:r w:rsidRPr="002F2828">
        <w:rPr>
          <w:b/>
        </w:rPr>
        <w:t>consumer groups</w:t>
      </w:r>
      <w:r w:rsidRPr="002F2828">
        <w:t>.</w:t>
      </w:r>
    </w:p>
    <w:p w:rsidR="009B32DA" w:rsidRDefault="009B32DA" w:rsidP="008847B3">
      <w:pPr>
        <w:pStyle w:val="HeadingH5ClausesubtextL1"/>
      </w:pPr>
      <w:r>
        <w:t>If</w:t>
      </w:r>
      <w:r w:rsidRPr="002F2828">
        <w:t xml:space="preserve"> </w:t>
      </w:r>
      <w:r w:rsidRPr="002F2828">
        <w:rPr>
          <w:b/>
        </w:rPr>
        <w:t>prices</w:t>
      </w:r>
      <w:r w:rsidRPr="002F2828">
        <w:t xml:space="preserve"> have changed from </w:t>
      </w:r>
      <w:r w:rsidRPr="002F2828">
        <w:rPr>
          <w:b/>
        </w:rPr>
        <w:t>prices</w:t>
      </w:r>
      <w:r w:rsidRPr="002F2828">
        <w:t xml:space="preserve"> disclosed for the immediately preceding </w:t>
      </w:r>
      <w:r w:rsidRPr="002F2828">
        <w:rPr>
          <w:b/>
        </w:rPr>
        <w:t>disclosure year</w:t>
      </w:r>
      <w:r w:rsidRPr="002F2828">
        <w:t xml:space="preserve">, explain the reasons for changes, and quantify the difference </w:t>
      </w:r>
      <w:r w:rsidR="0023126D">
        <w:t>in respect of</w:t>
      </w:r>
      <w:r w:rsidRPr="002F2828">
        <w:t xml:space="preserve"> each of those reasons</w:t>
      </w:r>
    </w:p>
    <w:p w:rsidR="00366FD0" w:rsidRPr="00366FD0" w:rsidRDefault="00210B7D" w:rsidP="008847B3">
      <w:pPr>
        <w:pStyle w:val="HeadingH5ClausesubtextL1"/>
      </w:pPr>
      <w:r>
        <w:t xml:space="preserve">Where applicable, describe the method used by the </w:t>
      </w:r>
      <w:r w:rsidR="00884D99">
        <w:rPr>
          <w:b/>
        </w:rPr>
        <w:t>G</w:t>
      </w:r>
      <w:r>
        <w:rPr>
          <w:b/>
        </w:rPr>
        <w:t>DB</w:t>
      </w:r>
      <w:r>
        <w:t xml:space="preserve"> to allocate the </w:t>
      </w:r>
      <w:r>
        <w:rPr>
          <w:b/>
        </w:rPr>
        <w:t>target revenue</w:t>
      </w:r>
      <w:r>
        <w:t xml:space="preserve"> among </w:t>
      </w:r>
      <w:r>
        <w:rPr>
          <w:b/>
        </w:rPr>
        <w:t>consumer groups</w:t>
      </w:r>
      <w:r>
        <w:t xml:space="preserve">, including the numerical values of the </w:t>
      </w:r>
      <w:r>
        <w:rPr>
          <w:b/>
        </w:rPr>
        <w:t>target revenue</w:t>
      </w:r>
      <w:r>
        <w:t xml:space="preserve"> allocated to each </w:t>
      </w:r>
      <w:r>
        <w:rPr>
          <w:b/>
        </w:rPr>
        <w:t>consumer group</w:t>
      </w:r>
      <w:r>
        <w:t xml:space="preserve"> and the rationale for allocating </w:t>
      </w:r>
      <w:r w:rsidR="00366FD0">
        <w:t>it</w:t>
      </w:r>
      <w:r>
        <w:t xml:space="preserve"> in this way</w:t>
      </w:r>
    </w:p>
    <w:p w:rsidR="004A18E0" w:rsidRPr="002F2828" w:rsidRDefault="00366FD0" w:rsidP="008847B3">
      <w:pPr>
        <w:pStyle w:val="HeadingH4Clausetext"/>
      </w:pPr>
      <w:r>
        <w:t xml:space="preserve">State </w:t>
      </w:r>
      <w:r w:rsidRPr="00604256">
        <w:t xml:space="preserve">the proportion of </w:t>
      </w:r>
      <w:r w:rsidRPr="00597F63">
        <w:rPr>
          <w:b/>
        </w:rPr>
        <w:t>target revenue</w:t>
      </w:r>
      <w:r>
        <w:t xml:space="preserve"> </w:t>
      </w:r>
      <w:r w:rsidRPr="00604256">
        <w:t>(</w:t>
      </w:r>
      <w:r>
        <w:t>if</w:t>
      </w:r>
      <w:r w:rsidRPr="00604256">
        <w:t xml:space="preserve"> applicable) </w:t>
      </w:r>
      <w:r>
        <w:t xml:space="preserve">that is collected through each tariff type as publicly disclosed annually under </w:t>
      </w:r>
      <w:r w:rsidR="009B32DA">
        <w:t xml:space="preserve">clause </w:t>
      </w:r>
      <w:r w:rsidR="00004445">
        <w:fldChar w:fldCharType="begin"/>
      </w:r>
      <w:r w:rsidR="009B32DA">
        <w:instrText xml:space="preserve"> REF _Ref327900424 \r \h </w:instrText>
      </w:r>
      <w:r w:rsidR="00004445">
        <w:fldChar w:fldCharType="separate"/>
      </w:r>
      <w:r w:rsidR="00A84D28">
        <w:t>2.4.16</w:t>
      </w:r>
      <w:r w:rsidR="00004445">
        <w:fldChar w:fldCharType="end"/>
      </w:r>
      <w:bookmarkStart w:id="69" w:name="_Ref309040934"/>
      <w:r w:rsidR="004A18E0" w:rsidRPr="002F2828">
        <w:t xml:space="preserve">Every disclosure under clause </w:t>
      </w:r>
      <w:r w:rsidR="00004445">
        <w:fldChar w:fldCharType="begin"/>
      </w:r>
      <w:r w:rsidR="00784603">
        <w:instrText xml:space="preserve"> REF _Ref329115818 \r \h </w:instrText>
      </w:r>
      <w:r w:rsidR="00004445">
        <w:fldChar w:fldCharType="separate"/>
      </w:r>
      <w:r w:rsidR="00A84D28">
        <w:t>2.4.1</w:t>
      </w:r>
      <w:r w:rsidR="00004445">
        <w:fldChar w:fldCharType="end"/>
      </w:r>
      <w:r w:rsidR="00A35993" w:rsidRPr="002F2828">
        <w:t xml:space="preserve"> </w:t>
      </w:r>
      <w:r w:rsidR="00E11740">
        <w:t>above</w:t>
      </w:r>
      <w:r w:rsidR="00A35993" w:rsidRPr="002F2828">
        <w:t xml:space="preserve"> </w:t>
      </w:r>
      <w:r w:rsidR="004A18E0" w:rsidRPr="002F2828">
        <w:t xml:space="preserve">must, if the </w:t>
      </w:r>
      <w:r w:rsidR="00854AA6" w:rsidRPr="002F2828">
        <w:rPr>
          <w:b/>
        </w:rPr>
        <w:t>GDB</w:t>
      </w:r>
      <w:r w:rsidR="004A18E0" w:rsidRPr="002F2828">
        <w:t xml:space="preserve"> has a </w:t>
      </w:r>
      <w:r w:rsidR="004A18E0" w:rsidRPr="002F2828">
        <w:rPr>
          <w:b/>
        </w:rPr>
        <w:t>pricing strategy</w:t>
      </w:r>
      <w:r w:rsidR="00CF76F1" w:rsidRPr="002F2828">
        <w:t>:</w:t>
      </w:r>
    </w:p>
    <w:p w:rsidR="004A18E0" w:rsidRPr="002F2828" w:rsidRDefault="001C11A3" w:rsidP="008847B3">
      <w:pPr>
        <w:pStyle w:val="HeadingH5ClausesubtextL1"/>
      </w:pPr>
      <w:r w:rsidRPr="002F2828">
        <w:t>E</w:t>
      </w:r>
      <w:r w:rsidR="004A18E0" w:rsidRPr="002F2828">
        <w:t xml:space="preserve">xplain the </w:t>
      </w:r>
      <w:r w:rsidR="004A18E0" w:rsidRPr="002F2828">
        <w:rPr>
          <w:b/>
        </w:rPr>
        <w:t>pricing strategy</w:t>
      </w:r>
      <w:r w:rsidR="004A18E0" w:rsidRPr="002F2828">
        <w:t xml:space="preserve"> for the next </w:t>
      </w:r>
      <w:r w:rsidR="00784603">
        <w:t>5</w:t>
      </w:r>
      <w:r w:rsidR="00784603" w:rsidRPr="002F2828">
        <w:t xml:space="preserve"> </w:t>
      </w:r>
      <w:r w:rsidR="004A18E0" w:rsidRPr="002F2828">
        <w:rPr>
          <w:b/>
        </w:rPr>
        <w:t>disclosure years</w:t>
      </w:r>
      <w:r w:rsidR="004A18E0" w:rsidRPr="002F2828">
        <w:t xml:space="preserve"> (or as close to </w:t>
      </w:r>
      <w:r w:rsidR="00784603">
        <w:t>5</w:t>
      </w:r>
      <w:r w:rsidR="00784603" w:rsidRPr="002F2828">
        <w:t xml:space="preserve"> </w:t>
      </w:r>
      <w:r w:rsidR="004A18E0" w:rsidRPr="002F2828">
        <w:t xml:space="preserve">years as the </w:t>
      </w:r>
      <w:r w:rsidR="004A18E0" w:rsidRPr="002F2828">
        <w:rPr>
          <w:b/>
        </w:rPr>
        <w:t>pricing strategy</w:t>
      </w:r>
      <w:r w:rsidR="004A18E0" w:rsidRPr="002F2828">
        <w:t xml:space="preserve"> allows), including the current </w:t>
      </w:r>
      <w:r w:rsidR="004A18E0" w:rsidRPr="002F2828">
        <w:rPr>
          <w:b/>
        </w:rPr>
        <w:t>disclosure year</w:t>
      </w:r>
      <w:r w:rsidR="004A18E0" w:rsidRPr="002F2828">
        <w:t xml:space="preserve"> for which </w:t>
      </w:r>
      <w:r w:rsidR="004A18E0" w:rsidRPr="002F2828">
        <w:rPr>
          <w:b/>
        </w:rPr>
        <w:t>prices</w:t>
      </w:r>
      <w:r w:rsidR="004A18E0" w:rsidRPr="002F2828">
        <w:t xml:space="preserve"> ar</w:t>
      </w:r>
      <w:bookmarkStart w:id="70" w:name="OLE_LINK6"/>
      <w:r w:rsidR="004A18E0" w:rsidRPr="002F2828">
        <w:t>e set</w:t>
      </w:r>
    </w:p>
    <w:p w:rsidR="004A18E0" w:rsidRPr="002F2828" w:rsidRDefault="00CF76F1" w:rsidP="008847B3">
      <w:pPr>
        <w:pStyle w:val="HeadingH5ClausesubtextL1"/>
      </w:pPr>
      <w:r w:rsidRPr="002F2828">
        <w:t xml:space="preserve">Explain how and why </w:t>
      </w:r>
      <w:r w:rsidR="00394849" w:rsidRPr="002F2828">
        <w:rPr>
          <w:b/>
        </w:rPr>
        <w:t>prices</w:t>
      </w:r>
      <w:r w:rsidRPr="002F2828">
        <w:rPr>
          <w:b/>
        </w:rPr>
        <w:t xml:space="preserve"> </w:t>
      </w:r>
      <w:r w:rsidRPr="002F2828">
        <w:t xml:space="preserve">for each </w:t>
      </w:r>
      <w:r w:rsidR="004A18E0" w:rsidRPr="002F2828">
        <w:rPr>
          <w:b/>
        </w:rPr>
        <w:t>consumer group</w:t>
      </w:r>
      <w:r w:rsidRPr="002F2828">
        <w:rPr>
          <w:b/>
        </w:rPr>
        <w:t xml:space="preserve"> </w:t>
      </w:r>
      <w:r w:rsidR="00F8278A" w:rsidRPr="002F2828">
        <w:t>are expected to</w:t>
      </w:r>
      <w:r w:rsidR="00F8278A" w:rsidRPr="002F2828" w:rsidDel="00F8278A">
        <w:t xml:space="preserve"> </w:t>
      </w:r>
      <w:r w:rsidRPr="002F2828">
        <w:t xml:space="preserve">change as a result of the </w:t>
      </w:r>
      <w:r w:rsidRPr="002F2828">
        <w:rPr>
          <w:b/>
        </w:rPr>
        <w:t>pricing strategy</w:t>
      </w:r>
    </w:p>
    <w:p w:rsidR="004A18E0" w:rsidRPr="002F2828" w:rsidRDefault="001C11A3" w:rsidP="008847B3">
      <w:pPr>
        <w:pStyle w:val="HeadingH5ClausesubtextL1"/>
      </w:pPr>
      <w:r w:rsidRPr="002F2828">
        <w:t>I</w:t>
      </w:r>
      <w:r w:rsidR="004A18E0" w:rsidRPr="002F2828">
        <w:t xml:space="preserve">f the </w:t>
      </w:r>
      <w:r w:rsidR="004A18E0" w:rsidRPr="002F2828">
        <w:rPr>
          <w:b/>
        </w:rPr>
        <w:t>pricing strategy</w:t>
      </w:r>
      <w:r w:rsidR="004A18E0" w:rsidRPr="002F2828">
        <w:t xml:space="preserve"> has changed from the preceding </w:t>
      </w:r>
      <w:r w:rsidR="004A18E0" w:rsidRPr="002F2828">
        <w:rPr>
          <w:b/>
        </w:rPr>
        <w:t>disclosure year</w:t>
      </w:r>
      <w:r w:rsidR="004A18E0" w:rsidRPr="002F2828">
        <w:t xml:space="preserve">, identify the changes and </w:t>
      </w:r>
      <w:r w:rsidR="00CF76F1" w:rsidRPr="002F2828">
        <w:t xml:space="preserve">explain </w:t>
      </w:r>
      <w:r w:rsidR="004A18E0" w:rsidRPr="002F2828">
        <w:t>the reasons for the changes.</w:t>
      </w:r>
    </w:p>
    <w:p w:rsidR="00CF76F1" w:rsidRPr="002F2828" w:rsidRDefault="004A18E0" w:rsidP="008847B3">
      <w:pPr>
        <w:pStyle w:val="HeadingH4Clausetext"/>
      </w:pPr>
      <w:bookmarkStart w:id="71" w:name="_Ref329116106"/>
      <w:bookmarkEnd w:id="70"/>
      <w:r w:rsidRPr="002F2828">
        <w:t xml:space="preserve">Every disclosure under clause </w:t>
      </w:r>
      <w:r w:rsidR="00004445">
        <w:fldChar w:fldCharType="begin"/>
      </w:r>
      <w:r w:rsidR="00784603">
        <w:instrText xml:space="preserve"> REF _Ref329115818 \r \h </w:instrText>
      </w:r>
      <w:r w:rsidR="00004445">
        <w:fldChar w:fldCharType="separate"/>
      </w:r>
      <w:r w:rsidR="00A84D28">
        <w:t>2.4.1</w:t>
      </w:r>
      <w:r w:rsidR="00004445">
        <w:fldChar w:fldCharType="end"/>
      </w:r>
      <w:r w:rsidR="00A35993" w:rsidRPr="002F2828">
        <w:t xml:space="preserve"> </w:t>
      </w:r>
      <w:r w:rsidR="00784603">
        <w:t>above</w:t>
      </w:r>
      <w:r w:rsidR="00A35993" w:rsidRPr="002F2828">
        <w:t xml:space="preserve"> </w:t>
      </w:r>
      <w:r w:rsidRPr="002F2828">
        <w:t>must</w:t>
      </w:r>
      <w:r w:rsidR="00CF76F1" w:rsidRPr="002F2828">
        <w:t>:</w:t>
      </w:r>
      <w:bookmarkEnd w:id="71"/>
    </w:p>
    <w:p w:rsidR="00F56F86" w:rsidRDefault="00CF76F1" w:rsidP="00805A3D">
      <w:pPr>
        <w:pStyle w:val="HeadingH5ClausesubtextL1"/>
      </w:pPr>
      <w:r w:rsidRPr="002F2828">
        <w:t>D</w:t>
      </w:r>
      <w:r w:rsidR="004A18E0" w:rsidRPr="002F2828">
        <w:t xml:space="preserve">escribe the approach to setting </w:t>
      </w:r>
      <w:r w:rsidR="004A18E0" w:rsidRPr="002F2828">
        <w:rPr>
          <w:b/>
        </w:rPr>
        <w:t>prices</w:t>
      </w:r>
      <w:r w:rsidR="004A18E0" w:rsidRPr="002F2828">
        <w:t xml:space="preserve"> for </w:t>
      </w:r>
      <w:r w:rsidR="004A18E0" w:rsidRPr="002F2828">
        <w:rPr>
          <w:b/>
        </w:rPr>
        <w:t>non-standard contracts</w:t>
      </w:r>
      <w:r w:rsidR="004A18E0" w:rsidRPr="002F2828">
        <w:t>, including:</w:t>
      </w:r>
    </w:p>
    <w:p w:rsidR="004A18E0" w:rsidRPr="002F2828" w:rsidRDefault="00CF76F1" w:rsidP="008847B3">
      <w:pPr>
        <w:pStyle w:val="HeadingH6ClausesubtextL2"/>
      </w:pPr>
      <w:r w:rsidRPr="002F2828">
        <w:t>t</w:t>
      </w:r>
      <w:r w:rsidR="004A18E0" w:rsidRPr="002F2828">
        <w:t xml:space="preserve">he extent of </w:t>
      </w:r>
      <w:r w:rsidR="004A18E0" w:rsidRPr="002F2828">
        <w:rPr>
          <w:b/>
        </w:rPr>
        <w:t>non-standard contract</w:t>
      </w:r>
      <w:r w:rsidR="004A18E0" w:rsidRPr="002F2828">
        <w:t xml:space="preserve"> use, including the number of </w:t>
      </w:r>
      <w:proofErr w:type="spellStart"/>
      <w:r w:rsidR="004A18E0" w:rsidRPr="002F2828">
        <w:t>ICPs</w:t>
      </w:r>
      <w:proofErr w:type="spellEnd"/>
      <w:r w:rsidR="004A18E0" w:rsidRPr="002F2828">
        <w:t xml:space="preserve"> represented by </w:t>
      </w:r>
      <w:r w:rsidR="004A18E0" w:rsidRPr="002F2828">
        <w:rPr>
          <w:b/>
        </w:rPr>
        <w:t>non-standard contracts</w:t>
      </w:r>
      <w:r w:rsidR="004A18E0" w:rsidRPr="002F2828">
        <w:t xml:space="preserve"> and the value of </w:t>
      </w:r>
      <w:r w:rsidR="004A18E0" w:rsidRPr="002F2828">
        <w:rPr>
          <w:b/>
        </w:rPr>
        <w:t>target revenue</w:t>
      </w:r>
      <w:r w:rsidR="004A18E0" w:rsidRPr="002F2828">
        <w:t xml:space="preserve"> anticipated from </w:t>
      </w:r>
      <w:r w:rsidR="004A18E0" w:rsidRPr="002F2828">
        <w:rPr>
          <w:b/>
        </w:rPr>
        <w:t>non-standard contracts</w:t>
      </w:r>
    </w:p>
    <w:p w:rsidR="004A18E0" w:rsidRPr="002F2828" w:rsidRDefault="00CF76F1" w:rsidP="004C2F02">
      <w:pPr>
        <w:pStyle w:val="HeadingH6ClausesubtextL2"/>
      </w:pPr>
      <w:r w:rsidRPr="002F2828">
        <w:t>h</w:t>
      </w:r>
      <w:r w:rsidR="004A18E0" w:rsidRPr="002F2828">
        <w:t xml:space="preserve">ow the </w:t>
      </w:r>
      <w:r w:rsidR="00854AA6" w:rsidRPr="002F2828">
        <w:rPr>
          <w:b/>
        </w:rPr>
        <w:t>GDB</w:t>
      </w:r>
      <w:r w:rsidR="004A18E0" w:rsidRPr="002F2828">
        <w:t xml:space="preserve"> determines whether to use a </w:t>
      </w:r>
      <w:r w:rsidR="004A18E0" w:rsidRPr="002F2828">
        <w:rPr>
          <w:b/>
        </w:rPr>
        <w:t>non-standard contract</w:t>
      </w:r>
      <w:r w:rsidR="004A18E0" w:rsidRPr="002F2828">
        <w:t>, including any criteria used</w:t>
      </w:r>
    </w:p>
    <w:p w:rsidR="004A18E0" w:rsidRPr="002F2828" w:rsidRDefault="00CF76F1" w:rsidP="004C2F02">
      <w:pPr>
        <w:pStyle w:val="HeadingH6ClausesubtextL2"/>
      </w:pPr>
      <w:r w:rsidRPr="002F2828">
        <w:t>a</w:t>
      </w:r>
      <w:r w:rsidR="004A18E0" w:rsidRPr="002F2828">
        <w:t xml:space="preserve">ny specific criteria or methodology used for </w:t>
      </w:r>
      <w:r w:rsidR="00394849" w:rsidRPr="002F2828">
        <w:t xml:space="preserve">determining </w:t>
      </w:r>
      <w:r w:rsidR="00394849" w:rsidRPr="002F2828">
        <w:rPr>
          <w:b/>
        </w:rPr>
        <w:t xml:space="preserve">prices </w:t>
      </w:r>
      <w:r w:rsidR="00394849" w:rsidRPr="002F2828">
        <w:t xml:space="preserve">for </w:t>
      </w:r>
      <w:r w:rsidR="004A18E0" w:rsidRPr="002F2828">
        <w:rPr>
          <w:b/>
        </w:rPr>
        <w:t>non-standard contracts</w:t>
      </w:r>
      <w:r w:rsidR="004A18E0" w:rsidRPr="002F2828">
        <w:t xml:space="preserve">, and how that criteria or methodology is consistent with the </w:t>
      </w:r>
      <w:r w:rsidR="004A18E0" w:rsidRPr="002F2828">
        <w:rPr>
          <w:b/>
        </w:rPr>
        <w:t>pricing principles</w:t>
      </w:r>
    </w:p>
    <w:p w:rsidR="004A18E0" w:rsidRPr="002F2828" w:rsidRDefault="00CF76F1" w:rsidP="004C2F02">
      <w:pPr>
        <w:pStyle w:val="HeadingH5ClausesubtextL1"/>
      </w:pPr>
      <w:r w:rsidRPr="002F2828">
        <w:t>Describe t</w:t>
      </w:r>
      <w:r w:rsidR="004A18E0" w:rsidRPr="002F2828">
        <w:t xml:space="preserve">he </w:t>
      </w:r>
      <w:proofErr w:type="spellStart"/>
      <w:r w:rsidR="00854AA6" w:rsidRPr="002F2828">
        <w:rPr>
          <w:b/>
        </w:rPr>
        <w:t>GDB</w:t>
      </w:r>
      <w:r w:rsidR="004A18E0" w:rsidRPr="002F2828">
        <w:t>’s</w:t>
      </w:r>
      <w:proofErr w:type="spellEnd"/>
      <w:r w:rsidR="004A18E0" w:rsidRPr="002F2828">
        <w:t xml:space="preserve"> obligations and responsibilities (if any) to </w:t>
      </w:r>
      <w:r w:rsidR="008C1A91" w:rsidRPr="002F2828">
        <w:t xml:space="preserve">customers </w:t>
      </w:r>
      <w:r w:rsidR="004A18E0" w:rsidRPr="002F2828">
        <w:t xml:space="preserve">on </w:t>
      </w:r>
      <w:r w:rsidR="004A18E0" w:rsidRPr="002F2828">
        <w:rPr>
          <w:b/>
        </w:rPr>
        <w:t>non-standard contracts</w:t>
      </w:r>
      <w:r w:rsidR="004A18E0" w:rsidRPr="002F2828">
        <w:t xml:space="preserve"> in the event that the supply of </w:t>
      </w:r>
      <w:r w:rsidRPr="002F2828">
        <w:rPr>
          <w:b/>
        </w:rPr>
        <w:t xml:space="preserve">gas pipeline </w:t>
      </w:r>
      <w:r w:rsidR="004A18E0" w:rsidRPr="002F2828">
        <w:rPr>
          <w:b/>
        </w:rPr>
        <w:t>services</w:t>
      </w:r>
      <w:r w:rsidR="004A18E0" w:rsidRPr="002F2828">
        <w:t xml:space="preserve"> to </w:t>
      </w:r>
      <w:r w:rsidR="008C1A91" w:rsidRPr="002F2828">
        <w:t>the customer</w:t>
      </w:r>
      <w:r w:rsidR="004A18E0" w:rsidRPr="002F2828">
        <w:t xml:space="preserve"> is inter</w:t>
      </w:r>
      <w:r w:rsidR="003504F6" w:rsidRPr="002F2828">
        <w:t>rupted. Disclosure must explain:</w:t>
      </w:r>
    </w:p>
    <w:p w:rsidR="004A18E0" w:rsidRPr="002F2828" w:rsidRDefault="004A18E0" w:rsidP="004C2F02">
      <w:pPr>
        <w:pStyle w:val="HeadingH6ClausesubtextL2"/>
      </w:pPr>
      <w:r w:rsidRPr="002F2828">
        <w:t xml:space="preserve">the extent of the differences in these terms between </w:t>
      </w:r>
      <w:r w:rsidRPr="002F2828">
        <w:rPr>
          <w:b/>
        </w:rPr>
        <w:t>standard</w:t>
      </w:r>
      <w:r w:rsidR="005C6950">
        <w:rPr>
          <w:b/>
        </w:rPr>
        <w:t xml:space="preserve"> contracts</w:t>
      </w:r>
      <w:r w:rsidR="009764C2" w:rsidRPr="009764C2">
        <w:t xml:space="preserve"> </w:t>
      </w:r>
      <w:r w:rsidRPr="002F2828">
        <w:t xml:space="preserve">and </w:t>
      </w:r>
      <w:r w:rsidRPr="002F2828">
        <w:rPr>
          <w:b/>
        </w:rPr>
        <w:t>non-standard contracts</w:t>
      </w:r>
    </w:p>
    <w:p w:rsidR="00594AAC" w:rsidRPr="002F2828" w:rsidRDefault="004A18E0" w:rsidP="00960479">
      <w:pPr>
        <w:pStyle w:val="HeadingH6ClausesubtextL2"/>
      </w:pPr>
      <w:proofErr w:type="gramStart"/>
      <w:r w:rsidRPr="002F2828">
        <w:t>any</w:t>
      </w:r>
      <w:proofErr w:type="gramEnd"/>
      <w:r w:rsidRPr="002F2828">
        <w:t xml:space="preserve"> implications of this approach for </w:t>
      </w:r>
      <w:r w:rsidR="00394849" w:rsidRPr="002F2828">
        <w:t xml:space="preserve">determining </w:t>
      </w:r>
      <w:r w:rsidR="00394849" w:rsidRPr="002F2828">
        <w:rPr>
          <w:b/>
        </w:rPr>
        <w:t xml:space="preserve">prices </w:t>
      </w:r>
      <w:r w:rsidR="00394849" w:rsidRPr="002F2828">
        <w:t xml:space="preserve">for </w:t>
      </w:r>
      <w:r w:rsidRPr="002F2828">
        <w:rPr>
          <w:b/>
        </w:rPr>
        <w:t>non-standard contracts</w:t>
      </w:r>
      <w:r w:rsidR="009764C2" w:rsidRPr="009764C2">
        <w:t>.</w:t>
      </w:r>
    </w:p>
    <w:p w:rsidR="00F56F86" w:rsidRDefault="004A18E0">
      <w:pPr>
        <w:pStyle w:val="BodyText"/>
        <w:ind w:left="709" w:hanging="709"/>
      </w:pPr>
      <w:bookmarkStart w:id="72" w:name="r1999_082_s_26"/>
      <w:bookmarkStart w:id="73" w:name="r1999_082_s_26_ss_1"/>
      <w:bookmarkStart w:id="74" w:name="r1999_082_s_26_ss_2"/>
      <w:bookmarkStart w:id="75" w:name="r1999_082_s_27"/>
      <w:bookmarkStart w:id="76" w:name="r1999_082_s_27_ss_1"/>
      <w:bookmarkStart w:id="77" w:name="r1999_082_s_27_ss_2"/>
      <w:bookmarkStart w:id="78" w:name="r1999_082_s_28"/>
      <w:bookmarkStart w:id="79" w:name="r1999_082_s_28_ss_1"/>
      <w:bookmarkStart w:id="80" w:name="r1999_082_s_28_ss_2"/>
      <w:bookmarkStart w:id="81" w:name="r1999_082_s_29"/>
      <w:bookmarkStart w:id="82" w:name="r1999_082_s_29_ss_1"/>
      <w:bookmarkStart w:id="83" w:name="r1999_082_s_29_ss_2"/>
      <w:bookmarkStart w:id="84" w:name="r1999_082_s_11_ss_1"/>
      <w:bookmarkStart w:id="85" w:name="r1999_082_s_11_ss_2"/>
      <w:bookmarkStart w:id="86" w:name="r1999_082_s_11_ss_3"/>
      <w:bookmarkStart w:id="87" w:name="r1999_082_s_12"/>
      <w:bookmarkStart w:id="88" w:name="r1999_082_s_12_ss_1"/>
      <w:bookmarkStart w:id="89" w:name="r1999_082_s_12_ss_3"/>
      <w:bookmarkStart w:id="90" w:name="r1999_082_s_13"/>
      <w:bookmarkStart w:id="91" w:name="r1999_082_s_13_ss_1"/>
      <w:bookmarkStart w:id="92" w:name="r1999_082_s_13_ss_2"/>
      <w:bookmarkStart w:id="93" w:name="r1999_082_s_14"/>
      <w:bookmarkStart w:id="94" w:name="r1999_082_s_21_ss_1"/>
      <w:bookmarkStart w:id="95" w:name="r1999_082_s_21_ss_2"/>
      <w:bookmarkStart w:id="96" w:name="r1999_082_sch_1_pt_4_s_1"/>
      <w:bookmarkStart w:id="97" w:name="r1999_082_sch_1_pt_4_s_2"/>
      <w:bookmarkEnd w:id="69"/>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r w:rsidRPr="006927B6">
        <w:rPr>
          <w:i/>
        </w:rPr>
        <w:t>Disclosure of capital contributions</w:t>
      </w:r>
    </w:p>
    <w:p w:rsidR="00CE5671" w:rsidRDefault="004A18E0">
      <w:pPr>
        <w:pStyle w:val="HeadingH4Clausetext"/>
      </w:pPr>
      <w:bookmarkStart w:id="98" w:name="_Ref329103367"/>
      <w:r w:rsidRPr="002F2828">
        <w:t xml:space="preserve">Every </w:t>
      </w:r>
      <w:r w:rsidR="00854AA6" w:rsidRPr="002F2828">
        <w:rPr>
          <w:b/>
        </w:rPr>
        <w:t>GDB</w:t>
      </w:r>
      <w:r w:rsidRPr="002F2828">
        <w:t xml:space="preserve"> must at all times </w:t>
      </w:r>
      <w:r w:rsidRPr="002F2828">
        <w:rPr>
          <w:b/>
        </w:rPr>
        <w:t>publicly disclose</w:t>
      </w:r>
      <w:r w:rsidRPr="002F2828">
        <w:t>:</w:t>
      </w:r>
      <w:bookmarkEnd w:id="98"/>
    </w:p>
    <w:p w:rsidR="004A18E0" w:rsidRPr="002F2828" w:rsidRDefault="001C11A3" w:rsidP="001A2C83">
      <w:pPr>
        <w:pStyle w:val="HeadingH5ClausesubtextL1"/>
      </w:pPr>
      <w:r w:rsidRPr="002F2828">
        <w:t>A</w:t>
      </w:r>
      <w:r w:rsidR="004A18E0" w:rsidRPr="002F2828">
        <w:t xml:space="preserve"> description of its current policy or methodology for determining </w:t>
      </w:r>
      <w:r w:rsidR="004A18E0" w:rsidRPr="002F2828">
        <w:rPr>
          <w:b/>
        </w:rPr>
        <w:t>capital contributions</w:t>
      </w:r>
      <w:r w:rsidR="004A18E0" w:rsidRPr="002F2828">
        <w:t>, including:</w:t>
      </w:r>
    </w:p>
    <w:p w:rsidR="004A18E0" w:rsidRPr="00A64D56" w:rsidRDefault="004A18E0" w:rsidP="001A2C83">
      <w:pPr>
        <w:pStyle w:val="HeadingH6ClausesubtextL2"/>
      </w:pPr>
      <w:proofErr w:type="gramStart"/>
      <w:r w:rsidRPr="002F2828">
        <w:t>the</w:t>
      </w:r>
      <w:proofErr w:type="gramEnd"/>
      <w:r w:rsidRPr="002F2828">
        <w:t xml:space="preserve"> circumstances (or how to determine the circumstances) under which the </w:t>
      </w:r>
      <w:r w:rsidR="00854AA6" w:rsidRPr="002F2828">
        <w:rPr>
          <w:b/>
        </w:rPr>
        <w:t>GDB</w:t>
      </w:r>
      <w:r w:rsidRPr="002F2828">
        <w:t xml:space="preserve"> may require a </w:t>
      </w:r>
      <w:r w:rsidRPr="002F2828">
        <w:rPr>
          <w:b/>
        </w:rPr>
        <w:t>capital contribution</w:t>
      </w:r>
      <w:r w:rsidRPr="002F2828">
        <w:t xml:space="preserve"> </w:t>
      </w:r>
      <w:r w:rsidRPr="00A64D56">
        <w:t xml:space="preserve">how the amount payable of any </w:t>
      </w:r>
      <w:r w:rsidRPr="00A64D56">
        <w:rPr>
          <w:b/>
        </w:rPr>
        <w:t>capital contribution</w:t>
      </w:r>
      <w:r w:rsidRPr="00A64D56">
        <w:t xml:space="preserve"> is </w:t>
      </w:r>
      <w:r w:rsidR="009764C2" w:rsidRPr="009764C2">
        <w:t>determined</w:t>
      </w:r>
      <w:r w:rsidRPr="00A64D56">
        <w:t xml:space="preserve">. Disclosure </w:t>
      </w:r>
      <w:r w:rsidR="009764C2" w:rsidRPr="009764C2">
        <w:t>must include a description</w:t>
      </w:r>
      <w:r w:rsidRPr="00A64D56">
        <w:t xml:space="preserve"> of how the costs of any</w:t>
      </w:r>
      <w:r w:rsidR="009764C2" w:rsidRPr="009764C2">
        <w:rPr>
          <w:b/>
        </w:rPr>
        <w:t xml:space="preserve"> </w:t>
      </w:r>
      <w:r w:rsidRPr="00A64D56">
        <w:rPr>
          <w:b/>
        </w:rPr>
        <w:t>shared assets</w:t>
      </w:r>
      <w:r w:rsidRPr="00A64D56">
        <w:t xml:space="preserve"> </w:t>
      </w:r>
      <w:r w:rsidR="009764C2" w:rsidRPr="009764C2">
        <w:t>(if applicable) and a</w:t>
      </w:r>
      <w:r w:rsidRPr="00A64D56">
        <w:t xml:space="preserve">ny </w:t>
      </w:r>
      <w:r w:rsidRPr="00A64D56">
        <w:rPr>
          <w:b/>
        </w:rPr>
        <w:t>sole use assets</w:t>
      </w:r>
      <w:r w:rsidRPr="00A64D56">
        <w:t xml:space="preserve"> that are included in the amount of the </w:t>
      </w:r>
      <w:r w:rsidRPr="00A64D56">
        <w:rPr>
          <w:b/>
        </w:rPr>
        <w:t>capital contribution</w:t>
      </w:r>
      <w:r w:rsidR="009764C2" w:rsidRPr="009764C2">
        <w:t>, are calculated</w:t>
      </w:r>
    </w:p>
    <w:p w:rsidR="004A18E0" w:rsidRPr="002F2828" w:rsidRDefault="00CF76F1" w:rsidP="001A2C83">
      <w:pPr>
        <w:pStyle w:val="HeadingH6ClausesubtextL2"/>
      </w:pPr>
      <w:r w:rsidRPr="00A64D56">
        <w:t xml:space="preserve">the extent to which </w:t>
      </w:r>
      <w:r w:rsidR="009764C2" w:rsidRPr="009764C2">
        <w:t>any policy or methodology</w:t>
      </w:r>
      <w:r w:rsidR="004A18E0" w:rsidRPr="00A64D56">
        <w:t xml:space="preserve"> applied is consistent with </w:t>
      </w:r>
      <w:r w:rsidR="00A64D56">
        <w:t xml:space="preserve">the relevant </w:t>
      </w:r>
      <w:r w:rsidR="004A18E0" w:rsidRPr="00A64D56">
        <w:rPr>
          <w:b/>
        </w:rPr>
        <w:t>prici</w:t>
      </w:r>
      <w:r w:rsidR="004A18E0" w:rsidRPr="002F2828">
        <w:rPr>
          <w:b/>
        </w:rPr>
        <w:t>ng principles</w:t>
      </w:r>
    </w:p>
    <w:p w:rsidR="004A18E0" w:rsidRPr="002F2828" w:rsidRDefault="001C11A3" w:rsidP="001A2C83">
      <w:pPr>
        <w:pStyle w:val="HeadingH5ClausesubtextL1"/>
      </w:pPr>
      <w:r w:rsidRPr="002F2828">
        <w:t>A</w:t>
      </w:r>
      <w:r w:rsidR="004A18E0" w:rsidRPr="002F2828">
        <w:t xml:space="preserve"> statement of whether a </w:t>
      </w:r>
      <w:r w:rsidR="004A18E0" w:rsidRPr="002F2828">
        <w:rPr>
          <w:b/>
        </w:rPr>
        <w:t>consumer</w:t>
      </w:r>
      <w:r w:rsidR="004A18E0" w:rsidRPr="002F2828">
        <w:t xml:space="preserve"> </w:t>
      </w:r>
      <w:r w:rsidR="00937914">
        <w:t xml:space="preserve">or any other </w:t>
      </w:r>
      <w:r w:rsidR="009764C2" w:rsidRPr="009764C2">
        <w:rPr>
          <w:b/>
        </w:rPr>
        <w:t>person</w:t>
      </w:r>
      <w:r w:rsidR="00937914">
        <w:t xml:space="preserve"> </w:t>
      </w:r>
      <w:r w:rsidR="004A18E0" w:rsidRPr="002F2828">
        <w:t xml:space="preserve">can use an independent contractor to undertake some or all of the work covered by the </w:t>
      </w:r>
      <w:r w:rsidR="004A18E0" w:rsidRPr="002F2828">
        <w:rPr>
          <w:b/>
        </w:rPr>
        <w:t>capital contribution</w:t>
      </w:r>
      <w:r w:rsidR="004A18E0" w:rsidRPr="002F2828">
        <w:t xml:space="preserve"> sought by the </w:t>
      </w:r>
      <w:r w:rsidR="00854AA6" w:rsidRPr="002F2828">
        <w:rPr>
          <w:b/>
        </w:rPr>
        <w:t>GDB</w:t>
      </w:r>
      <w:r w:rsidR="00CF76F1" w:rsidRPr="002F2828">
        <w:t>,</w:t>
      </w:r>
      <w:r w:rsidR="004A18E0" w:rsidRPr="002F2828">
        <w:rPr>
          <w:b/>
        </w:rPr>
        <w:t xml:space="preserve"> </w:t>
      </w:r>
      <w:r w:rsidR="004A18E0" w:rsidRPr="002F2828">
        <w:t xml:space="preserve">as an alternative to paying the full amount of the </w:t>
      </w:r>
      <w:r w:rsidR="004A18E0" w:rsidRPr="002F2828">
        <w:rPr>
          <w:b/>
        </w:rPr>
        <w:t>capital contribution</w:t>
      </w:r>
      <w:r w:rsidR="004A18E0" w:rsidRPr="002F2828">
        <w:t xml:space="preserve"> to the </w:t>
      </w:r>
      <w:r w:rsidR="00854AA6" w:rsidRPr="002F2828">
        <w:rPr>
          <w:b/>
        </w:rPr>
        <w:t>GDB</w:t>
      </w:r>
    </w:p>
    <w:p w:rsidR="004A18E0" w:rsidRPr="002F2828" w:rsidRDefault="001C11A3" w:rsidP="001A2C83">
      <w:pPr>
        <w:pStyle w:val="HeadingH5ClausesubtextL1"/>
      </w:pPr>
      <w:r w:rsidRPr="002F2828">
        <w:t>I</w:t>
      </w:r>
      <w:r w:rsidR="004A18E0" w:rsidRPr="002F2828">
        <w:t xml:space="preserve">f the </w:t>
      </w:r>
      <w:r w:rsidR="00854AA6" w:rsidRPr="002F2828">
        <w:rPr>
          <w:b/>
        </w:rPr>
        <w:t>GDB</w:t>
      </w:r>
      <w:r w:rsidR="004A18E0" w:rsidRPr="002F2828">
        <w:t xml:space="preserve"> has a standard schedule of </w:t>
      </w:r>
      <w:r w:rsidR="00CF76F1" w:rsidRPr="002F2828">
        <w:rPr>
          <w:b/>
        </w:rPr>
        <w:t xml:space="preserve">capital contributions </w:t>
      </w:r>
      <w:r w:rsidR="004A18E0" w:rsidRPr="002F2828">
        <w:t>charges, the current version of that standard schedule.</w:t>
      </w:r>
    </w:p>
    <w:p w:rsidR="004A18E0" w:rsidRDefault="004A18E0" w:rsidP="001A2C83">
      <w:pPr>
        <w:pStyle w:val="HeadingH4Clausetext"/>
      </w:pPr>
      <w:bookmarkStart w:id="99" w:name="_Ref329103392"/>
      <w:r w:rsidRPr="002F2828">
        <w:t xml:space="preserve">When a </w:t>
      </w:r>
      <w:r w:rsidR="00394849" w:rsidRPr="002F2828">
        <w:rPr>
          <w:b/>
        </w:rPr>
        <w:t>consumer</w:t>
      </w:r>
      <w:r w:rsidR="00394849" w:rsidRPr="002F2828">
        <w:t xml:space="preserve"> </w:t>
      </w:r>
      <w:r w:rsidR="005F7D25">
        <w:t xml:space="preserve">or other </w:t>
      </w:r>
      <w:r w:rsidR="00D23EA6" w:rsidRPr="00983224">
        <w:rPr>
          <w:b/>
        </w:rPr>
        <w:t>person</w:t>
      </w:r>
      <w:r w:rsidR="00D23EA6">
        <w:rPr>
          <w:b/>
        </w:rPr>
        <w:t xml:space="preserve"> </w:t>
      </w:r>
      <w:r w:rsidRPr="002F2828">
        <w:t xml:space="preserve">from whom </w:t>
      </w:r>
      <w:r w:rsidR="00D23EA6">
        <w:t xml:space="preserve">the </w:t>
      </w:r>
      <w:r w:rsidR="009764C2" w:rsidRPr="009764C2">
        <w:rPr>
          <w:b/>
        </w:rPr>
        <w:t>GDB</w:t>
      </w:r>
      <w:r w:rsidR="00D23EA6">
        <w:t xml:space="preserve"> seeks </w:t>
      </w:r>
      <w:r w:rsidRPr="002F2828">
        <w:t xml:space="preserve">a </w:t>
      </w:r>
      <w:r w:rsidRPr="002F2828">
        <w:rPr>
          <w:b/>
        </w:rPr>
        <w:t>capital contribution</w:t>
      </w:r>
      <w:r w:rsidRPr="002F2828">
        <w:t xml:space="preserve"> is sought queries the </w:t>
      </w:r>
      <w:r w:rsidRPr="002F2828">
        <w:rPr>
          <w:b/>
        </w:rPr>
        <w:t>capital contribution</w:t>
      </w:r>
      <w:r w:rsidRPr="002F2828">
        <w:t xml:space="preserve"> charge, (and when the charge is not covered in the schedule of standard </w:t>
      </w:r>
      <w:r w:rsidRPr="002F2828">
        <w:rPr>
          <w:b/>
        </w:rPr>
        <w:t>capital contribution</w:t>
      </w:r>
      <w:r w:rsidRPr="002F2828">
        <w:t xml:space="preserve"> charges, or no such schedule exists) a </w:t>
      </w:r>
      <w:r w:rsidR="00854AA6" w:rsidRPr="002F2828">
        <w:rPr>
          <w:b/>
        </w:rPr>
        <w:t>GDB</w:t>
      </w:r>
      <w:r w:rsidRPr="002F2828">
        <w:rPr>
          <w:b/>
        </w:rPr>
        <w:t xml:space="preserve"> </w:t>
      </w:r>
      <w:r w:rsidRPr="002F2828">
        <w:t>must</w:t>
      </w:r>
      <w:r w:rsidR="00DF27E4" w:rsidRPr="002F2828">
        <w:t>,</w:t>
      </w:r>
      <w:r w:rsidRPr="002F2828">
        <w:t xml:space="preserve"> </w:t>
      </w:r>
      <w:r w:rsidR="00DF27E4" w:rsidRPr="002F2828">
        <w:t xml:space="preserve">within 10 working days of receiving the request, </w:t>
      </w:r>
      <w:r w:rsidRPr="002F2828">
        <w:t xml:space="preserve">provide reasonable explanation to any reasonable query from that </w:t>
      </w:r>
      <w:r w:rsidR="00394849" w:rsidRPr="002F2828">
        <w:rPr>
          <w:b/>
        </w:rPr>
        <w:t>consumer</w:t>
      </w:r>
      <w:r w:rsidR="00394849" w:rsidRPr="002F2828">
        <w:t xml:space="preserve"> </w:t>
      </w:r>
      <w:r w:rsidR="005F7D25">
        <w:t xml:space="preserve">or other </w:t>
      </w:r>
      <w:r w:rsidR="009764C2" w:rsidRPr="009764C2">
        <w:rPr>
          <w:b/>
        </w:rPr>
        <w:t>person</w:t>
      </w:r>
      <w:r w:rsidR="00D23EA6">
        <w:t xml:space="preserve"> </w:t>
      </w:r>
      <w:r w:rsidRPr="002F2828">
        <w:t>of the components of that charge and how these were determined</w:t>
      </w:r>
      <w:r w:rsidR="00DF27E4" w:rsidRPr="002F2828">
        <w:t>.</w:t>
      </w:r>
      <w:bookmarkEnd w:id="99"/>
    </w:p>
    <w:p w:rsidR="003F54D3" w:rsidRDefault="003F54D3" w:rsidP="003F54D3">
      <w:pPr>
        <w:pStyle w:val="HeadingH4Clausetext"/>
        <w:tabs>
          <w:tab w:val="clear" w:pos="0"/>
        </w:tabs>
      </w:pPr>
      <w:r>
        <w:t xml:space="preserve">The requirements in </w:t>
      </w:r>
      <w:r w:rsidRPr="004A7591">
        <w:t>clauses</w:t>
      </w:r>
      <w:r>
        <w:t xml:space="preserve"> </w:t>
      </w:r>
      <w:r w:rsidR="00004445">
        <w:fldChar w:fldCharType="begin"/>
      </w:r>
      <w:r>
        <w:instrText xml:space="preserve"> REF _Ref329103367 \r \h </w:instrText>
      </w:r>
      <w:r w:rsidR="00004445">
        <w:fldChar w:fldCharType="separate"/>
      </w:r>
      <w:r w:rsidR="00A84D28">
        <w:t>2.4.6</w:t>
      </w:r>
      <w:r w:rsidR="00004445">
        <w:fldChar w:fldCharType="end"/>
      </w:r>
      <w:r w:rsidRPr="004A7591">
        <w:t xml:space="preserve"> and </w:t>
      </w:r>
      <w:r w:rsidR="00004445">
        <w:fldChar w:fldCharType="begin"/>
      </w:r>
      <w:r>
        <w:instrText xml:space="preserve"> REF _Ref329103392 \r \h </w:instrText>
      </w:r>
      <w:r w:rsidR="00004445">
        <w:fldChar w:fldCharType="separate"/>
      </w:r>
      <w:r w:rsidR="00A84D28">
        <w:t>2.4.7</w:t>
      </w:r>
      <w:r w:rsidR="00004445">
        <w:fldChar w:fldCharType="end"/>
      </w:r>
      <w:r>
        <w:t xml:space="preserve"> apply if:</w:t>
      </w:r>
    </w:p>
    <w:p w:rsidR="003F54D3" w:rsidRDefault="003F54D3" w:rsidP="003F54D3">
      <w:pPr>
        <w:pStyle w:val="HeadingH5ClausesubtextL1"/>
        <w:tabs>
          <w:tab w:val="num" w:pos="-31680"/>
        </w:tabs>
      </w:pPr>
      <w:r>
        <w:t xml:space="preserve">the </w:t>
      </w:r>
      <w:r w:rsidR="005F7D25">
        <w:rPr>
          <w:b/>
        </w:rPr>
        <w:t>G</w:t>
      </w:r>
      <w:r w:rsidRPr="00066507">
        <w:rPr>
          <w:b/>
        </w:rPr>
        <w:t>DB</w:t>
      </w:r>
      <w:r>
        <w:t xml:space="preserve"> determines the amount of </w:t>
      </w:r>
      <w:r w:rsidRPr="00066507">
        <w:rPr>
          <w:b/>
        </w:rPr>
        <w:t>capital contributions</w:t>
      </w:r>
      <w:r>
        <w:t xml:space="preserve"> </w:t>
      </w:r>
    </w:p>
    <w:p w:rsidR="00F56F86" w:rsidRDefault="003F54D3">
      <w:pPr>
        <w:pStyle w:val="HeadingH5ClausesubtextL1"/>
        <w:tabs>
          <w:tab w:val="num" w:pos="-31680"/>
        </w:tabs>
      </w:pPr>
      <w:proofErr w:type="gramStart"/>
      <w:r>
        <w:t>the</w:t>
      </w:r>
      <w:proofErr w:type="gramEnd"/>
      <w:r>
        <w:t xml:space="preserve"> </w:t>
      </w:r>
      <w:r w:rsidR="005F7D25">
        <w:rPr>
          <w:b/>
        </w:rPr>
        <w:t>G</w:t>
      </w:r>
      <w:r>
        <w:rPr>
          <w:b/>
        </w:rPr>
        <w:t>DB</w:t>
      </w:r>
      <w:r w:rsidRPr="00E75842">
        <w:t xml:space="preserve"> has or can obtain </w:t>
      </w:r>
      <w:r>
        <w:t xml:space="preserve">information about the policy or methodology used by another </w:t>
      </w:r>
      <w:r>
        <w:rPr>
          <w:b/>
        </w:rPr>
        <w:t xml:space="preserve">person </w:t>
      </w:r>
      <w:r>
        <w:t xml:space="preserve">to determine </w:t>
      </w:r>
      <w:r>
        <w:rPr>
          <w:b/>
        </w:rPr>
        <w:t xml:space="preserve">capital contributions </w:t>
      </w:r>
      <w:r>
        <w:t xml:space="preserve">where the </w:t>
      </w:r>
      <w:r w:rsidR="005F7D25">
        <w:rPr>
          <w:b/>
        </w:rPr>
        <w:t>G</w:t>
      </w:r>
      <w:r>
        <w:rPr>
          <w:b/>
        </w:rPr>
        <w:t xml:space="preserve">DB </w:t>
      </w:r>
      <w:r w:rsidRPr="009179AB">
        <w:t xml:space="preserve">receives </w:t>
      </w:r>
      <w:r>
        <w:t>those</w:t>
      </w:r>
      <w:r w:rsidRPr="009179AB">
        <w:t xml:space="preserve"> </w:t>
      </w:r>
      <w:r>
        <w:rPr>
          <w:b/>
        </w:rPr>
        <w:t>capital contributions</w:t>
      </w:r>
      <w:r w:rsidRPr="009179AB">
        <w:t>.</w:t>
      </w:r>
    </w:p>
    <w:p w:rsidR="00F56F86" w:rsidRDefault="004A18E0">
      <w:pPr>
        <w:pStyle w:val="BodyText"/>
        <w:keepNext/>
      </w:pPr>
      <w:r w:rsidRPr="006927B6">
        <w:rPr>
          <w:i/>
        </w:rPr>
        <w:t>Disclosure of prescribed terms and conditions of contracts</w:t>
      </w:r>
    </w:p>
    <w:p w:rsidR="004A18E0" w:rsidRPr="002F2828" w:rsidRDefault="00D23EA6" w:rsidP="001A2C83">
      <w:pPr>
        <w:pStyle w:val="HeadingH4Clausetext"/>
      </w:pPr>
      <w:bookmarkStart w:id="100" w:name="_Ref329166270"/>
      <w:r>
        <w:t xml:space="preserve">Subject to clause </w:t>
      </w:r>
      <w:r w:rsidR="00004445">
        <w:fldChar w:fldCharType="begin"/>
      </w:r>
      <w:r w:rsidR="005F7D25">
        <w:instrText xml:space="preserve"> REF _Ref329113036 \r \h </w:instrText>
      </w:r>
      <w:r w:rsidR="00004445">
        <w:fldChar w:fldCharType="separate"/>
      </w:r>
      <w:r w:rsidR="00A84D28">
        <w:t>2.4.15</w:t>
      </w:r>
      <w:r w:rsidR="00004445">
        <w:fldChar w:fldCharType="end"/>
      </w:r>
      <w:r>
        <w:t>, e</w:t>
      </w:r>
      <w:r w:rsidR="004A18E0" w:rsidRPr="002F2828">
        <w:t xml:space="preserve">very </w:t>
      </w:r>
      <w:r w:rsidR="00854AA6" w:rsidRPr="002F2828">
        <w:rPr>
          <w:b/>
        </w:rPr>
        <w:t>GDB</w:t>
      </w:r>
      <w:r w:rsidR="004A18E0" w:rsidRPr="002F2828">
        <w:t xml:space="preserve"> must, not later than </w:t>
      </w:r>
      <w:r w:rsidR="001C46CD">
        <w:t>20 working days</w:t>
      </w:r>
      <w:r w:rsidR="004A18E0" w:rsidRPr="002F2828">
        <w:t xml:space="preserve"> after entering into a </w:t>
      </w:r>
      <w:r w:rsidR="004A18E0" w:rsidRPr="002F2828">
        <w:rPr>
          <w:b/>
        </w:rPr>
        <w:t>prescribed contract</w:t>
      </w:r>
      <w:r w:rsidR="004A18E0" w:rsidRPr="002F2828">
        <w:t xml:space="preserve"> that is a </w:t>
      </w:r>
      <w:r w:rsidR="004A18E0" w:rsidRPr="002F2828">
        <w:rPr>
          <w:b/>
        </w:rPr>
        <w:t>standard contract</w:t>
      </w:r>
      <w:r w:rsidR="004A18E0" w:rsidRPr="002F2828">
        <w:t xml:space="preserve">, </w:t>
      </w:r>
      <w:r w:rsidR="004A18E0" w:rsidRPr="002F2828">
        <w:rPr>
          <w:b/>
        </w:rPr>
        <w:t>publicly disclose</w:t>
      </w:r>
      <w:r w:rsidR="004A18E0" w:rsidRPr="002F2828">
        <w:t xml:space="preserve"> the </w:t>
      </w:r>
      <w:r w:rsidR="004A18E0" w:rsidRPr="002F2828">
        <w:rPr>
          <w:b/>
        </w:rPr>
        <w:t>prescribed terms and conditions</w:t>
      </w:r>
      <w:r w:rsidR="004A18E0" w:rsidRPr="002F2828">
        <w:t xml:space="preserve"> of the </w:t>
      </w:r>
      <w:r w:rsidR="004A18E0" w:rsidRPr="002F2828">
        <w:rPr>
          <w:b/>
        </w:rPr>
        <w:t>prescribed contract</w:t>
      </w:r>
      <w:r w:rsidR="004A18E0" w:rsidRPr="002F2828">
        <w:t>.</w:t>
      </w:r>
      <w:bookmarkEnd w:id="100"/>
    </w:p>
    <w:p w:rsidR="008F5D7B" w:rsidRDefault="00DA7816">
      <w:pPr>
        <w:pStyle w:val="HeadingH4Clausetext"/>
        <w:rPr>
          <w:b/>
        </w:rPr>
      </w:pPr>
      <w:bookmarkStart w:id="101" w:name="_Ref329115673"/>
      <w:bookmarkStart w:id="102" w:name="_Ref313455992"/>
      <w:r>
        <w:t xml:space="preserve">Subject to section 53C(4) of the </w:t>
      </w:r>
      <w:r w:rsidRPr="00D85800">
        <w:rPr>
          <w:b/>
        </w:rPr>
        <w:t>Act</w:t>
      </w:r>
      <w:r>
        <w:rPr>
          <w:b/>
        </w:rPr>
        <w:t xml:space="preserve"> </w:t>
      </w:r>
      <w:r>
        <w:t>e</w:t>
      </w:r>
      <w:r w:rsidR="004A18E0" w:rsidRPr="002F2828">
        <w:t xml:space="preserve">very </w:t>
      </w:r>
      <w:r w:rsidR="00854AA6" w:rsidRPr="002F2828">
        <w:rPr>
          <w:b/>
        </w:rPr>
        <w:t>GDB</w:t>
      </w:r>
      <w:r w:rsidR="004A18E0" w:rsidRPr="002F2828">
        <w:t xml:space="preserve"> must, </w:t>
      </w:r>
      <w:r w:rsidR="00D23EA6">
        <w:t xml:space="preserve">in respect of all </w:t>
      </w:r>
      <w:r w:rsidR="00D23EA6" w:rsidRPr="00FD10A4">
        <w:rPr>
          <w:b/>
        </w:rPr>
        <w:t>prescribed</w:t>
      </w:r>
      <w:r w:rsidR="009764C2" w:rsidRPr="009764C2">
        <w:rPr>
          <w:b/>
        </w:rPr>
        <w:t xml:space="preserve"> </w:t>
      </w:r>
      <w:r w:rsidR="00D23EA6" w:rsidRPr="00FD10A4">
        <w:rPr>
          <w:b/>
        </w:rPr>
        <w:t>contracts</w:t>
      </w:r>
      <w:r w:rsidR="00D23EA6" w:rsidRPr="00604256">
        <w:t xml:space="preserve"> that </w:t>
      </w:r>
      <w:r w:rsidR="00D23EA6">
        <w:t xml:space="preserve">are </w:t>
      </w:r>
      <w:r w:rsidR="00D23EA6" w:rsidRPr="00604256">
        <w:rPr>
          <w:b/>
        </w:rPr>
        <w:t>non-standard contract</w:t>
      </w:r>
      <w:r w:rsidR="00D23EA6">
        <w:rPr>
          <w:b/>
        </w:rPr>
        <w:t xml:space="preserve">s </w:t>
      </w:r>
      <w:r w:rsidR="00D23EA6">
        <w:t>entered into during the disclosure year</w:t>
      </w:r>
      <w:r w:rsidR="00D23EA6" w:rsidRPr="00604256">
        <w:t xml:space="preserve">, </w:t>
      </w:r>
      <w:r w:rsidR="00D23EA6">
        <w:t>w</w:t>
      </w:r>
      <w:r w:rsidR="003604ED">
        <w:t xml:space="preserve">ithin </w:t>
      </w:r>
      <w:r w:rsidR="00D778CB">
        <w:t>5</w:t>
      </w:r>
      <w:r w:rsidR="00D23EA6" w:rsidRPr="00604256">
        <w:t xml:space="preserve"> months after the end of </w:t>
      </w:r>
      <w:r w:rsidR="00D23EA6">
        <w:t xml:space="preserve">that </w:t>
      </w:r>
      <w:r w:rsidR="00D23EA6" w:rsidRPr="00604256">
        <w:rPr>
          <w:b/>
        </w:rPr>
        <w:t>disclosure year</w:t>
      </w:r>
      <w:r w:rsidR="00D23EA6">
        <w:t xml:space="preserve">, </w:t>
      </w:r>
      <w:r>
        <w:t xml:space="preserve">either </w:t>
      </w:r>
      <w:r w:rsidR="004A18E0" w:rsidRPr="002F2828">
        <w:rPr>
          <w:b/>
        </w:rPr>
        <w:t>publicly disclose</w:t>
      </w:r>
      <w:bookmarkEnd w:id="101"/>
    </w:p>
    <w:bookmarkEnd w:id="102"/>
    <w:p w:rsidR="008F5D7B" w:rsidRDefault="00805A3D" w:rsidP="001A2C83">
      <w:pPr>
        <w:pStyle w:val="HeadingH5ClausesubtextL1"/>
        <w:rPr>
          <w:b/>
        </w:rPr>
      </w:pPr>
      <w:r w:rsidRPr="001B6545">
        <w:rPr>
          <w:b/>
        </w:rPr>
        <w:t>publicly disclose</w:t>
      </w:r>
      <w:r>
        <w:t xml:space="preserve"> </w:t>
      </w:r>
      <w:r w:rsidRPr="000C68E8">
        <w:t xml:space="preserve">a description of the goods or services to be supplied under the </w:t>
      </w:r>
      <w:r w:rsidRPr="001B6545">
        <w:rPr>
          <w:b/>
        </w:rPr>
        <w:t>prescribed</w:t>
      </w:r>
      <w:r>
        <w:t xml:space="preserve"> </w:t>
      </w:r>
      <w:r w:rsidRPr="001B6545">
        <w:rPr>
          <w:b/>
        </w:rPr>
        <w:t>contract</w:t>
      </w:r>
      <w:r w:rsidRPr="00DC6971">
        <w:t xml:space="preserve"> </w:t>
      </w:r>
      <w:r>
        <w:t xml:space="preserve">and </w:t>
      </w:r>
      <w:r w:rsidRPr="00DF633C">
        <w:t>the quantity or amount of those goods or services</w:t>
      </w:r>
      <w:r>
        <w:t>; and</w:t>
      </w:r>
    </w:p>
    <w:p w:rsidR="00DA7816" w:rsidRPr="00F710EF" w:rsidRDefault="004A18E0" w:rsidP="001A2C83">
      <w:pPr>
        <w:pStyle w:val="HeadingH5ClausesubtextL1"/>
      </w:pPr>
      <w:r w:rsidRPr="002F2828">
        <w:t xml:space="preserve"> </w:t>
      </w:r>
      <w:proofErr w:type="gramStart"/>
      <w:r w:rsidR="009764C2" w:rsidRPr="009764C2">
        <w:rPr>
          <w:b/>
        </w:rPr>
        <w:t>publicly</w:t>
      </w:r>
      <w:proofErr w:type="gramEnd"/>
      <w:r w:rsidR="009764C2" w:rsidRPr="009764C2">
        <w:rPr>
          <w:b/>
        </w:rPr>
        <w:t xml:space="preserve"> disclose</w:t>
      </w:r>
      <w:r w:rsidR="00DA7816">
        <w:t xml:space="preserve"> </w:t>
      </w:r>
      <w:r w:rsidR="00DA7816" w:rsidRPr="00604256">
        <w:t xml:space="preserve">the </w:t>
      </w:r>
      <w:r w:rsidR="009764C2" w:rsidRPr="009764C2">
        <w:rPr>
          <w:b/>
        </w:rPr>
        <w:t>prescribed terms and conditions</w:t>
      </w:r>
      <w:r w:rsidR="00DA7816" w:rsidRPr="00604256">
        <w:t xml:space="preserve"> of </w:t>
      </w:r>
      <w:r w:rsidR="00DA7816">
        <w:t>each</w:t>
      </w:r>
      <w:r w:rsidR="00DA7816" w:rsidRPr="00604256">
        <w:t xml:space="preserve"> </w:t>
      </w:r>
      <w:r w:rsidR="009764C2" w:rsidRPr="009764C2">
        <w:rPr>
          <w:b/>
        </w:rPr>
        <w:t>prescribe</w:t>
      </w:r>
      <w:r w:rsidR="009764C2" w:rsidRPr="00805A3D">
        <w:rPr>
          <w:b/>
        </w:rPr>
        <w:t>d contra</w:t>
      </w:r>
      <w:r w:rsidR="009764C2" w:rsidRPr="009764C2">
        <w:rPr>
          <w:b/>
        </w:rPr>
        <w:t>ct</w:t>
      </w:r>
      <w:r w:rsidR="00FA4FED">
        <w:rPr>
          <w:b/>
        </w:rPr>
        <w:t xml:space="preserve"> </w:t>
      </w:r>
      <w:r w:rsidR="00FA4FED">
        <w:t xml:space="preserve">with the exception of </w:t>
      </w:r>
      <w:r w:rsidR="00FA4FED" w:rsidRPr="009804D4">
        <w:rPr>
          <w:b/>
        </w:rPr>
        <w:t>prescribed terms and conditions</w:t>
      </w:r>
      <w:r w:rsidR="00FA4FED">
        <w:t xml:space="preserve"> that specify, </w:t>
      </w:r>
      <w:r w:rsidR="00FA4FED" w:rsidRPr="00F710EF">
        <w:t>determine, or provide for the determination of th</w:t>
      </w:r>
      <w:r w:rsidR="00FA4FED">
        <w:t xml:space="preserve">e </w:t>
      </w:r>
      <w:r w:rsidR="00FA4FED" w:rsidRPr="009804D4">
        <w:rPr>
          <w:b/>
        </w:rPr>
        <w:t>pri</w:t>
      </w:r>
      <w:r w:rsidR="00FA4FED" w:rsidRPr="00805A3D">
        <w:rPr>
          <w:b/>
        </w:rPr>
        <w:t xml:space="preserve">ce </w:t>
      </w:r>
      <w:r w:rsidR="00FA4FED" w:rsidRPr="00F710EF">
        <w:t>at which goods or services are to be supplied.</w:t>
      </w:r>
    </w:p>
    <w:p w:rsidR="00AE4284" w:rsidRPr="00AE4284" w:rsidRDefault="000E5445" w:rsidP="001A2C83">
      <w:pPr>
        <w:pStyle w:val="HeadingH4Clausetext"/>
      </w:pPr>
      <w:bookmarkStart w:id="103" w:name="_Ref329116185"/>
      <w:r w:rsidRPr="00F710EF">
        <w:t>For any contract for which information is publicly disclosed under</w:t>
      </w:r>
      <w:r w:rsidRPr="00600CB2">
        <w:t xml:space="preserve"> clause </w:t>
      </w:r>
      <w:r w:rsidR="00004445">
        <w:fldChar w:fldCharType="begin"/>
      </w:r>
      <w:r w:rsidR="00670F3C">
        <w:instrText xml:space="preserve"> REF _Ref329115673 \r \h </w:instrText>
      </w:r>
      <w:r w:rsidR="00004445">
        <w:fldChar w:fldCharType="separate"/>
      </w:r>
      <w:r w:rsidR="00A84D28">
        <w:t>2.4.10</w:t>
      </w:r>
      <w:r w:rsidR="00004445">
        <w:fldChar w:fldCharType="end"/>
      </w:r>
      <w:r w:rsidRPr="00600CB2">
        <w:t xml:space="preserve">, </w:t>
      </w:r>
      <w:r>
        <w:t xml:space="preserve">unless </w:t>
      </w:r>
      <w:r w:rsidRPr="009804D4">
        <w:rPr>
          <w:b/>
        </w:rPr>
        <w:t>prescribed</w:t>
      </w:r>
      <w:r w:rsidRPr="00805A3D">
        <w:rPr>
          <w:b/>
        </w:rPr>
        <w:t xml:space="preserve"> term</w:t>
      </w:r>
      <w:r w:rsidRPr="009804D4">
        <w:rPr>
          <w:b/>
        </w:rPr>
        <w:t>s and conditions</w:t>
      </w:r>
      <w:r>
        <w:t xml:space="preserve"> have been publicly disclosed under subclause 2.4.10(2)(b), </w:t>
      </w:r>
      <w:r w:rsidRPr="00600CB2">
        <w:t xml:space="preserve">every </w:t>
      </w:r>
      <w:r>
        <w:rPr>
          <w:b/>
        </w:rPr>
        <w:t>GD</w:t>
      </w:r>
      <w:r w:rsidRPr="00600CB2">
        <w:rPr>
          <w:b/>
        </w:rPr>
        <w:t>B</w:t>
      </w:r>
      <w:r w:rsidRPr="00600CB2">
        <w:t xml:space="preserve"> must, within 20 working days of a request by any </w:t>
      </w:r>
      <w:r w:rsidRPr="00600CB2">
        <w:rPr>
          <w:b/>
        </w:rPr>
        <w:t>person</w:t>
      </w:r>
      <w:r w:rsidRPr="00600CB2">
        <w:t xml:space="preserve">, </w:t>
      </w:r>
      <w:r w:rsidR="009A5262">
        <w:t xml:space="preserve">provide to that </w:t>
      </w:r>
      <w:r w:rsidR="009A5262" w:rsidRPr="009A5262">
        <w:rPr>
          <w:b/>
        </w:rPr>
        <w:t>person</w:t>
      </w:r>
      <w:r w:rsidR="009A5262">
        <w:t xml:space="preserve"> and </w:t>
      </w:r>
      <w:r w:rsidRPr="009A5262">
        <w:rPr>
          <w:b/>
        </w:rPr>
        <w:t>publicly</w:t>
      </w:r>
      <w:r w:rsidRPr="00600CB2">
        <w:rPr>
          <w:b/>
        </w:rPr>
        <w:t xml:space="preserve"> disclose</w:t>
      </w:r>
      <w:r w:rsidRPr="00600CB2">
        <w:t xml:space="preserve"> the </w:t>
      </w:r>
      <w:r w:rsidRPr="00600CB2">
        <w:rPr>
          <w:b/>
        </w:rPr>
        <w:t xml:space="preserve">prescribed terms and conditions </w:t>
      </w:r>
      <w:r w:rsidRPr="00600CB2">
        <w:t xml:space="preserve">of the </w:t>
      </w:r>
      <w:r w:rsidRPr="00600CB2">
        <w:rPr>
          <w:b/>
        </w:rPr>
        <w:t>prescribed contract</w:t>
      </w:r>
      <w:r>
        <w:rPr>
          <w:b/>
        </w:rPr>
        <w:t xml:space="preserve">, </w:t>
      </w:r>
      <w:r>
        <w:t xml:space="preserve">with the exception of </w:t>
      </w:r>
      <w:r w:rsidRPr="009804D4">
        <w:rPr>
          <w:b/>
        </w:rPr>
        <w:t>prescribed terms and conditions</w:t>
      </w:r>
      <w:r>
        <w:t xml:space="preserve"> that specify, determine, or provide for the determination of the </w:t>
      </w:r>
      <w:r w:rsidRPr="009804D4">
        <w:rPr>
          <w:b/>
        </w:rPr>
        <w:t>price</w:t>
      </w:r>
      <w:r>
        <w:t xml:space="preserve"> at which goods or services are to be supplied</w:t>
      </w:r>
      <w:r w:rsidRPr="00E257A6">
        <w:t>.</w:t>
      </w:r>
      <w:bookmarkEnd w:id="103"/>
    </w:p>
    <w:p w:rsidR="004A18E0" w:rsidRPr="002F2828" w:rsidRDefault="00B81431" w:rsidP="001A2C83">
      <w:pPr>
        <w:pStyle w:val="HeadingH4Clausetext"/>
      </w:pPr>
      <w:r>
        <w:t xml:space="preserve">Subject to section 53C(4) of the </w:t>
      </w:r>
      <w:r w:rsidRPr="00D85800">
        <w:rPr>
          <w:b/>
        </w:rPr>
        <w:t>Act</w:t>
      </w:r>
      <w:r w:rsidRPr="00D85800">
        <w:t>,</w:t>
      </w:r>
      <w:r>
        <w:t xml:space="preserve"> </w:t>
      </w:r>
      <w:bookmarkStart w:id="104" w:name="_Ref313455996"/>
      <w:r>
        <w:t>i</w:t>
      </w:r>
      <w:r w:rsidR="004A18E0" w:rsidRPr="002F2828">
        <w:t xml:space="preserve">f any </w:t>
      </w:r>
      <w:r w:rsidR="004A18E0" w:rsidRPr="002F2828">
        <w:rPr>
          <w:b/>
        </w:rPr>
        <w:t>prescribed terms and conditions</w:t>
      </w:r>
      <w:r w:rsidR="004A18E0" w:rsidRPr="002F2828">
        <w:t xml:space="preserve"> of a </w:t>
      </w:r>
      <w:r w:rsidR="004A18E0" w:rsidRPr="002F2828">
        <w:rPr>
          <w:b/>
        </w:rPr>
        <w:t>prescribed contract</w:t>
      </w:r>
      <w:r w:rsidR="004A18E0" w:rsidRPr="002F2828">
        <w:t xml:space="preserve"> (</w:t>
      </w:r>
      <w:r w:rsidR="00DF27E4" w:rsidRPr="002F2828">
        <w:t xml:space="preserve">where it is also </w:t>
      </w:r>
      <w:r w:rsidR="004A18E0" w:rsidRPr="002F2828">
        <w:t xml:space="preserve">a </w:t>
      </w:r>
      <w:r w:rsidR="00DF27E4" w:rsidRPr="002F2828">
        <w:rPr>
          <w:b/>
        </w:rPr>
        <w:t xml:space="preserve">standard </w:t>
      </w:r>
      <w:r w:rsidR="004A18E0" w:rsidRPr="002F2828">
        <w:rPr>
          <w:b/>
        </w:rPr>
        <w:t>contract</w:t>
      </w:r>
      <w:r w:rsidR="00DF27E4" w:rsidRPr="002F2828">
        <w:t xml:space="preserve">, including a </w:t>
      </w:r>
      <w:r w:rsidR="00DF27E4" w:rsidRPr="002F2828">
        <w:rPr>
          <w:b/>
        </w:rPr>
        <w:t>prescribed contract</w:t>
      </w:r>
      <w:r w:rsidR="004A18E0" w:rsidRPr="002F2828">
        <w:t xml:space="preserve"> that was entered into before the date on which </w:t>
      </w:r>
      <w:r w:rsidR="009D2303" w:rsidRPr="002F2828">
        <w:t xml:space="preserve">this determination </w:t>
      </w:r>
      <w:r w:rsidR="004A18E0" w:rsidRPr="002F2828">
        <w:t>come</w:t>
      </w:r>
      <w:r w:rsidR="009D2303" w:rsidRPr="002F2828">
        <w:t>s</w:t>
      </w:r>
      <w:r w:rsidR="004A18E0" w:rsidRPr="002F2828">
        <w:t xml:space="preserve"> into force) are modified, the </w:t>
      </w:r>
      <w:r w:rsidR="00854AA6" w:rsidRPr="002F2828">
        <w:rPr>
          <w:b/>
        </w:rPr>
        <w:t>GDB</w:t>
      </w:r>
      <w:r w:rsidR="004A18E0" w:rsidRPr="002F2828">
        <w:t xml:space="preserve"> must, not later than </w:t>
      </w:r>
      <w:r w:rsidR="009A5262">
        <w:t>20 working days</w:t>
      </w:r>
      <w:r w:rsidR="004A18E0" w:rsidRPr="002F2828">
        <w:t xml:space="preserve"> after those modifications take effect, </w:t>
      </w:r>
      <w:r w:rsidR="004A18E0" w:rsidRPr="002F2828">
        <w:rPr>
          <w:b/>
        </w:rPr>
        <w:t>publicly disclose</w:t>
      </w:r>
      <w:r w:rsidR="004A18E0" w:rsidRPr="002F2828">
        <w:t>:</w:t>
      </w:r>
      <w:bookmarkEnd w:id="104"/>
    </w:p>
    <w:p w:rsidR="004A18E0" w:rsidRPr="002F2828" w:rsidRDefault="00784603" w:rsidP="001A2C83">
      <w:pPr>
        <w:pStyle w:val="HeadingH5ClausesubtextL1"/>
      </w:pPr>
      <w:r>
        <w:t>t</w:t>
      </w:r>
      <w:r w:rsidR="004A18E0" w:rsidRPr="002F2828">
        <w:t xml:space="preserve">he </w:t>
      </w:r>
      <w:r w:rsidR="009764C2" w:rsidRPr="009764C2">
        <w:rPr>
          <w:b/>
        </w:rPr>
        <w:t>prescribed contract</w:t>
      </w:r>
      <w:r w:rsidR="004A18E0" w:rsidRPr="002F2828">
        <w:t xml:space="preserve"> concerned</w:t>
      </w:r>
    </w:p>
    <w:p w:rsidR="00F56F86" w:rsidRDefault="00784603">
      <w:pPr>
        <w:pStyle w:val="HeadingH5ClausesubtextL1"/>
      </w:pPr>
      <w:proofErr w:type="gramStart"/>
      <w:r>
        <w:t>t</w:t>
      </w:r>
      <w:r w:rsidR="004A18E0" w:rsidRPr="002F2828">
        <w:t>he</w:t>
      </w:r>
      <w:proofErr w:type="gramEnd"/>
      <w:r w:rsidR="004A18E0" w:rsidRPr="002F2828">
        <w:t xml:space="preserve"> modifications made to the </w:t>
      </w:r>
      <w:r w:rsidR="004A18E0" w:rsidRPr="002F2828">
        <w:rPr>
          <w:b/>
        </w:rPr>
        <w:t>prescribed terms and conditions</w:t>
      </w:r>
      <w:r w:rsidR="004A18E0" w:rsidRPr="002F2828">
        <w:t>.</w:t>
      </w:r>
    </w:p>
    <w:p w:rsidR="008F5D7B" w:rsidRDefault="00B81431" w:rsidP="001A2C83">
      <w:pPr>
        <w:pStyle w:val="HeadingH4Clausetext"/>
      </w:pPr>
      <w:r>
        <w:t xml:space="preserve">Subject to section </w:t>
      </w:r>
      <w:proofErr w:type="gramStart"/>
      <w:r>
        <w:t>53C(</w:t>
      </w:r>
      <w:proofErr w:type="gramEnd"/>
      <w:r>
        <w:t xml:space="preserve">4) of the </w:t>
      </w:r>
      <w:r w:rsidRPr="00D85800">
        <w:rPr>
          <w:b/>
        </w:rPr>
        <w:t>Act</w:t>
      </w:r>
      <w:r>
        <w:t xml:space="preserve"> and within </w:t>
      </w:r>
      <w:r w:rsidR="00D778CB">
        <w:t>5</w:t>
      </w:r>
      <w:r>
        <w:t xml:space="preserve"> months after the end of the </w:t>
      </w:r>
      <w:r>
        <w:rPr>
          <w:b/>
        </w:rPr>
        <w:t xml:space="preserve">disclosure </w:t>
      </w:r>
      <w:r w:rsidRPr="0014441C">
        <w:rPr>
          <w:b/>
        </w:rPr>
        <w:t>year</w:t>
      </w:r>
      <w:r>
        <w:t>, i</w:t>
      </w:r>
      <w:r w:rsidR="004A18E0" w:rsidRPr="002F2828">
        <w:t xml:space="preserve">f any </w:t>
      </w:r>
      <w:r w:rsidR="004A18E0" w:rsidRPr="002F2828">
        <w:rPr>
          <w:b/>
        </w:rPr>
        <w:t>prescribed terms and conditions</w:t>
      </w:r>
      <w:r w:rsidR="004A18E0" w:rsidRPr="002F2828">
        <w:t xml:space="preserve"> of a </w:t>
      </w:r>
      <w:r w:rsidR="004A18E0" w:rsidRPr="002F2828">
        <w:rPr>
          <w:b/>
        </w:rPr>
        <w:t>prescribed contract</w:t>
      </w:r>
      <w:r w:rsidR="004A18E0" w:rsidRPr="002F2828">
        <w:t xml:space="preserve"> </w:t>
      </w:r>
      <w:r w:rsidR="008C1A91" w:rsidRPr="002F2828">
        <w:t>that</w:t>
      </w:r>
      <w:r w:rsidR="004A18E0" w:rsidRPr="002F2828">
        <w:t xml:space="preserve"> is a </w:t>
      </w:r>
      <w:r w:rsidR="004A18E0" w:rsidRPr="002F2828">
        <w:rPr>
          <w:b/>
        </w:rPr>
        <w:t>non-standard contract</w:t>
      </w:r>
      <w:r w:rsidR="00DF27E4" w:rsidRPr="002F2828">
        <w:rPr>
          <w:b/>
        </w:rPr>
        <w:t xml:space="preserve"> </w:t>
      </w:r>
      <w:r w:rsidR="00DF27E4" w:rsidRPr="002F2828">
        <w:t xml:space="preserve">(including a </w:t>
      </w:r>
      <w:r w:rsidR="00DF27E4" w:rsidRPr="002F2828">
        <w:rPr>
          <w:b/>
        </w:rPr>
        <w:t>prescribed contract</w:t>
      </w:r>
      <w:r w:rsidR="004A18E0" w:rsidRPr="002F2828">
        <w:t xml:space="preserve"> that was entered into before </w:t>
      </w:r>
      <w:r w:rsidR="009D2303" w:rsidRPr="002F2828">
        <w:t xml:space="preserve">the date on which this determination comes </w:t>
      </w:r>
      <w:r w:rsidR="004A18E0" w:rsidRPr="002F2828">
        <w:t xml:space="preserve">into force) are modified, the </w:t>
      </w:r>
      <w:r w:rsidR="00854AA6" w:rsidRPr="002F2828">
        <w:rPr>
          <w:b/>
        </w:rPr>
        <w:t>GDB</w:t>
      </w:r>
      <w:r w:rsidR="004A18E0" w:rsidRPr="002F2828">
        <w:t xml:space="preserve"> must disclose to any </w:t>
      </w:r>
      <w:r w:rsidR="004A18E0" w:rsidRPr="002F2828">
        <w:rPr>
          <w:b/>
        </w:rPr>
        <w:t>person</w:t>
      </w:r>
      <w:r w:rsidR="004A18E0" w:rsidRPr="002F2828">
        <w:t xml:space="preserve">, within </w:t>
      </w:r>
      <w:r w:rsidR="001C46CD">
        <w:t xml:space="preserve">20 working days </w:t>
      </w:r>
      <w:r w:rsidR="004A18E0" w:rsidRPr="002F2828">
        <w:t xml:space="preserve">of </w:t>
      </w:r>
      <w:r w:rsidR="009D2303" w:rsidRPr="002F2828">
        <w:t xml:space="preserve">receiving </w:t>
      </w:r>
      <w:r w:rsidR="004A18E0" w:rsidRPr="002F2828">
        <w:t xml:space="preserve">a request </w:t>
      </w:r>
      <w:r w:rsidR="009D2303" w:rsidRPr="002F2828">
        <w:t xml:space="preserve">from </w:t>
      </w:r>
      <w:r w:rsidR="004A18E0" w:rsidRPr="002F2828">
        <w:t xml:space="preserve">that </w:t>
      </w:r>
      <w:r w:rsidR="004A18E0" w:rsidRPr="002F2828">
        <w:rPr>
          <w:b/>
        </w:rPr>
        <w:t>person</w:t>
      </w:r>
      <w:r w:rsidR="004A18E0" w:rsidRPr="002F2828">
        <w:t xml:space="preserve">, the modifications made to the </w:t>
      </w:r>
      <w:r w:rsidR="004A18E0" w:rsidRPr="002F2828">
        <w:rPr>
          <w:b/>
        </w:rPr>
        <w:t>prescribed terms and conditions</w:t>
      </w:r>
      <w:r w:rsidR="004A18E0" w:rsidRPr="002F2828">
        <w:t>.</w:t>
      </w:r>
    </w:p>
    <w:p w:rsidR="004A18E0" w:rsidRPr="002F2828" w:rsidRDefault="004A18E0" w:rsidP="001A2C83">
      <w:pPr>
        <w:pStyle w:val="HeadingH4Clausetext"/>
      </w:pPr>
      <w:r w:rsidRPr="002F2828">
        <w:t xml:space="preserve">Every </w:t>
      </w:r>
      <w:r w:rsidR="00854AA6" w:rsidRPr="002F2828">
        <w:rPr>
          <w:b/>
        </w:rPr>
        <w:t>GDB</w:t>
      </w:r>
      <w:r w:rsidRPr="002F2828">
        <w:t xml:space="preserve"> must, when </w:t>
      </w:r>
      <w:r w:rsidRPr="002F2828">
        <w:rPr>
          <w:b/>
        </w:rPr>
        <w:t>publicly disclosing</w:t>
      </w:r>
      <w:r w:rsidRPr="002F2828">
        <w:t xml:space="preserve"> </w:t>
      </w:r>
      <w:r w:rsidR="00A42C18" w:rsidRPr="002F2828">
        <w:t xml:space="preserve">or disclosing on request to any </w:t>
      </w:r>
      <w:r w:rsidR="00A42C18" w:rsidRPr="002F2828">
        <w:rPr>
          <w:b/>
        </w:rPr>
        <w:t>person</w:t>
      </w:r>
      <w:r w:rsidR="00F8278A" w:rsidRPr="002F2828">
        <w:t xml:space="preserve"> (</w:t>
      </w:r>
      <w:r w:rsidR="00A42C18" w:rsidRPr="002F2828">
        <w:t xml:space="preserve">as the case may be) </w:t>
      </w:r>
      <w:r w:rsidRPr="002F2828">
        <w:t xml:space="preserve">the </w:t>
      </w:r>
      <w:r w:rsidRPr="002F2828">
        <w:rPr>
          <w:b/>
        </w:rPr>
        <w:t>prescribed terms and conditions</w:t>
      </w:r>
      <w:r w:rsidRPr="002F2828">
        <w:t xml:space="preserve"> of a </w:t>
      </w:r>
      <w:r w:rsidRPr="002F2828">
        <w:rPr>
          <w:b/>
        </w:rPr>
        <w:t>non-standard contract</w:t>
      </w:r>
      <w:r w:rsidRPr="002F2828">
        <w:t xml:space="preserve"> under </w:t>
      </w:r>
      <w:r w:rsidR="009D2303" w:rsidRPr="002F2828">
        <w:t xml:space="preserve">either of </w:t>
      </w:r>
      <w:r w:rsidRPr="002F2828">
        <w:t>clause</w:t>
      </w:r>
      <w:r w:rsidR="009D2303" w:rsidRPr="002F2828">
        <w:t>s</w:t>
      </w:r>
      <w:r w:rsidRPr="002F2828">
        <w:t xml:space="preserve"> </w:t>
      </w:r>
      <w:r w:rsidR="00004445">
        <w:fldChar w:fldCharType="begin"/>
      </w:r>
      <w:r w:rsidR="00784603">
        <w:instrText xml:space="preserve"> REF _Ref329115673 \r \h </w:instrText>
      </w:r>
      <w:r w:rsidR="00004445">
        <w:fldChar w:fldCharType="separate"/>
      </w:r>
      <w:r w:rsidR="00A84D28">
        <w:t>2.4.10</w:t>
      </w:r>
      <w:r w:rsidR="00004445">
        <w:fldChar w:fldCharType="end"/>
      </w:r>
      <w:r w:rsidR="00784603">
        <w:t xml:space="preserve"> or </w:t>
      </w:r>
      <w:r w:rsidR="00004445">
        <w:fldChar w:fldCharType="begin"/>
      </w:r>
      <w:r w:rsidR="00784603">
        <w:instrText xml:space="preserve"> REF _Ref329116185 \r \h </w:instrText>
      </w:r>
      <w:r w:rsidR="00004445">
        <w:fldChar w:fldCharType="separate"/>
      </w:r>
      <w:r w:rsidR="00A84D28">
        <w:t>2.4.11</w:t>
      </w:r>
      <w:r w:rsidR="00004445">
        <w:fldChar w:fldCharType="end"/>
      </w:r>
      <w:r w:rsidR="00DF27E4" w:rsidRPr="002F2828">
        <w:t xml:space="preserve"> </w:t>
      </w:r>
      <w:r w:rsidR="00B56941" w:rsidRPr="002F2828">
        <w:t>of this section</w:t>
      </w:r>
      <w:r w:rsidRPr="002F2828">
        <w:t>, include the following information:</w:t>
      </w:r>
    </w:p>
    <w:p w:rsidR="004A18E0" w:rsidRPr="002F2828" w:rsidRDefault="00784603" w:rsidP="001A2C83">
      <w:pPr>
        <w:pStyle w:val="HeadingH5ClausesubtextL1"/>
      </w:pPr>
      <w:r>
        <w:t>t</w:t>
      </w:r>
      <w:r w:rsidR="004A18E0" w:rsidRPr="002F2828">
        <w:t xml:space="preserve">he maximum </w:t>
      </w:r>
      <w:r w:rsidR="00191DAC" w:rsidRPr="002F2828">
        <w:t xml:space="preserve">daily </w:t>
      </w:r>
      <w:r w:rsidR="004A18E0" w:rsidRPr="002F2828">
        <w:t xml:space="preserve">amount of gas (in </w:t>
      </w:r>
      <w:proofErr w:type="spellStart"/>
      <w:r w:rsidR="004A18E0" w:rsidRPr="002F2828">
        <w:t>gigajoules</w:t>
      </w:r>
      <w:proofErr w:type="spellEnd"/>
      <w:r w:rsidR="004A18E0" w:rsidRPr="002F2828">
        <w:t xml:space="preserve">) to be conveyed to the </w:t>
      </w:r>
      <w:r w:rsidR="004A18E0" w:rsidRPr="002F2828">
        <w:rPr>
          <w:b/>
        </w:rPr>
        <w:t>consumer</w:t>
      </w:r>
      <w:r w:rsidR="004A18E0" w:rsidRPr="002F2828">
        <w:t xml:space="preserve"> under the </w:t>
      </w:r>
      <w:r w:rsidR="004A18E0" w:rsidRPr="002F2828">
        <w:rPr>
          <w:b/>
        </w:rPr>
        <w:t>contract</w:t>
      </w:r>
      <w:r w:rsidR="004A18E0" w:rsidRPr="002F2828">
        <w:t xml:space="preserve">, or (if the amount is not quantified in the </w:t>
      </w:r>
      <w:r w:rsidR="004A18E0" w:rsidRPr="002F2828">
        <w:rPr>
          <w:b/>
        </w:rPr>
        <w:t>contract</w:t>
      </w:r>
      <w:r w:rsidR="004A18E0" w:rsidRPr="002F2828">
        <w:t xml:space="preserve">) a reasonable estimate of that amount based on the duration of the </w:t>
      </w:r>
      <w:r w:rsidR="004A18E0" w:rsidRPr="002F2828">
        <w:rPr>
          <w:b/>
        </w:rPr>
        <w:t>contract</w:t>
      </w:r>
    </w:p>
    <w:p w:rsidR="004A18E0" w:rsidRPr="002F2828" w:rsidRDefault="00784603" w:rsidP="001A2C83">
      <w:pPr>
        <w:pStyle w:val="HeadingH5ClausesubtextL1"/>
      </w:pPr>
      <w:r>
        <w:t>t</w:t>
      </w:r>
      <w:r w:rsidR="004A18E0" w:rsidRPr="002F2828">
        <w:t xml:space="preserve">he pressure or pressures at which the gas is to be supplied or conveyed under that </w:t>
      </w:r>
      <w:r w:rsidR="004A18E0" w:rsidRPr="002F2828">
        <w:rPr>
          <w:b/>
        </w:rPr>
        <w:t>contract</w:t>
      </w:r>
      <w:r w:rsidR="004A18E0" w:rsidRPr="002F2828">
        <w:t xml:space="preserve">, or (if the pressure is not specified in the </w:t>
      </w:r>
      <w:r w:rsidR="004A18E0" w:rsidRPr="002F2828">
        <w:rPr>
          <w:b/>
        </w:rPr>
        <w:t>contract</w:t>
      </w:r>
      <w:r w:rsidR="004A18E0" w:rsidRPr="002F2828">
        <w:t>) a reasonable estimate of that pressure</w:t>
      </w:r>
    </w:p>
    <w:p w:rsidR="00594AAC" w:rsidRPr="002F2828" w:rsidRDefault="004A18E0" w:rsidP="001A2C83">
      <w:pPr>
        <w:pStyle w:val="HeadingH4Clausetext"/>
      </w:pPr>
      <w:bookmarkStart w:id="105" w:name="_Ref329113036"/>
      <w:r w:rsidRPr="002F2828">
        <w:t xml:space="preserve">For the purposes of this </w:t>
      </w:r>
      <w:r w:rsidR="00DF27E4" w:rsidRPr="002F2828">
        <w:t>section</w:t>
      </w:r>
      <w:r w:rsidRPr="002F2828">
        <w:t xml:space="preserve">, </w:t>
      </w:r>
      <w:r w:rsidRPr="002F2828">
        <w:rPr>
          <w:b/>
        </w:rPr>
        <w:t>public disclosure</w:t>
      </w:r>
      <w:r w:rsidRPr="002F2828">
        <w:t xml:space="preserve"> by a </w:t>
      </w:r>
      <w:r w:rsidR="00854AA6" w:rsidRPr="002F2828">
        <w:rPr>
          <w:b/>
        </w:rPr>
        <w:t>GDB</w:t>
      </w:r>
      <w:r w:rsidRPr="002F2828">
        <w:rPr>
          <w:b/>
        </w:rPr>
        <w:t xml:space="preserve"> </w:t>
      </w:r>
      <w:r w:rsidRPr="002F2828">
        <w:t xml:space="preserve">of the </w:t>
      </w:r>
      <w:r w:rsidRPr="002F2828">
        <w:rPr>
          <w:b/>
        </w:rPr>
        <w:t>prescribed terms and conditions</w:t>
      </w:r>
      <w:r w:rsidRPr="002F2828">
        <w:t xml:space="preserve"> of a </w:t>
      </w:r>
      <w:r w:rsidRPr="002F2828">
        <w:rPr>
          <w:b/>
        </w:rPr>
        <w:t>standard contract</w:t>
      </w:r>
      <w:r w:rsidRPr="002F2828">
        <w:t xml:space="preserve"> is to be regarded as </w:t>
      </w:r>
      <w:r w:rsidRPr="002F2828">
        <w:rPr>
          <w:b/>
        </w:rPr>
        <w:t>public disclosure</w:t>
      </w:r>
      <w:r w:rsidRPr="002F2828">
        <w:t xml:space="preserve"> by that </w:t>
      </w:r>
      <w:r w:rsidR="00854AA6" w:rsidRPr="002F2828">
        <w:rPr>
          <w:b/>
        </w:rPr>
        <w:t>GDB</w:t>
      </w:r>
      <w:r w:rsidRPr="002F2828">
        <w:rPr>
          <w:b/>
        </w:rPr>
        <w:t xml:space="preserve"> </w:t>
      </w:r>
      <w:r w:rsidRPr="002F2828">
        <w:t xml:space="preserve">in relation to all of its </w:t>
      </w:r>
      <w:r w:rsidRPr="002F2828">
        <w:rPr>
          <w:b/>
        </w:rPr>
        <w:t>standard contracts</w:t>
      </w:r>
      <w:r w:rsidRPr="002F2828">
        <w:t xml:space="preserve"> with the same </w:t>
      </w:r>
      <w:r w:rsidRPr="002F2828">
        <w:rPr>
          <w:b/>
        </w:rPr>
        <w:t>prescribed terms and conditions</w:t>
      </w:r>
      <w:r w:rsidRPr="002F2828">
        <w:t>.</w:t>
      </w:r>
      <w:bookmarkEnd w:id="105"/>
    </w:p>
    <w:p w:rsidR="00F56F86" w:rsidRDefault="004A18E0">
      <w:pPr>
        <w:pStyle w:val="BodyText"/>
      </w:pPr>
      <w:r w:rsidRPr="006927B6">
        <w:rPr>
          <w:i/>
        </w:rPr>
        <w:t xml:space="preserve">Disclosure of </w:t>
      </w:r>
      <w:r w:rsidR="00394849" w:rsidRPr="006927B6">
        <w:rPr>
          <w:i/>
        </w:rPr>
        <w:t>prices</w:t>
      </w:r>
    </w:p>
    <w:p w:rsidR="004A18E0" w:rsidRPr="002F2828" w:rsidRDefault="004A18E0" w:rsidP="001A2C83">
      <w:pPr>
        <w:pStyle w:val="HeadingH4Clausetext"/>
      </w:pPr>
      <w:bookmarkStart w:id="106" w:name="_Ref327900424"/>
      <w:r w:rsidRPr="002F2828">
        <w:t xml:space="preserve">Every </w:t>
      </w:r>
      <w:r w:rsidR="00854AA6" w:rsidRPr="002F2828">
        <w:rPr>
          <w:b/>
        </w:rPr>
        <w:t>GDB</w:t>
      </w:r>
      <w:r w:rsidRPr="002F2828">
        <w:t xml:space="preserve"> must at all times </w:t>
      </w:r>
      <w:r w:rsidRPr="002F2828">
        <w:rPr>
          <w:b/>
        </w:rPr>
        <w:t>publicly disclose</w:t>
      </w:r>
      <w:r w:rsidRPr="002F2828">
        <w:t>:</w:t>
      </w:r>
      <w:bookmarkEnd w:id="106"/>
    </w:p>
    <w:p w:rsidR="008F5D7B" w:rsidRDefault="001C11A3" w:rsidP="001A2C83">
      <w:pPr>
        <w:pStyle w:val="HeadingH5ClausesubtextL1"/>
      </w:pPr>
      <w:bookmarkStart w:id="107" w:name="_Ref329115147"/>
      <w:r w:rsidRPr="002F2828">
        <w:t>E</w:t>
      </w:r>
      <w:r w:rsidR="004A18E0" w:rsidRPr="002F2828">
        <w:t xml:space="preserve">ach current </w:t>
      </w:r>
      <w:r w:rsidR="00394849" w:rsidRPr="002F2828">
        <w:rPr>
          <w:b/>
        </w:rPr>
        <w:t xml:space="preserve">price </w:t>
      </w:r>
      <w:r w:rsidR="004A18E0" w:rsidRPr="002F2828">
        <w:t xml:space="preserve">expressed in a manner that enables individual </w:t>
      </w:r>
      <w:r w:rsidR="004A18E0" w:rsidRPr="002F2828">
        <w:rPr>
          <w:b/>
        </w:rPr>
        <w:t xml:space="preserve">consumers </w:t>
      </w:r>
      <w:r w:rsidR="004A18E0" w:rsidRPr="002F2828">
        <w:t>to determine:</w:t>
      </w:r>
      <w:bookmarkEnd w:id="107"/>
    </w:p>
    <w:p w:rsidR="004A18E0" w:rsidRPr="002F2828" w:rsidRDefault="004A18E0" w:rsidP="00454351">
      <w:pPr>
        <w:pStyle w:val="HeadingH6ClausesubtextL2"/>
      </w:pPr>
      <w:r w:rsidRPr="002F2828">
        <w:t xml:space="preserve">the </w:t>
      </w:r>
      <w:r w:rsidRPr="002F2828">
        <w:rPr>
          <w:b/>
        </w:rPr>
        <w:t>consumer group</w:t>
      </w:r>
      <w:r w:rsidRPr="002F2828">
        <w:t xml:space="preserve"> or groups applicable to them </w:t>
      </w:r>
    </w:p>
    <w:p w:rsidR="00DF27E4" w:rsidRPr="002F2828" w:rsidRDefault="00DF27E4" w:rsidP="00454351">
      <w:pPr>
        <w:pStyle w:val="HeadingH6ClausesubtextL2"/>
      </w:pPr>
      <w:r w:rsidRPr="002F2828">
        <w:t xml:space="preserve">the total </w:t>
      </w:r>
      <w:r w:rsidR="00394849" w:rsidRPr="002F2828">
        <w:rPr>
          <w:b/>
        </w:rPr>
        <w:t>price</w:t>
      </w:r>
      <w:r w:rsidRPr="002F2828">
        <w:t xml:space="preserve"> for </w:t>
      </w:r>
      <w:r w:rsidRPr="002F2828">
        <w:rPr>
          <w:b/>
        </w:rPr>
        <w:t>gas pipeline services</w:t>
      </w:r>
      <w:r w:rsidRPr="002F2828">
        <w:t xml:space="preserve"> applicable to them</w:t>
      </w:r>
    </w:p>
    <w:p w:rsidR="004A18E0" w:rsidRPr="002F2828" w:rsidRDefault="00DF27E4" w:rsidP="00454351">
      <w:pPr>
        <w:pStyle w:val="HeadingH6ClausesubtextL2"/>
      </w:pPr>
      <w:r w:rsidRPr="002F2828">
        <w:t xml:space="preserve">of the total </w:t>
      </w:r>
      <w:r w:rsidR="00394849" w:rsidRPr="002F2828">
        <w:rPr>
          <w:b/>
        </w:rPr>
        <w:t>price</w:t>
      </w:r>
      <w:r w:rsidRPr="002F2828">
        <w:t xml:space="preserve">, </w:t>
      </w:r>
      <w:r w:rsidR="004A18E0" w:rsidRPr="002F2828">
        <w:t xml:space="preserve">the </w:t>
      </w:r>
      <w:r w:rsidR="00394849" w:rsidRPr="002F2828">
        <w:rPr>
          <w:b/>
        </w:rPr>
        <w:t xml:space="preserve">prices </w:t>
      </w:r>
      <w:r w:rsidRPr="002F2828">
        <w:t xml:space="preserve">represented by each </w:t>
      </w:r>
      <w:r w:rsidR="00B81431">
        <w:t xml:space="preserve">charge </w:t>
      </w:r>
      <w:r w:rsidR="00326506" w:rsidRPr="002F2828">
        <w:t xml:space="preserve">type </w:t>
      </w:r>
      <w:r w:rsidR="004A18E0" w:rsidRPr="002F2828">
        <w:t>applicable to them</w:t>
      </w:r>
    </w:p>
    <w:p w:rsidR="004A18E0" w:rsidRPr="002F2828" w:rsidRDefault="001C11A3" w:rsidP="00454351">
      <w:pPr>
        <w:pStyle w:val="HeadingH5ClausesubtextL1"/>
      </w:pPr>
      <w:r w:rsidRPr="002F2828">
        <w:t>T</w:t>
      </w:r>
      <w:r w:rsidR="004A18E0" w:rsidRPr="002F2828">
        <w:t xml:space="preserve">he number (or estimated number) of </w:t>
      </w:r>
      <w:r w:rsidR="004A18E0" w:rsidRPr="002F2828">
        <w:rPr>
          <w:b/>
        </w:rPr>
        <w:t>consumers</w:t>
      </w:r>
      <w:r w:rsidR="004A18E0" w:rsidRPr="002F2828">
        <w:t xml:space="preserve"> by whom each </w:t>
      </w:r>
      <w:r w:rsidR="00394849" w:rsidRPr="002F2828">
        <w:rPr>
          <w:b/>
        </w:rPr>
        <w:t>price</w:t>
      </w:r>
      <w:r w:rsidR="004A18E0" w:rsidRPr="002F2828">
        <w:t xml:space="preserve"> is payable</w:t>
      </w:r>
    </w:p>
    <w:p w:rsidR="004A18E0" w:rsidRPr="002F2828" w:rsidRDefault="001C11A3" w:rsidP="00454351">
      <w:pPr>
        <w:pStyle w:val="HeadingH5ClausesubtextL1"/>
      </w:pPr>
      <w:r w:rsidRPr="002F2828">
        <w:t>T</w:t>
      </w:r>
      <w:r w:rsidR="004A18E0" w:rsidRPr="002F2828">
        <w:t xml:space="preserve">he date at which each </w:t>
      </w:r>
      <w:r w:rsidR="00394849" w:rsidRPr="002F2828">
        <w:rPr>
          <w:b/>
        </w:rPr>
        <w:t>price</w:t>
      </w:r>
      <w:r w:rsidR="004A18E0" w:rsidRPr="002F2828">
        <w:t xml:space="preserve"> was or will be first introduced</w:t>
      </w:r>
    </w:p>
    <w:p w:rsidR="004A18E0" w:rsidRPr="002F2828" w:rsidRDefault="001C11A3" w:rsidP="00454351">
      <w:pPr>
        <w:pStyle w:val="HeadingH5ClausesubtextL1"/>
      </w:pPr>
      <w:r w:rsidRPr="002F2828">
        <w:t>T</w:t>
      </w:r>
      <w:r w:rsidR="004A18E0" w:rsidRPr="002F2828">
        <w:t xml:space="preserve">he </w:t>
      </w:r>
      <w:r w:rsidR="00394849" w:rsidRPr="002F2828">
        <w:rPr>
          <w:b/>
        </w:rPr>
        <w:t>price</w:t>
      </w:r>
      <w:r w:rsidR="004A18E0" w:rsidRPr="002F2828">
        <w:t xml:space="preserve"> that was payable </w:t>
      </w:r>
      <w:r w:rsidR="00C51E44" w:rsidRPr="00604256">
        <w:t xml:space="preserve">immediately before each current </w:t>
      </w:r>
      <w:r w:rsidR="00C51E44" w:rsidRPr="00604256">
        <w:rPr>
          <w:b/>
        </w:rPr>
        <w:t>price</w:t>
      </w:r>
      <w:r w:rsidR="00C51E44" w:rsidRPr="00604256">
        <w:t xml:space="preserve"> (if any) expressed in the manner referred to in subclause </w:t>
      </w:r>
      <w:r w:rsidR="00004445">
        <w:fldChar w:fldCharType="begin"/>
      </w:r>
      <w:r w:rsidR="00695A79">
        <w:instrText xml:space="preserve"> REF _Ref329115147 \r \h </w:instrText>
      </w:r>
      <w:r w:rsidR="00004445">
        <w:fldChar w:fldCharType="separate"/>
      </w:r>
      <w:r w:rsidR="00A84D28">
        <w:t>(1)</w:t>
      </w:r>
      <w:r w:rsidR="00004445">
        <w:fldChar w:fldCharType="end"/>
      </w:r>
      <w:r w:rsidR="00C51E44" w:rsidRPr="00604256">
        <w:t xml:space="preserve"> above.</w:t>
      </w:r>
    </w:p>
    <w:p w:rsidR="004A18E0" w:rsidRPr="002F2828" w:rsidRDefault="004A18E0" w:rsidP="00454351">
      <w:pPr>
        <w:pStyle w:val="HeadingH4Clausetext"/>
      </w:pPr>
      <w:bookmarkStart w:id="108" w:name="_Ref313456272"/>
      <w:r w:rsidRPr="002F2828">
        <w:t xml:space="preserve">Every </w:t>
      </w:r>
      <w:r w:rsidR="00854AA6" w:rsidRPr="002F2828">
        <w:rPr>
          <w:b/>
        </w:rPr>
        <w:t>GDB</w:t>
      </w:r>
      <w:r w:rsidRPr="002F2828">
        <w:t xml:space="preserve"> must, at least 20 working days before changing a </w:t>
      </w:r>
      <w:r w:rsidR="00394849" w:rsidRPr="002F2828">
        <w:rPr>
          <w:b/>
        </w:rPr>
        <w:t xml:space="preserve">price </w:t>
      </w:r>
      <w:r w:rsidRPr="002F2828">
        <w:t xml:space="preserve">or introducing a new </w:t>
      </w:r>
      <w:r w:rsidR="00394849" w:rsidRPr="002F2828">
        <w:rPr>
          <w:b/>
        </w:rPr>
        <w:t>price</w:t>
      </w:r>
      <w:r w:rsidRPr="002F2828">
        <w:t xml:space="preserve"> that is payable by </w:t>
      </w:r>
      <w:r w:rsidR="00171F4C" w:rsidRPr="002F2828">
        <w:t xml:space="preserve">5 </w:t>
      </w:r>
      <w:r w:rsidRPr="002F2828">
        <w:t xml:space="preserve">or more </w:t>
      </w:r>
      <w:r w:rsidRPr="002F2828">
        <w:rPr>
          <w:b/>
        </w:rPr>
        <w:t>consumers</w:t>
      </w:r>
      <w:r w:rsidRPr="002F2828">
        <w:t>,</w:t>
      </w:r>
      <w:bookmarkEnd w:id="108"/>
    </w:p>
    <w:p w:rsidR="00F56F86" w:rsidRDefault="001C11A3">
      <w:pPr>
        <w:pStyle w:val="HeadingH5ClausesubtextL1"/>
        <w:tabs>
          <w:tab w:val="num" w:pos="1418"/>
        </w:tabs>
      </w:pPr>
      <w:r w:rsidRPr="00454351">
        <w:rPr>
          <w:b/>
        </w:rPr>
        <w:t>P</w:t>
      </w:r>
      <w:r w:rsidR="004A18E0" w:rsidRPr="00454351">
        <w:rPr>
          <w:b/>
        </w:rPr>
        <w:t>ublicly disclose</w:t>
      </w:r>
      <w:r w:rsidR="004A18E0" w:rsidRPr="002F2828">
        <w:t>:</w:t>
      </w:r>
    </w:p>
    <w:p w:rsidR="004A18E0" w:rsidRPr="002F2828" w:rsidRDefault="004A18E0" w:rsidP="00454351">
      <w:pPr>
        <w:pStyle w:val="HeadingH6ClausesubtextL2"/>
      </w:pPr>
      <w:r w:rsidRPr="002F2828">
        <w:t xml:space="preserve">the information specified in clause </w:t>
      </w:r>
      <w:r w:rsidR="00004445">
        <w:fldChar w:fldCharType="begin"/>
      </w:r>
      <w:r w:rsidR="00784603">
        <w:instrText xml:space="preserve"> REF _Ref327900424 \r \h </w:instrText>
      </w:r>
      <w:r w:rsidR="00004445">
        <w:fldChar w:fldCharType="separate"/>
      </w:r>
      <w:r w:rsidR="00A84D28">
        <w:t>2.4.16</w:t>
      </w:r>
      <w:r w:rsidR="00004445">
        <w:fldChar w:fldCharType="end"/>
      </w:r>
      <w:r w:rsidR="00EC67FA" w:rsidRPr="002F2828">
        <w:t xml:space="preserve"> </w:t>
      </w:r>
      <w:r w:rsidR="00B56941" w:rsidRPr="002F2828">
        <w:t>of this section</w:t>
      </w:r>
      <w:r w:rsidRPr="002F2828">
        <w:t xml:space="preserve"> in respect of that </w:t>
      </w:r>
      <w:r w:rsidR="00394849" w:rsidRPr="002F2828">
        <w:rPr>
          <w:b/>
        </w:rPr>
        <w:t>price</w:t>
      </w:r>
    </w:p>
    <w:p w:rsidR="004A18E0" w:rsidRPr="002F2828" w:rsidRDefault="004A18E0" w:rsidP="00454351">
      <w:pPr>
        <w:pStyle w:val="HeadingH6ClausesubtextL2"/>
      </w:pPr>
      <w:proofErr w:type="gramStart"/>
      <w:r w:rsidRPr="002F2828">
        <w:t>an</w:t>
      </w:r>
      <w:proofErr w:type="gramEnd"/>
      <w:r w:rsidRPr="002F2828">
        <w:t xml:space="preserve"> explanation of the reasons for the new </w:t>
      </w:r>
      <w:r w:rsidR="00394849" w:rsidRPr="002F2828">
        <w:rPr>
          <w:b/>
        </w:rPr>
        <w:t xml:space="preserve">price </w:t>
      </w:r>
      <w:r w:rsidRPr="002F2828">
        <w:t xml:space="preserve">or the changed </w:t>
      </w:r>
      <w:r w:rsidR="00394849" w:rsidRPr="002F2828">
        <w:rPr>
          <w:b/>
        </w:rPr>
        <w:t>price</w:t>
      </w:r>
      <w:r w:rsidRPr="002F2828">
        <w:t>.</w:t>
      </w:r>
    </w:p>
    <w:p w:rsidR="00F56F86" w:rsidRDefault="009764C2">
      <w:pPr>
        <w:pStyle w:val="HeadingH5ClausesubtextL1"/>
      </w:pPr>
      <w:r w:rsidRPr="009764C2">
        <w:t>In addition, either-</w:t>
      </w:r>
    </w:p>
    <w:p w:rsidR="004A18E0" w:rsidRPr="002F2828" w:rsidRDefault="00C51E44" w:rsidP="00454351">
      <w:pPr>
        <w:pStyle w:val="HeadingH6ClausesubtextL2"/>
      </w:pPr>
      <w:r>
        <w:t>g</w:t>
      </w:r>
      <w:r w:rsidR="004A18E0" w:rsidRPr="002F2828">
        <w:t xml:space="preserve">ive written notice to each </w:t>
      </w:r>
      <w:r w:rsidR="004A18E0" w:rsidRPr="002F2828">
        <w:rPr>
          <w:b/>
        </w:rPr>
        <w:t>consumer</w:t>
      </w:r>
      <w:r w:rsidR="004A18E0" w:rsidRPr="002F2828">
        <w:t xml:space="preserve"> by whom that </w:t>
      </w:r>
      <w:r w:rsidR="00394849" w:rsidRPr="002F2828">
        <w:rPr>
          <w:b/>
        </w:rPr>
        <w:t>price</w:t>
      </w:r>
      <w:r w:rsidR="004A18E0" w:rsidRPr="002F2828">
        <w:t xml:space="preserve"> is payable the information specified in </w:t>
      </w:r>
      <w:r w:rsidR="00EC67FA" w:rsidRPr="002F2828">
        <w:t xml:space="preserve">clause </w:t>
      </w:r>
      <w:r w:rsidR="00004445">
        <w:fldChar w:fldCharType="begin"/>
      </w:r>
      <w:r w:rsidR="00784603">
        <w:instrText xml:space="preserve"> REF _Ref327900424 \r \h </w:instrText>
      </w:r>
      <w:r w:rsidR="00004445">
        <w:fldChar w:fldCharType="separate"/>
      </w:r>
      <w:r w:rsidR="00A84D28">
        <w:t>2.4.16</w:t>
      </w:r>
      <w:r w:rsidR="00004445">
        <w:fldChar w:fldCharType="end"/>
      </w:r>
      <w:r w:rsidR="00A35993" w:rsidRPr="002F2828">
        <w:t xml:space="preserve"> </w:t>
      </w:r>
      <w:r w:rsidR="00B56941" w:rsidRPr="002F2828">
        <w:t>of this section</w:t>
      </w:r>
      <w:r w:rsidR="004A18E0" w:rsidRPr="002F2828">
        <w:t xml:space="preserve"> in respect of that </w:t>
      </w:r>
      <w:r w:rsidR="00394849" w:rsidRPr="002F2828">
        <w:rPr>
          <w:b/>
        </w:rPr>
        <w:t>price</w:t>
      </w:r>
    </w:p>
    <w:p w:rsidR="004A18E0" w:rsidRPr="002F2828" w:rsidRDefault="00C51E44" w:rsidP="00454351">
      <w:pPr>
        <w:pStyle w:val="HeadingH6ClausesubtextL2"/>
      </w:pPr>
      <w:r>
        <w:t>n</w:t>
      </w:r>
      <w:r w:rsidR="004A18E0" w:rsidRPr="002F2828">
        <w:t xml:space="preserve">otify in the news section of </w:t>
      </w:r>
      <w:r>
        <w:t xml:space="preserve">either </w:t>
      </w:r>
      <w:r w:rsidR="004A18E0" w:rsidRPr="002F2828">
        <w:t xml:space="preserve">2 separate editions of each newspaper </w:t>
      </w:r>
      <w:r>
        <w:t xml:space="preserve">or online news media </w:t>
      </w:r>
      <w:r w:rsidR="004A18E0" w:rsidRPr="002F2828">
        <w:t xml:space="preserve">that is widely read by </w:t>
      </w:r>
      <w:r w:rsidR="004A18E0" w:rsidRPr="002F2828">
        <w:rPr>
          <w:b/>
        </w:rPr>
        <w:t>consumers</w:t>
      </w:r>
      <w:r w:rsidR="004A18E0" w:rsidRPr="002F2828">
        <w:t xml:space="preserve"> connected to that </w:t>
      </w:r>
      <w:proofErr w:type="spellStart"/>
      <w:r w:rsidR="00854AA6" w:rsidRPr="002F2828">
        <w:rPr>
          <w:b/>
        </w:rPr>
        <w:t>GDB</w:t>
      </w:r>
      <w:r w:rsidR="00F52091">
        <w:t>’s</w:t>
      </w:r>
      <w:proofErr w:type="spellEnd"/>
      <w:r w:rsidR="00F52091">
        <w:t xml:space="preserve"> </w:t>
      </w:r>
      <w:r w:rsidR="00F52091">
        <w:rPr>
          <w:b/>
        </w:rPr>
        <w:t>network</w:t>
      </w:r>
      <w:r w:rsidR="004A18E0" w:rsidRPr="002F2828">
        <w:t xml:space="preserve">, details of the changed </w:t>
      </w:r>
      <w:r w:rsidR="00394849" w:rsidRPr="002F2828">
        <w:rPr>
          <w:b/>
        </w:rPr>
        <w:t>price</w:t>
      </w:r>
      <w:r w:rsidR="004A18E0" w:rsidRPr="002F2828">
        <w:t>, including:</w:t>
      </w:r>
    </w:p>
    <w:p w:rsidR="004A18E0" w:rsidRPr="002F2828" w:rsidRDefault="004A18E0" w:rsidP="00454351">
      <w:pPr>
        <w:pStyle w:val="HeadingH7ClausesubtextL3"/>
      </w:pPr>
      <w:bookmarkStart w:id="109" w:name="_Ref313456349"/>
      <w:r w:rsidRPr="002F2828">
        <w:t xml:space="preserve">the changed </w:t>
      </w:r>
      <w:r w:rsidR="00394849" w:rsidRPr="002F2828">
        <w:rPr>
          <w:b/>
        </w:rPr>
        <w:t>price</w:t>
      </w:r>
      <w:r w:rsidRPr="002F2828">
        <w:rPr>
          <w:b/>
        </w:rPr>
        <w:t xml:space="preserve"> </w:t>
      </w:r>
      <w:r w:rsidRPr="002F2828">
        <w:t>alongside the immediately pre</w:t>
      </w:r>
      <w:r w:rsidR="004710CA" w:rsidRPr="002F2828">
        <w:t xml:space="preserve">ceding </w:t>
      </w:r>
      <w:r w:rsidR="00394849" w:rsidRPr="002F2828">
        <w:rPr>
          <w:b/>
        </w:rPr>
        <w:t>price</w:t>
      </w:r>
      <w:r w:rsidR="001652E3" w:rsidRPr="002F2828">
        <w:rPr>
          <w:b/>
        </w:rPr>
        <w:t xml:space="preserve"> </w:t>
      </w:r>
      <w:r w:rsidRPr="002F2828">
        <w:t>applicable</w:t>
      </w:r>
      <w:bookmarkEnd w:id="109"/>
    </w:p>
    <w:p w:rsidR="00594AAC" w:rsidRPr="002F2828" w:rsidRDefault="004A18E0" w:rsidP="00454351">
      <w:pPr>
        <w:pStyle w:val="HeadingH7ClausesubtextL3"/>
      </w:pPr>
      <w:bookmarkStart w:id="110" w:name="_Ref313456356"/>
      <w:proofErr w:type="gramStart"/>
      <w:r w:rsidRPr="002F2828">
        <w:t>contact</w:t>
      </w:r>
      <w:proofErr w:type="gramEnd"/>
      <w:r w:rsidRPr="002F2828">
        <w:t xml:space="preserve"> details where further details of the new or changed </w:t>
      </w:r>
      <w:r w:rsidR="00394849" w:rsidRPr="002F2828">
        <w:rPr>
          <w:b/>
        </w:rPr>
        <w:t>price</w:t>
      </w:r>
      <w:r w:rsidRPr="002F2828">
        <w:t xml:space="preserve"> can be found including the URL of the </w:t>
      </w:r>
      <w:proofErr w:type="spellStart"/>
      <w:r w:rsidRPr="002F2828">
        <w:rPr>
          <w:b/>
        </w:rPr>
        <w:t>G</w:t>
      </w:r>
      <w:r w:rsidR="005514F8" w:rsidRPr="002F2828">
        <w:rPr>
          <w:b/>
        </w:rPr>
        <w:t>D</w:t>
      </w:r>
      <w:r w:rsidRPr="002F2828">
        <w:rPr>
          <w:b/>
        </w:rPr>
        <w:t>B</w:t>
      </w:r>
      <w:r w:rsidRPr="002F2828">
        <w:t>’s</w:t>
      </w:r>
      <w:proofErr w:type="spellEnd"/>
      <w:r w:rsidRPr="002F2828">
        <w:t xml:space="preserve"> publicly accessible website.</w:t>
      </w:r>
      <w:bookmarkEnd w:id="110"/>
    </w:p>
    <w:p w:rsidR="00594AAC" w:rsidRPr="002F2828" w:rsidRDefault="004A18E0" w:rsidP="00454351">
      <w:pPr>
        <w:pStyle w:val="HeadingH4Clausetext"/>
      </w:pPr>
      <w:r w:rsidRPr="002F2828">
        <w:t xml:space="preserve">Every </w:t>
      </w:r>
      <w:r w:rsidR="00854AA6" w:rsidRPr="002F2828">
        <w:rPr>
          <w:b/>
        </w:rPr>
        <w:t>GDB</w:t>
      </w:r>
      <w:r w:rsidRPr="002F2828">
        <w:t xml:space="preserve"> must, in respect of all new </w:t>
      </w:r>
      <w:r w:rsidR="00394849" w:rsidRPr="002F2828">
        <w:rPr>
          <w:b/>
        </w:rPr>
        <w:t>prices</w:t>
      </w:r>
      <w:r w:rsidRPr="002F2828">
        <w:t xml:space="preserve"> payable by </w:t>
      </w:r>
      <w:r w:rsidR="00E55DC3" w:rsidRPr="002F2828">
        <w:t xml:space="preserve">4 </w:t>
      </w:r>
      <w:r w:rsidRPr="002F2828">
        <w:t xml:space="preserve">or fewer </w:t>
      </w:r>
      <w:r w:rsidRPr="002F2828">
        <w:rPr>
          <w:b/>
        </w:rPr>
        <w:t>consumers</w:t>
      </w:r>
      <w:r w:rsidRPr="002F2828">
        <w:t>,</w:t>
      </w:r>
    </w:p>
    <w:p w:rsidR="00594AAC" w:rsidRPr="002F2828" w:rsidRDefault="001C11A3" w:rsidP="00454351">
      <w:pPr>
        <w:pStyle w:val="HeadingH5ClausesubtextL1"/>
      </w:pPr>
      <w:r w:rsidRPr="002F2828">
        <w:t>A</w:t>
      </w:r>
      <w:r w:rsidR="004A18E0" w:rsidRPr="002F2828">
        <w:t xml:space="preserve">t least 20 working days before introducing a new </w:t>
      </w:r>
      <w:r w:rsidR="00394849" w:rsidRPr="002F2828">
        <w:rPr>
          <w:b/>
        </w:rPr>
        <w:t>price</w:t>
      </w:r>
      <w:r w:rsidR="004A18E0" w:rsidRPr="002F2828">
        <w:t xml:space="preserve">, give written notice to each </w:t>
      </w:r>
      <w:r w:rsidR="004A18E0" w:rsidRPr="002F2828">
        <w:rPr>
          <w:b/>
        </w:rPr>
        <w:t>consumer</w:t>
      </w:r>
      <w:r w:rsidR="004A18E0" w:rsidRPr="002F2828">
        <w:t xml:space="preserve"> by whom that </w:t>
      </w:r>
      <w:r w:rsidR="00394849" w:rsidRPr="002F2828">
        <w:rPr>
          <w:b/>
        </w:rPr>
        <w:t>price</w:t>
      </w:r>
      <w:r w:rsidR="004A18E0" w:rsidRPr="002F2828">
        <w:t xml:space="preserve"> is payable, the information specified in </w:t>
      </w:r>
      <w:r w:rsidR="00EC67FA" w:rsidRPr="002F2828">
        <w:t xml:space="preserve">clause </w:t>
      </w:r>
      <w:r w:rsidR="00004445">
        <w:fldChar w:fldCharType="begin"/>
      </w:r>
      <w:r w:rsidR="00C51E44">
        <w:instrText xml:space="preserve"> REF _Ref327900424 \r \h </w:instrText>
      </w:r>
      <w:r w:rsidR="00004445">
        <w:fldChar w:fldCharType="separate"/>
      </w:r>
      <w:r w:rsidR="00A84D28">
        <w:t>2.4.16</w:t>
      </w:r>
      <w:r w:rsidR="00004445">
        <w:fldChar w:fldCharType="end"/>
      </w:r>
      <w:r w:rsidR="00C51E44">
        <w:t xml:space="preserve"> </w:t>
      </w:r>
      <w:r w:rsidR="00B56941" w:rsidRPr="002F2828">
        <w:t>of this section</w:t>
      </w:r>
      <w:r w:rsidR="004A18E0" w:rsidRPr="002F2828">
        <w:t xml:space="preserve"> in respect of that </w:t>
      </w:r>
      <w:r w:rsidR="00394849" w:rsidRPr="002F2828">
        <w:rPr>
          <w:b/>
        </w:rPr>
        <w:t>price</w:t>
      </w:r>
    </w:p>
    <w:p w:rsidR="00F56F86" w:rsidRDefault="00C51E44">
      <w:pPr>
        <w:pStyle w:val="BodyText"/>
      </w:pPr>
      <w:r w:rsidRPr="006927B6">
        <w:rPr>
          <w:i/>
        </w:rPr>
        <w:t xml:space="preserve">Annual </w:t>
      </w:r>
      <w:r w:rsidR="00387C29">
        <w:rPr>
          <w:i/>
        </w:rPr>
        <w:t>d</w:t>
      </w:r>
      <w:r w:rsidRPr="006927B6">
        <w:rPr>
          <w:i/>
        </w:rPr>
        <w:t xml:space="preserve">isclosure of </w:t>
      </w:r>
      <w:r w:rsidR="00387C29">
        <w:rPr>
          <w:i/>
        </w:rPr>
        <w:t>i</w:t>
      </w:r>
      <w:r w:rsidRPr="006927B6">
        <w:rPr>
          <w:i/>
        </w:rPr>
        <w:t xml:space="preserve">nformation on </w:t>
      </w:r>
      <w:r w:rsidR="00387C29">
        <w:rPr>
          <w:i/>
        </w:rPr>
        <w:t>q</w:t>
      </w:r>
      <w:r w:rsidRPr="006927B6">
        <w:rPr>
          <w:i/>
        </w:rPr>
        <w:t xml:space="preserve">uantities and </w:t>
      </w:r>
      <w:r w:rsidR="00387C29">
        <w:rPr>
          <w:i/>
        </w:rPr>
        <w:t>r</w:t>
      </w:r>
      <w:r w:rsidRPr="006927B6">
        <w:rPr>
          <w:i/>
        </w:rPr>
        <w:t xml:space="preserve">evenues </w:t>
      </w:r>
      <w:r w:rsidR="00387C29">
        <w:rPr>
          <w:i/>
        </w:rPr>
        <w:t>b</w:t>
      </w:r>
      <w:r w:rsidRPr="006927B6">
        <w:rPr>
          <w:i/>
        </w:rPr>
        <w:t>illed</w:t>
      </w:r>
    </w:p>
    <w:p w:rsidR="004A18E0" w:rsidRPr="002F2828" w:rsidRDefault="004A18E0" w:rsidP="00454351">
      <w:pPr>
        <w:pStyle w:val="HeadingH4Clausetext"/>
      </w:pPr>
      <w:bookmarkStart w:id="111" w:name="_Ref328953510"/>
      <w:r w:rsidRPr="002F2828">
        <w:t xml:space="preserve">Within </w:t>
      </w:r>
      <w:r w:rsidR="00010E1E">
        <w:t>6</w:t>
      </w:r>
      <w:r w:rsidR="00171F4C" w:rsidRPr="002F2828">
        <w:t xml:space="preserve"> </w:t>
      </w:r>
      <w:r w:rsidRPr="002F2828">
        <w:t xml:space="preserve">months </w:t>
      </w:r>
      <w:r w:rsidR="00084DF8">
        <w:t>of</w:t>
      </w:r>
      <w:r w:rsidR="00084DF8" w:rsidRPr="002F2828">
        <w:t xml:space="preserve"> </w:t>
      </w:r>
      <w:r w:rsidRPr="002F2828">
        <w:t xml:space="preserve">the end of each </w:t>
      </w:r>
      <w:r w:rsidRPr="002F2828">
        <w:rPr>
          <w:b/>
        </w:rPr>
        <w:t>disclosure year</w:t>
      </w:r>
      <w:r w:rsidRPr="002F2828">
        <w:t xml:space="preserve">, every </w:t>
      </w:r>
      <w:r w:rsidRPr="002F2828">
        <w:rPr>
          <w:b/>
        </w:rPr>
        <w:t>GDB</w:t>
      </w:r>
      <w:r w:rsidRPr="002F2828">
        <w:t xml:space="preserve"> must </w:t>
      </w:r>
      <w:r w:rsidRPr="002F2828">
        <w:rPr>
          <w:b/>
        </w:rPr>
        <w:t>publicly disclose</w:t>
      </w:r>
      <w:r w:rsidRPr="002F2828">
        <w:t xml:space="preserve"> the information specified in Schedule </w:t>
      </w:r>
      <w:r w:rsidR="00933973">
        <w:t>8a and 8b</w:t>
      </w:r>
      <w:r w:rsidRPr="002F2828">
        <w:t>.</w:t>
      </w:r>
      <w:bookmarkEnd w:id="111"/>
    </w:p>
    <w:p w:rsidR="004A18E0" w:rsidRPr="002F2828" w:rsidRDefault="004A18E0" w:rsidP="00454351">
      <w:pPr>
        <w:pStyle w:val="HeadingH4Clausetext"/>
      </w:pPr>
      <w:bookmarkStart w:id="112" w:name="_Ref328953520"/>
      <w:r w:rsidRPr="002F2828">
        <w:t xml:space="preserve">If prices differ between </w:t>
      </w:r>
      <w:r w:rsidRPr="002F2828">
        <w:rPr>
          <w:b/>
        </w:rPr>
        <w:t>sub-networks</w:t>
      </w:r>
      <w:r w:rsidRPr="002F2828">
        <w:t xml:space="preserve">, a separate Schedule </w:t>
      </w:r>
      <w:r w:rsidR="00933973">
        <w:t>8a and 8b</w:t>
      </w:r>
      <w:r w:rsidRPr="002F2828">
        <w:t xml:space="preserve"> must be completed for each </w:t>
      </w:r>
      <w:r w:rsidRPr="002F2828">
        <w:rPr>
          <w:b/>
        </w:rPr>
        <w:t>sub-network</w:t>
      </w:r>
      <w:r w:rsidRPr="002F2828">
        <w:t>.</w:t>
      </w:r>
      <w:bookmarkEnd w:id="112"/>
    </w:p>
    <w:p w:rsidR="001C11A3" w:rsidRPr="002F2828" w:rsidRDefault="001C11A3" w:rsidP="001652E3">
      <w:pPr>
        <w:pStyle w:val="Para1"/>
        <w:rPr>
          <w:rFonts w:asciiTheme="minorHAnsi" w:hAnsiTheme="minorHAnsi"/>
        </w:rPr>
        <w:sectPr w:rsidR="001C11A3" w:rsidRPr="002F2828" w:rsidSect="00223E26">
          <w:type w:val="continuous"/>
          <w:pgSz w:w="11907" w:h="16840" w:code="9"/>
          <w:pgMar w:top="1440" w:right="1440" w:bottom="1440" w:left="1440" w:header="1134" w:footer="431" w:gutter="0"/>
          <w:cols w:space="720"/>
          <w:titlePg/>
        </w:sectPr>
      </w:pPr>
    </w:p>
    <w:p w:rsidR="009764C2" w:rsidRDefault="003B2FF5" w:rsidP="009764C2">
      <w:pPr>
        <w:pStyle w:val="HeadingH3SectionHeading"/>
        <w:keepNext/>
      </w:pPr>
      <w:bookmarkStart w:id="113" w:name="_Ref328951122"/>
      <w:bookmarkStart w:id="114" w:name="_Toc329301626"/>
      <w:r>
        <w:t>NON-FINANCIAL INFORMATION RELATED TO NETWORK ASSETS</w:t>
      </w:r>
      <w:bookmarkEnd w:id="113"/>
      <w:bookmarkEnd w:id="114"/>
    </w:p>
    <w:p w:rsidR="00F56F86" w:rsidRDefault="00167367">
      <w:pPr>
        <w:pStyle w:val="HeadingH4Clausetext"/>
      </w:pPr>
      <w:bookmarkStart w:id="115" w:name="_Ref328953556"/>
      <w:bookmarkStart w:id="116" w:name="_Ref329131096"/>
      <w:r w:rsidRPr="002F2828">
        <w:t xml:space="preserve">Within </w:t>
      </w:r>
      <w:r w:rsidR="00663C60">
        <w:t>6</w:t>
      </w:r>
      <w:r w:rsidRPr="002F2828">
        <w:t xml:space="preserve"> months after the end of each </w:t>
      </w:r>
      <w:r w:rsidRPr="002F2828">
        <w:rPr>
          <w:b/>
        </w:rPr>
        <w:t>disclosure year</w:t>
      </w:r>
      <w:r w:rsidRPr="002F2828">
        <w:t xml:space="preserve">, every </w:t>
      </w:r>
      <w:r w:rsidRPr="002F2828">
        <w:rPr>
          <w:b/>
        </w:rPr>
        <w:t xml:space="preserve">GDB </w:t>
      </w:r>
      <w:r w:rsidRPr="002F2828">
        <w:t>must—</w:t>
      </w:r>
      <w:bookmarkEnd w:id="115"/>
      <w:bookmarkEnd w:id="116"/>
    </w:p>
    <w:p w:rsidR="00F56F86" w:rsidRDefault="00167367">
      <w:pPr>
        <w:pStyle w:val="HeadingH5ClausesubtextL1"/>
      </w:pPr>
      <w:bookmarkStart w:id="117" w:name="_Ref329077161"/>
      <w:r w:rsidRPr="002F2828">
        <w:t xml:space="preserve">Complete each of the following reports by inserting all information relating to the </w:t>
      </w:r>
      <w:r w:rsidRPr="002F2828">
        <w:rPr>
          <w:b/>
        </w:rPr>
        <w:t>gas distribution services</w:t>
      </w:r>
      <w:r w:rsidRPr="002F2828">
        <w:t xml:space="preserve"> supplied by the </w:t>
      </w:r>
      <w:r w:rsidRPr="002F2828">
        <w:rPr>
          <w:b/>
        </w:rPr>
        <w:t xml:space="preserve">GDB </w:t>
      </w:r>
      <w:r w:rsidRPr="002F2828">
        <w:t xml:space="preserve">for the </w:t>
      </w:r>
      <w:r w:rsidRPr="002F2828">
        <w:rPr>
          <w:b/>
        </w:rPr>
        <w:t>disclosure year(s)</w:t>
      </w:r>
      <w:r w:rsidRPr="002F2828">
        <w:t xml:space="preserve"> provided for in the reports</w:t>
      </w:r>
      <w:r w:rsidR="00F4698F">
        <w:t>:</w:t>
      </w:r>
      <w:bookmarkEnd w:id="117"/>
    </w:p>
    <w:p w:rsidR="0020413A" w:rsidRPr="00604256" w:rsidRDefault="0020413A" w:rsidP="0020413A">
      <w:pPr>
        <w:pStyle w:val="HeadingH6ClausesubtextL2"/>
        <w:tabs>
          <w:tab w:val="clear" w:pos="0"/>
        </w:tabs>
        <w:ind w:left="2126" w:hanging="708"/>
      </w:pPr>
      <w:r w:rsidRPr="00604256">
        <w:t xml:space="preserve">the </w:t>
      </w:r>
      <w:r>
        <w:t xml:space="preserve">Asset Register </w:t>
      </w:r>
      <w:r w:rsidRPr="00604256">
        <w:t xml:space="preserve">set out in </w:t>
      </w:r>
      <w:r>
        <w:t>Schedule 9a</w:t>
      </w:r>
      <w:r w:rsidRPr="00604256">
        <w:t>;</w:t>
      </w:r>
    </w:p>
    <w:p w:rsidR="008F5D7B" w:rsidRDefault="0020413A" w:rsidP="0020413A">
      <w:pPr>
        <w:pStyle w:val="HeadingH6ClausesubtextL2"/>
        <w:tabs>
          <w:tab w:val="clear" w:pos="0"/>
        </w:tabs>
        <w:ind w:left="2126" w:hanging="708"/>
      </w:pPr>
      <w:r w:rsidRPr="00604256">
        <w:t xml:space="preserve">the </w:t>
      </w:r>
      <w:r>
        <w:t xml:space="preserve">Asset Age Profile </w:t>
      </w:r>
      <w:r w:rsidRPr="00604256">
        <w:t xml:space="preserve">set out in </w:t>
      </w:r>
      <w:r>
        <w:t xml:space="preserve">Schedule </w:t>
      </w:r>
      <w:r w:rsidRPr="00604256">
        <w:t>9</w:t>
      </w:r>
      <w:r>
        <w:t>b</w:t>
      </w:r>
      <w:r w:rsidRPr="00604256">
        <w:t>;</w:t>
      </w:r>
    </w:p>
    <w:p w:rsidR="008F5D7B" w:rsidRDefault="0020413A" w:rsidP="0020413A">
      <w:pPr>
        <w:pStyle w:val="HeadingH6ClausesubtextL2"/>
        <w:tabs>
          <w:tab w:val="clear" w:pos="0"/>
        </w:tabs>
        <w:ind w:left="2126" w:hanging="708"/>
      </w:pPr>
      <w:r w:rsidRPr="00604256">
        <w:t xml:space="preserve">the </w:t>
      </w:r>
      <w:r>
        <w:t xml:space="preserve">Report on Pipeline Data </w:t>
      </w:r>
      <w:r w:rsidRPr="00604256">
        <w:t xml:space="preserve">set out in </w:t>
      </w:r>
      <w:r>
        <w:t xml:space="preserve">Schedule </w:t>
      </w:r>
      <w:r w:rsidRPr="00604256">
        <w:t>9</w:t>
      </w:r>
      <w:r>
        <w:t>c</w:t>
      </w:r>
      <w:r w:rsidRPr="00604256">
        <w:t>;</w:t>
      </w:r>
    </w:p>
    <w:p w:rsidR="008F5D7B" w:rsidRDefault="0020413A" w:rsidP="0020413A">
      <w:pPr>
        <w:pStyle w:val="HeadingH6ClausesubtextL2"/>
        <w:tabs>
          <w:tab w:val="clear" w:pos="0"/>
        </w:tabs>
        <w:ind w:left="2126" w:hanging="708"/>
      </w:pPr>
      <w:r w:rsidRPr="00417E84">
        <w:t>the Report on Demand set out in Schedule 9</w:t>
      </w:r>
      <w:r>
        <w:t>d</w:t>
      </w:r>
      <w:r w:rsidRPr="00417E84">
        <w:t>;</w:t>
      </w:r>
    </w:p>
    <w:p w:rsidR="0020413A" w:rsidRDefault="0020413A" w:rsidP="0020413A">
      <w:pPr>
        <w:pStyle w:val="HeadingH6ClausesubtextL2"/>
        <w:tabs>
          <w:tab w:val="clear" w:pos="0"/>
        </w:tabs>
        <w:ind w:left="2126" w:hanging="708"/>
      </w:pPr>
      <w:r>
        <w:t>the Report on Network Reliability and Interruptions in Schedule 10;</w:t>
      </w:r>
    </w:p>
    <w:p w:rsidR="0020413A" w:rsidRPr="00417E84" w:rsidRDefault="0020413A" w:rsidP="0020413A">
      <w:pPr>
        <w:pStyle w:val="HeadingH6ClausesubtextL2"/>
        <w:tabs>
          <w:tab w:val="clear" w:pos="0"/>
        </w:tabs>
        <w:ind w:left="2126" w:hanging="708"/>
      </w:pPr>
      <w:r>
        <w:t xml:space="preserve">the Report on Network Integrity and Customer Service in Schedule 10a; </w:t>
      </w:r>
      <w:r w:rsidRPr="00417E84">
        <w:t>and</w:t>
      </w:r>
    </w:p>
    <w:p w:rsidR="00F56F86" w:rsidRDefault="00167367">
      <w:pPr>
        <w:pStyle w:val="HeadingH6ClausesubtextL2"/>
      </w:pPr>
      <w:proofErr w:type="gramStart"/>
      <w:r w:rsidRPr="00454351">
        <w:rPr>
          <w:b/>
        </w:rPr>
        <w:t>publicly</w:t>
      </w:r>
      <w:proofErr w:type="gramEnd"/>
      <w:r w:rsidRPr="006D09FF">
        <w:t xml:space="preserve"> disclose</w:t>
      </w:r>
      <w:r w:rsidRPr="002F2828">
        <w:t xml:space="preserve"> these reports.</w:t>
      </w:r>
    </w:p>
    <w:p w:rsidR="00F56F86" w:rsidRDefault="00167367">
      <w:pPr>
        <w:pStyle w:val="HeadingH5ClausesubtextL1"/>
      </w:pPr>
      <w:r w:rsidRPr="002F2828">
        <w:t xml:space="preserve">If a </w:t>
      </w:r>
      <w:r w:rsidRPr="002F2828">
        <w:rPr>
          <w:b/>
        </w:rPr>
        <w:t>GDB</w:t>
      </w:r>
      <w:r w:rsidRPr="002F2828">
        <w:t xml:space="preserve"> </w:t>
      </w:r>
      <w:r w:rsidR="00BD0E61">
        <w:t>has</w:t>
      </w:r>
      <w:r w:rsidRPr="002F2828">
        <w:t xml:space="preserve"> </w:t>
      </w:r>
      <w:r w:rsidRPr="002F2828">
        <w:rPr>
          <w:b/>
        </w:rPr>
        <w:t>sub-networks</w:t>
      </w:r>
      <w:r w:rsidRPr="002F2828">
        <w:t xml:space="preserve">, complete each of the following reports by inserting all information relating to the </w:t>
      </w:r>
      <w:r w:rsidRPr="002F2828">
        <w:rPr>
          <w:b/>
        </w:rPr>
        <w:t>gas distribution services</w:t>
      </w:r>
      <w:r w:rsidRPr="002F2828">
        <w:t xml:space="preserve"> supplied by the </w:t>
      </w:r>
      <w:r w:rsidRPr="002F2828">
        <w:rPr>
          <w:b/>
        </w:rPr>
        <w:t>GDB</w:t>
      </w:r>
      <w:r w:rsidRPr="002F2828">
        <w:t xml:space="preserve"> in relation to each </w:t>
      </w:r>
      <w:r w:rsidRPr="002F2828">
        <w:rPr>
          <w:b/>
        </w:rPr>
        <w:t>sub-network</w:t>
      </w:r>
      <w:r w:rsidRPr="002F2828">
        <w:t xml:space="preserve"> for the </w:t>
      </w:r>
      <w:r w:rsidRPr="002F2828">
        <w:rPr>
          <w:b/>
        </w:rPr>
        <w:t>disclosure years</w:t>
      </w:r>
      <w:r w:rsidRPr="002F2828">
        <w:t xml:space="preserve"> provided for in the report</w:t>
      </w:r>
      <w:r w:rsidR="00BD0E61">
        <w:t>s</w:t>
      </w:r>
      <w:r w:rsidRPr="002F2828">
        <w:t>—</w:t>
      </w:r>
    </w:p>
    <w:p w:rsidR="0020413A" w:rsidRPr="00604256" w:rsidRDefault="0020413A" w:rsidP="0020413A">
      <w:pPr>
        <w:pStyle w:val="HeadingH6ClausesubtextL2"/>
        <w:tabs>
          <w:tab w:val="clear" w:pos="0"/>
        </w:tabs>
        <w:ind w:left="2126" w:hanging="708"/>
      </w:pPr>
      <w:r w:rsidRPr="00604256">
        <w:t xml:space="preserve">the </w:t>
      </w:r>
      <w:r>
        <w:t xml:space="preserve">Asset Register </w:t>
      </w:r>
      <w:r w:rsidRPr="00604256">
        <w:t xml:space="preserve">set out in </w:t>
      </w:r>
      <w:r>
        <w:t>Schedule 9a</w:t>
      </w:r>
      <w:r w:rsidRPr="00604256">
        <w:t>;</w:t>
      </w:r>
    </w:p>
    <w:p w:rsidR="008F5D7B" w:rsidRDefault="0020413A" w:rsidP="0020413A">
      <w:pPr>
        <w:pStyle w:val="HeadingH6ClausesubtextL2"/>
        <w:tabs>
          <w:tab w:val="clear" w:pos="0"/>
        </w:tabs>
        <w:ind w:left="2126" w:hanging="708"/>
      </w:pPr>
      <w:r w:rsidRPr="00604256">
        <w:t xml:space="preserve">the </w:t>
      </w:r>
      <w:r>
        <w:t xml:space="preserve">Asset Age Profile </w:t>
      </w:r>
      <w:r w:rsidRPr="00604256">
        <w:t xml:space="preserve">set out in </w:t>
      </w:r>
      <w:r>
        <w:t xml:space="preserve">Schedule </w:t>
      </w:r>
      <w:r w:rsidRPr="00604256">
        <w:t>9</w:t>
      </w:r>
      <w:r>
        <w:t>b</w:t>
      </w:r>
      <w:r w:rsidRPr="00604256">
        <w:t>;</w:t>
      </w:r>
    </w:p>
    <w:p w:rsidR="008F5D7B" w:rsidRDefault="0020413A" w:rsidP="0020413A">
      <w:pPr>
        <w:pStyle w:val="HeadingH6ClausesubtextL2"/>
        <w:tabs>
          <w:tab w:val="clear" w:pos="0"/>
        </w:tabs>
        <w:ind w:left="2126" w:hanging="708"/>
      </w:pPr>
      <w:r w:rsidRPr="00604256">
        <w:t xml:space="preserve">the </w:t>
      </w:r>
      <w:r>
        <w:t xml:space="preserve">Report on Pipeline Data </w:t>
      </w:r>
      <w:r w:rsidRPr="00604256">
        <w:t xml:space="preserve">set out in </w:t>
      </w:r>
      <w:r>
        <w:t xml:space="preserve">Schedule </w:t>
      </w:r>
      <w:r w:rsidRPr="00604256">
        <w:t>9</w:t>
      </w:r>
      <w:r>
        <w:t>c</w:t>
      </w:r>
      <w:r w:rsidRPr="00604256">
        <w:t>;</w:t>
      </w:r>
    </w:p>
    <w:p w:rsidR="008F5D7B" w:rsidRDefault="0020413A">
      <w:pPr>
        <w:pStyle w:val="HeadingH6ClausesubtextL2"/>
      </w:pPr>
      <w:r w:rsidRPr="00417E84">
        <w:t>the Report on Demand set out in Schedule 9</w:t>
      </w:r>
      <w:r>
        <w:t>d</w:t>
      </w:r>
      <w:r w:rsidRPr="00417E84">
        <w:t>;</w:t>
      </w:r>
    </w:p>
    <w:p w:rsidR="0020413A" w:rsidRDefault="0020413A" w:rsidP="0020413A">
      <w:pPr>
        <w:pStyle w:val="HeadingH6ClausesubtextL2"/>
        <w:tabs>
          <w:tab w:val="clear" w:pos="0"/>
        </w:tabs>
        <w:ind w:left="2126" w:hanging="708"/>
      </w:pPr>
      <w:r>
        <w:t>the Report on Network Reliability and Interruptions in Schedule 10;</w:t>
      </w:r>
    </w:p>
    <w:p w:rsidR="00F56F86" w:rsidRDefault="0020413A">
      <w:pPr>
        <w:pStyle w:val="HeadingH6ClausesubtextL2"/>
        <w:tabs>
          <w:tab w:val="clear" w:pos="0"/>
        </w:tabs>
        <w:ind w:left="2126" w:hanging="708"/>
      </w:pPr>
      <w:r>
        <w:t xml:space="preserve">the Report on Network Integrity and Customer Service in Schedule 10a; </w:t>
      </w:r>
      <w:r w:rsidRPr="00417E84">
        <w:t>and</w:t>
      </w:r>
    </w:p>
    <w:p w:rsidR="00F56F86" w:rsidRDefault="00167367">
      <w:pPr>
        <w:pStyle w:val="HeadingH6ClausesubtextL2"/>
      </w:pPr>
      <w:proofErr w:type="gramStart"/>
      <w:r w:rsidRPr="00454351">
        <w:rPr>
          <w:b/>
        </w:rPr>
        <w:t>publicly</w:t>
      </w:r>
      <w:proofErr w:type="gramEnd"/>
      <w:r w:rsidRPr="00454351">
        <w:rPr>
          <w:b/>
        </w:rPr>
        <w:t xml:space="preserve"> disclose</w:t>
      </w:r>
      <w:r w:rsidRPr="002F2828">
        <w:t xml:space="preserve"> these reports.</w:t>
      </w:r>
    </w:p>
    <w:p w:rsidR="009764C2" w:rsidRDefault="00F20346" w:rsidP="009764C2">
      <w:pPr>
        <w:pStyle w:val="HeadingH3SectionHeading"/>
        <w:keepNext/>
      </w:pPr>
      <w:bookmarkStart w:id="118" w:name="_Ref328951135"/>
      <w:bookmarkStart w:id="119" w:name="_Toc329301627"/>
      <w:r w:rsidRPr="002F2828">
        <w:t xml:space="preserve">ASSET MANAGEMENT </w:t>
      </w:r>
      <w:r w:rsidR="003B2FF5">
        <w:t>PLANS AND FORECAST INFORMATION</w:t>
      </w:r>
      <w:bookmarkEnd w:id="118"/>
      <w:bookmarkEnd w:id="119"/>
    </w:p>
    <w:p w:rsidR="008837D4" w:rsidRPr="002F2828" w:rsidRDefault="008837D4" w:rsidP="00454351">
      <w:pPr>
        <w:pStyle w:val="HeadingH4Clausetext"/>
      </w:pPr>
      <w:bookmarkStart w:id="120" w:name="_Toc311193362"/>
      <w:bookmarkStart w:id="121" w:name="_Toc311195603"/>
      <w:bookmarkStart w:id="122" w:name="_Toc311195831"/>
      <w:bookmarkStart w:id="123" w:name="_Toc311196429"/>
      <w:bookmarkStart w:id="124" w:name="_Toc310881591"/>
      <w:bookmarkStart w:id="125" w:name="_Toc310884659"/>
      <w:bookmarkStart w:id="126" w:name="_Toc310888404"/>
      <w:bookmarkStart w:id="127" w:name="_Toc310881592"/>
      <w:bookmarkStart w:id="128" w:name="_Toc310884660"/>
      <w:bookmarkStart w:id="129" w:name="_Toc310888405"/>
      <w:bookmarkStart w:id="130" w:name="_Toc310881593"/>
      <w:bookmarkStart w:id="131" w:name="_Toc310884661"/>
      <w:bookmarkStart w:id="132" w:name="_Toc310888406"/>
      <w:bookmarkStart w:id="133" w:name="_Toc310881594"/>
      <w:bookmarkStart w:id="134" w:name="_Toc310884662"/>
      <w:bookmarkStart w:id="135" w:name="_Toc310888407"/>
      <w:bookmarkStart w:id="136" w:name="_Toc310881595"/>
      <w:bookmarkStart w:id="137" w:name="_Toc310884663"/>
      <w:bookmarkStart w:id="138" w:name="_Toc310888408"/>
      <w:bookmarkStart w:id="139" w:name="_Toc310881596"/>
      <w:bookmarkStart w:id="140" w:name="_Toc310884664"/>
      <w:bookmarkStart w:id="141" w:name="_Toc310888409"/>
      <w:bookmarkStart w:id="142" w:name="_Toc310881597"/>
      <w:bookmarkStart w:id="143" w:name="_Toc310884665"/>
      <w:bookmarkStart w:id="144" w:name="_Toc310888410"/>
      <w:bookmarkStart w:id="145" w:name="_Ref308090365"/>
      <w:bookmarkStart w:id="146" w:name="_Ref308724063"/>
      <w:bookmarkStart w:id="147" w:name="_Ref311133930"/>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r w:rsidRPr="002F2828">
        <w:t>Subject to clause</w:t>
      </w:r>
      <w:r w:rsidR="00EC586B" w:rsidRPr="002F2828">
        <w:t xml:space="preserve"> </w:t>
      </w:r>
      <w:r w:rsidR="00004445">
        <w:fldChar w:fldCharType="begin"/>
      </w:r>
      <w:r w:rsidR="0066706E">
        <w:instrText xml:space="preserve"> REF _Ref326252671 \r \h </w:instrText>
      </w:r>
      <w:r w:rsidR="00004445">
        <w:fldChar w:fldCharType="separate"/>
      </w:r>
      <w:r w:rsidR="00A84D28">
        <w:t>2.6.3</w:t>
      </w:r>
      <w:r w:rsidR="00004445">
        <w:fldChar w:fldCharType="end"/>
      </w:r>
      <w:r w:rsidR="00957D68" w:rsidRPr="002F2828">
        <w:t xml:space="preserve"> </w:t>
      </w:r>
      <w:r w:rsidR="00B56941" w:rsidRPr="002F2828">
        <w:t>of this section</w:t>
      </w:r>
      <w:r w:rsidR="00034168">
        <w:t xml:space="preserve">, </w:t>
      </w:r>
      <w:r w:rsidRPr="002F2828">
        <w:t xml:space="preserve">before the start of each </w:t>
      </w:r>
      <w:r w:rsidRPr="002F2828">
        <w:rPr>
          <w:b/>
        </w:rPr>
        <w:t>disclosure year</w:t>
      </w:r>
      <w:r w:rsidR="009764C2" w:rsidRPr="009764C2">
        <w:t xml:space="preserve"> co</w:t>
      </w:r>
      <w:r w:rsidR="00172F1F">
        <w:t xml:space="preserve">mmencing with the </w:t>
      </w:r>
      <w:r w:rsidR="009764C2" w:rsidRPr="009764C2">
        <w:rPr>
          <w:b/>
        </w:rPr>
        <w:t>disclosure year</w:t>
      </w:r>
      <w:r w:rsidR="00172F1F">
        <w:t xml:space="preserve"> 2014</w:t>
      </w:r>
      <w:r w:rsidRPr="002F2828">
        <w:t xml:space="preserve">, every </w:t>
      </w:r>
      <w:r w:rsidR="00EC586B" w:rsidRPr="002F2828">
        <w:rPr>
          <w:b/>
        </w:rPr>
        <w:t>GDB</w:t>
      </w:r>
      <w:r w:rsidRPr="002F2828">
        <w:rPr>
          <w:b/>
        </w:rPr>
        <w:t xml:space="preserve"> </w:t>
      </w:r>
      <w:r w:rsidRPr="002F2828">
        <w:t>must</w:t>
      </w:r>
      <w:bookmarkStart w:id="148" w:name="_Ref308103390"/>
      <w:bookmarkEnd w:id="145"/>
      <w:bookmarkEnd w:id="146"/>
      <w:r w:rsidRPr="002F2828">
        <w:t xml:space="preserve"> </w:t>
      </w:r>
      <w:bookmarkStart w:id="149" w:name="_Ref310787386"/>
      <w:r w:rsidRPr="002F2828">
        <w:t xml:space="preserve">complete and </w:t>
      </w:r>
      <w:r w:rsidRPr="002F2828">
        <w:rPr>
          <w:b/>
        </w:rPr>
        <w:t>publicly disclose</w:t>
      </w:r>
      <w:r w:rsidRPr="002F2828">
        <w:t xml:space="preserve"> an </w:t>
      </w:r>
      <w:r w:rsidR="00F32B71" w:rsidRPr="002F2828">
        <w:rPr>
          <w:b/>
        </w:rPr>
        <w:t>AMP</w:t>
      </w:r>
      <w:r w:rsidR="00F32B71" w:rsidRPr="002F2828">
        <w:t xml:space="preserve"> </w:t>
      </w:r>
      <w:r w:rsidRPr="002F2828">
        <w:t>that—</w:t>
      </w:r>
      <w:bookmarkEnd w:id="147"/>
      <w:bookmarkEnd w:id="148"/>
      <w:bookmarkEnd w:id="149"/>
    </w:p>
    <w:p w:rsidR="008837D4" w:rsidRPr="002F2828" w:rsidRDefault="001F1B53" w:rsidP="00454351">
      <w:pPr>
        <w:pStyle w:val="HeadingH5ClausesubtextL1"/>
      </w:pPr>
      <w:r w:rsidRPr="002F2828">
        <w:t>R</w:t>
      </w:r>
      <w:r w:rsidR="008837D4" w:rsidRPr="002F2828">
        <w:t xml:space="preserve">elates to the </w:t>
      </w:r>
      <w:r w:rsidR="005B0AF9" w:rsidRPr="002F2828">
        <w:rPr>
          <w:b/>
        </w:rPr>
        <w:t>gas distribution services</w:t>
      </w:r>
      <w:r w:rsidR="008837D4" w:rsidRPr="002F2828">
        <w:t xml:space="preserve"> supplied by the </w:t>
      </w:r>
      <w:r w:rsidR="00EC586B" w:rsidRPr="002F2828">
        <w:rPr>
          <w:b/>
        </w:rPr>
        <w:t>GDB</w:t>
      </w:r>
    </w:p>
    <w:p w:rsidR="008837D4" w:rsidRPr="002F2828" w:rsidRDefault="001F1B53" w:rsidP="00454351">
      <w:pPr>
        <w:pStyle w:val="HeadingH5ClausesubtextL1"/>
      </w:pPr>
      <w:bookmarkStart w:id="150" w:name="_Ref328671002"/>
      <w:bookmarkStart w:id="151" w:name="_Ref311127591"/>
      <w:r w:rsidRPr="002F2828">
        <w:t>M</w:t>
      </w:r>
      <w:r w:rsidR="008837D4" w:rsidRPr="002F2828">
        <w:t xml:space="preserve">eets the purposes of </w:t>
      </w:r>
      <w:r w:rsidR="008837D4" w:rsidRPr="002F2828">
        <w:rPr>
          <w:b/>
        </w:rPr>
        <w:t>AMP</w:t>
      </w:r>
      <w:r w:rsidR="008837D4" w:rsidRPr="002F2828">
        <w:t xml:space="preserve"> disclosure set out in clause</w:t>
      </w:r>
      <w:r w:rsidR="00EC586B" w:rsidRPr="002F2828">
        <w:t xml:space="preserve"> </w:t>
      </w:r>
      <w:fldSimple w:instr=" REF _Ref313456371 \r \h  \* MERGEFORMAT ">
        <w:r w:rsidR="00A84D28">
          <w:t>2.6.2</w:t>
        </w:r>
      </w:fldSimple>
      <w:r w:rsidR="00957D68" w:rsidRPr="002F2828">
        <w:t xml:space="preserve"> </w:t>
      </w:r>
      <w:r w:rsidR="00F4698F">
        <w:t>below</w:t>
      </w:r>
      <w:bookmarkEnd w:id="150"/>
      <w:bookmarkEnd w:id="151"/>
    </w:p>
    <w:p w:rsidR="008837D4" w:rsidRPr="002F2828" w:rsidRDefault="001F1B53" w:rsidP="00454351">
      <w:pPr>
        <w:pStyle w:val="HeadingH5ClausesubtextL1"/>
      </w:pPr>
      <w:r w:rsidRPr="002F2828">
        <w:t>H</w:t>
      </w:r>
      <w:r w:rsidR="008837D4" w:rsidRPr="002F2828">
        <w:t xml:space="preserve">as been prepared in accordance with </w:t>
      </w:r>
      <w:r w:rsidR="006634E8" w:rsidRPr="002F2828">
        <w:t>Appendix A</w:t>
      </w:r>
    </w:p>
    <w:p w:rsidR="008308D3" w:rsidRDefault="00376511" w:rsidP="00454351">
      <w:pPr>
        <w:pStyle w:val="HeadingH5ClausesubtextL1"/>
      </w:pPr>
      <w:r>
        <w:t>Contain</w:t>
      </w:r>
      <w:r w:rsidR="00F4698F">
        <w:t>s</w:t>
      </w:r>
      <w:r>
        <w:t xml:space="preserve"> the completed tables </w:t>
      </w:r>
      <w:r w:rsidR="00632E4D">
        <w:t>required in</w:t>
      </w:r>
      <w:r w:rsidR="00A44829">
        <w:t xml:space="preserve"> clause </w:t>
      </w:r>
      <w:r w:rsidR="00004445">
        <w:fldChar w:fldCharType="begin"/>
      </w:r>
      <w:r w:rsidR="008308D3">
        <w:instrText xml:space="preserve"> REF _Ref327953766 \r \h </w:instrText>
      </w:r>
      <w:r w:rsidR="00004445">
        <w:fldChar w:fldCharType="separate"/>
      </w:r>
      <w:r w:rsidR="00A84D28">
        <w:t>2.6.5(2)</w:t>
      </w:r>
      <w:r w:rsidR="00004445">
        <w:fldChar w:fldCharType="end"/>
      </w:r>
      <w:r w:rsidR="008308D3">
        <w:t xml:space="preserve"> below</w:t>
      </w:r>
    </w:p>
    <w:p w:rsidR="008837D4" w:rsidRPr="002F2828" w:rsidRDefault="008308D3" w:rsidP="00655F91">
      <w:pPr>
        <w:pStyle w:val="HeadingH5ClausesubtextL1"/>
      </w:pPr>
      <w:r>
        <w:t>Contain</w:t>
      </w:r>
      <w:r w:rsidR="00F4698F">
        <w:t>s</w:t>
      </w:r>
      <w:r>
        <w:t xml:space="preserve"> </w:t>
      </w:r>
      <w:r w:rsidRPr="002D3B77">
        <w:t xml:space="preserve">the Report </w:t>
      </w:r>
      <w:r w:rsidR="0066208C">
        <w:t xml:space="preserve">on Asset </w:t>
      </w:r>
      <w:r w:rsidR="006F4287">
        <w:t xml:space="preserve">Management </w:t>
      </w:r>
      <w:r w:rsidR="0066208C">
        <w:t xml:space="preserve">Maturity </w:t>
      </w:r>
      <w:r w:rsidRPr="002D3B77">
        <w:t>set out in Schedule 1</w:t>
      </w:r>
      <w:r w:rsidR="0066208C">
        <w:t>3</w:t>
      </w:r>
      <w:r w:rsidR="008837D4" w:rsidRPr="002F2828">
        <w:t>.</w:t>
      </w:r>
    </w:p>
    <w:p w:rsidR="008837D4" w:rsidRPr="002F2828" w:rsidRDefault="008837D4" w:rsidP="00454351">
      <w:pPr>
        <w:pStyle w:val="HeadingH4Clausetext"/>
      </w:pPr>
      <w:bookmarkStart w:id="152" w:name="_Ref313456371"/>
      <w:r w:rsidRPr="002F2828">
        <w:t xml:space="preserve">The purposes of </w:t>
      </w:r>
      <w:r w:rsidRPr="002F2828">
        <w:rPr>
          <w:b/>
        </w:rPr>
        <w:t>AMP</w:t>
      </w:r>
      <w:r w:rsidRPr="002F2828">
        <w:t xml:space="preserve"> disclosure </w:t>
      </w:r>
      <w:r w:rsidR="007B607D" w:rsidRPr="002F2828">
        <w:t xml:space="preserve">referred to in subclause </w:t>
      </w:r>
      <w:r w:rsidR="00004445">
        <w:fldChar w:fldCharType="begin"/>
      </w:r>
      <w:r w:rsidR="00E64614">
        <w:instrText xml:space="preserve"> REF _Ref328671002 \r \h </w:instrText>
      </w:r>
      <w:r w:rsidR="00004445">
        <w:fldChar w:fldCharType="separate"/>
      </w:r>
      <w:r w:rsidR="00A84D28">
        <w:t>2.6.1(2)</w:t>
      </w:r>
      <w:r w:rsidR="00004445">
        <w:fldChar w:fldCharType="end"/>
      </w:r>
      <w:r w:rsidR="007B607D" w:rsidRPr="002F2828">
        <w:t xml:space="preserve"> </w:t>
      </w:r>
      <w:r w:rsidR="00F4698F">
        <w:t>above</w:t>
      </w:r>
      <w:r w:rsidR="007B607D" w:rsidRPr="002F2828">
        <w:t xml:space="preserve"> </w:t>
      </w:r>
      <w:r w:rsidRPr="002F2828">
        <w:t xml:space="preserve">are that </w:t>
      </w:r>
      <w:bookmarkStart w:id="153" w:name="_Ref310846915"/>
      <w:r w:rsidR="00F32B71" w:rsidRPr="002F2828">
        <w:t xml:space="preserve">the </w:t>
      </w:r>
      <w:r w:rsidRPr="002F2828">
        <w:rPr>
          <w:b/>
        </w:rPr>
        <w:t>AMP</w:t>
      </w:r>
      <w:r w:rsidRPr="002F2828">
        <w:t>—</w:t>
      </w:r>
      <w:bookmarkEnd w:id="152"/>
      <w:bookmarkEnd w:id="153"/>
    </w:p>
    <w:p w:rsidR="008837D4" w:rsidRPr="002F2828" w:rsidRDefault="001F1B53" w:rsidP="00454351">
      <w:pPr>
        <w:pStyle w:val="HeadingH5ClausesubtextL1"/>
      </w:pPr>
      <w:r w:rsidRPr="002F2828">
        <w:t>M</w:t>
      </w:r>
      <w:r w:rsidR="008837D4" w:rsidRPr="002F2828">
        <w:t>ust provide sufficient information for interested person</w:t>
      </w:r>
      <w:r w:rsidR="00F32B71" w:rsidRPr="002F2828">
        <w:t>s</w:t>
      </w:r>
      <w:r w:rsidR="008837D4" w:rsidRPr="002F2828">
        <w:t xml:space="preserve"> to assess whether:</w:t>
      </w:r>
    </w:p>
    <w:p w:rsidR="008837D4" w:rsidRPr="002F2828" w:rsidRDefault="008837D4" w:rsidP="00454351">
      <w:pPr>
        <w:pStyle w:val="HeadingH6ClausesubtextL2"/>
      </w:pPr>
      <w:r w:rsidRPr="002F2828">
        <w:t>assets are being managed for the long term</w:t>
      </w:r>
    </w:p>
    <w:p w:rsidR="00F20346" w:rsidRDefault="008837D4" w:rsidP="00454351">
      <w:pPr>
        <w:pStyle w:val="HeadingH6ClausesubtextL2"/>
      </w:pPr>
      <w:r w:rsidRPr="002F2828">
        <w:t>the required level of performance is being delivered</w:t>
      </w:r>
    </w:p>
    <w:p w:rsidR="008837D4" w:rsidRPr="002F2828" w:rsidRDefault="008837D4" w:rsidP="00454351">
      <w:pPr>
        <w:pStyle w:val="HeadingH6ClausesubtextL2"/>
      </w:pPr>
      <w:r w:rsidRPr="002F2828">
        <w:t>costs are efficient and performance efficiencies are being achieved</w:t>
      </w:r>
    </w:p>
    <w:p w:rsidR="008837D4" w:rsidRPr="002F2828" w:rsidRDefault="001F1B53" w:rsidP="00454351">
      <w:pPr>
        <w:pStyle w:val="HeadingH5ClausesubtextL1"/>
      </w:pPr>
      <w:r w:rsidRPr="002F2828">
        <w:t>M</w:t>
      </w:r>
      <w:r w:rsidR="008837D4" w:rsidRPr="002F2828">
        <w:t xml:space="preserve">ust be </w:t>
      </w:r>
      <w:r w:rsidR="00F263FD" w:rsidRPr="002F2828">
        <w:t xml:space="preserve">capable of being </w:t>
      </w:r>
      <w:r w:rsidR="008837D4" w:rsidRPr="002F2828">
        <w:t>fully understood by interested person</w:t>
      </w:r>
      <w:r w:rsidR="00F32B71" w:rsidRPr="002F2828">
        <w:t>s</w:t>
      </w:r>
      <w:r w:rsidR="008837D4" w:rsidRPr="002F2828">
        <w:t xml:space="preserve"> with a reasonable understanding of the management of infrastructure assets</w:t>
      </w:r>
    </w:p>
    <w:p w:rsidR="008837D4" w:rsidRPr="002F2828" w:rsidRDefault="001F1B53" w:rsidP="00454351">
      <w:pPr>
        <w:pStyle w:val="HeadingH5ClausesubtextL1"/>
      </w:pPr>
      <w:r w:rsidRPr="002F2828">
        <w:t>S</w:t>
      </w:r>
      <w:r w:rsidR="008837D4" w:rsidRPr="002F2828">
        <w:t>hould provide a sound basis for the ongoing assessment of asset-related risks, particularly high impact asset-related risks.</w:t>
      </w:r>
    </w:p>
    <w:p w:rsidR="008837D4" w:rsidRPr="002F2828" w:rsidRDefault="008837D4" w:rsidP="00454351">
      <w:pPr>
        <w:pStyle w:val="HeadingH4Clausetext"/>
      </w:pPr>
      <w:bookmarkStart w:id="154" w:name="_Ref326252671"/>
      <w:r w:rsidRPr="002F2828">
        <w:t xml:space="preserve">If </w:t>
      </w:r>
      <w:r w:rsidR="008264CC">
        <w:t>the disclosure year described in</w:t>
      </w:r>
      <w:r w:rsidRPr="002F2828">
        <w:t xml:space="preserve"> clause </w:t>
      </w:r>
      <w:fldSimple w:instr=" REF _Ref311133930 \r \h  \* MERGEFORMAT ">
        <w:r w:rsidR="00A84D28">
          <w:t>2.6.1</w:t>
        </w:r>
      </w:fldSimple>
      <w:r w:rsidRPr="002F2828">
        <w:t xml:space="preserve"> </w:t>
      </w:r>
      <w:r w:rsidR="00F109EA">
        <w:t>above</w:t>
      </w:r>
      <w:r w:rsidR="00957D68" w:rsidRPr="002F2828">
        <w:t xml:space="preserve"> </w:t>
      </w:r>
      <w:r w:rsidR="0066706E">
        <w:t>does not coincide with</w:t>
      </w:r>
      <w:r w:rsidR="008264CC">
        <w:t xml:space="preserve"> the first or fourth </w:t>
      </w:r>
      <w:r w:rsidR="008264CC" w:rsidRPr="00C332A2">
        <w:rPr>
          <w:b/>
        </w:rPr>
        <w:t>disclosure year</w:t>
      </w:r>
      <w:r w:rsidR="008264CC">
        <w:t xml:space="preserve"> of </w:t>
      </w:r>
      <w:r w:rsidR="008308D3">
        <w:t>the</w:t>
      </w:r>
      <w:r w:rsidR="008264CC">
        <w:t xml:space="preserve"> </w:t>
      </w:r>
      <w:r w:rsidR="00B03D11" w:rsidRPr="00B03D11">
        <w:rPr>
          <w:b/>
        </w:rPr>
        <w:t xml:space="preserve">DPP </w:t>
      </w:r>
      <w:r w:rsidR="008264CC" w:rsidRPr="00B03D11">
        <w:rPr>
          <w:b/>
        </w:rPr>
        <w:t>regulatory period</w:t>
      </w:r>
      <w:r w:rsidR="00C332A2">
        <w:t xml:space="preserve"> and if the </w:t>
      </w:r>
      <w:r w:rsidR="009764C2" w:rsidRPr="009764C2">
        <w:rPr>
          <w:b/>
        </w:rPr>
        <w:t>GDB</w:t>
      </w:r>
      <w:r w:rsidR="00C332A2">
        <w:t xml:space="preserve"> has publicly disclosed an </w:t>
      </w:r>
      <w:r w:rsidR="009764C2" w:rsidRPr="009764C2">
        <w:rPr>
          <w:b/>
        </w:rPr>
        <w:t>AMP</w:t>
      </w:r>
      <w:r w:rsidR="00C332A2">
        <w:t xml:space="preserve"> under clause </w:t>
      </w:r>
      <w:fldSimple w:instr=" REF _Ref311133930 \r \h  \* MERGEFORMAT ">
        <w:r w:rsidR="00A84D28">
          <w:t>2.6.1</w:t>
        </w:r>
      </w:fldSimple>
      <w:r w:rsidR="00C332A2">
        <w:t xml:space="preserve"> above in respect of a prior </w:t>
      </w:r>
      <w:r w:rsidR="00C332A2" w:rsidRPr="00C332A2">
        <w:rPr>
          <w:b/>
        </w:rPr>
        <w:t>disclosure year</w:t>
      </w:r>
      <w:r w:rsidRPr="002F2828">
        <w:t xml:space="preserve">, then </w:t>
      </w:r>
      <w:r w:rsidR="00F32B71" w:rsidRPr="002F2828">
        <w:t xml:space="preserve">the </w:t>
      </w:r>
      <w:r w:rsidR="00F32B71" w:rsidRPr="002F2828">
        <w:rPr>
          <w:b/>
        </w:rPr>
        <w:t>GDB</w:t>
      </w:r>
      <w:r w:rsidR="00F32B71" w:rsidRPr="002F2828">
        <w:t xml:space="preserve"> </w:t>
      </w:r>
      <w:r w:rsidRPr="002F2828">
        <w:t>may—</w:t>
      </w:r>
      <w:bookmarkEnd w:id="154"/>
    </w:p>
    <w:p w:rsidR="008837D4" w:rsidRPr="002F2828" w:rsidRDefault="001F1B53" w:rsidP="00454351">
      <w:pPr>
        <w:pStyle w:val="HeadingH5ClausesubtextL1"/>
      </w:pPr>
      <w:r w:rsidRPr="002F2828">
        <w:t>E</w:t>
      </w:r>
      <w:r w:rsidR="008837D4" w:rsidRPr="002F2828">
        <w:t xml:space="preserve">lect to not comply with </w:t>
      </w:r>
      <w:r w:rsidR="00957D68" w:rsidRPr="002F2828">
        <w:t xml:space="preserve">clause </w:t>
      </w:r>
      <w:fldSimple w:instr=" REF _Ref311133930 \r \h  \* MERGEFORMAT ">
        <w:r w:rsidR="00A84D28">
          <w:t>2.6.1</w:t>
        </w:r>
      </w:fldSimple>
      <w:r w:rsidR="00957D68" w:rsidRPr="002F2828">
        <w:t xml:space="preserve"> </w:t>
      </w:r>
      <w:r w:rsidR="00F4698F">
        <w:t>above</w:t>
      </w:r>
      <w:r w:rsidR="00F32B71" w:rsidRPr="002F2828">
        <w:t xml:space="preserve"> </w:t>
      </w:r>
      <w:r w:rsidR="008837D4" w:rsidRPr="002F2828">
        <w:t xml:space="preserve">in the current </w:t>
      </w:r>
      <w:r w:rsidR="008837D4" w:rsidRPr="002F2828">
        <w:rPr>
          <w:b/>
        </w:rPr>
        <w:t>disclosure year</w:t>
      </w:r>
      <w:r w:rsidR="008837D4" w:rsidRPr="002F2828">
        <w:t>; and</w:t>
      </w:r>
    </w:p>
    <w:p w:rsidR="008837D4" w:rsidRPr="002F2828" w:rsidRDefault="001F1B53" w:rsidP="00454351">
      <w:pPr>
        <w:pStyle w:val="HeadingH5ClausesubtextL1"/>
      </w:pPr>
      <w:bookmarkStart w:id="155" w:name="_Ref313456425"/>
      <w:bookmarkStart w:id="156" w:name="_Ref310790168"/>
      <w:bookmarkStart w:id="157" w:name="_Ref311133516"/>
      <w:r w:rsidRPr="002F2828">
        <w:t>C</w:t>
      </w:r>
      <w:r w:rsidR="008837D4" w:rsidRPr="002F2828">
        <w:t xml:space="preserve">omplete and </w:t>
      </w:r>
      <w:r w:rsidR="008837D4" w:rsidRPr="002F2828">
        <w:rPr>
          <w:b/>
        </w:rPr>
        <w:t>publicly disclose</w:t>
      </w:r>
      <w:r w:rsidR="008264CC">
        <w:t xml:space="preserve">, before the start of the </w:t>
      </w:r>
      <w:r w:rsidR="008264CC" w:rsidRPr="00F4698F">
        <w:rPr>
          <w:b/>
        </w:rPr>
        <w:t>disclosure year</w:t>
      </w:r>
      <w:r w:rsidR="008264CC">
        <w:t xml:space="preserve">, </w:t>
      </w:r>
      <w:r w:rsidR="008837D4" w:rsidRPr="002F2828">
        <w:t xml:space="preserve">an </w:t>
      </w:r>
      <w:r w:rsidR="008837D4" w:rsidRPr="002F2828">
        <w:rPr>
          <w:b/>
        </w:rPr>
        <w:t xml:space="preserve">AMP </w:t>
      </w:r>
      <w:r w:rsidR="006377F2" w:rsidRPr="002F2828">
        <w:rPr>
          <w:b/>
        </w:rPr>
        <w:t>u</w:t>
      </w:r>
      <w:r w:rsidR="008837D4" w:rsidRPr="002F2828">
        <w:rPr>
          <w:b/>
        </w:rPr>
        <w:t>pdate</w:t>
      </w:r>
      <w:r w:rsidR="008837D4" w:rsidRPr="002F2828">
        <w:t xml:space="preserve"> </w:t>
      </w:r>
      <w:r w:rsidR="00F109EA">
        <w:t>under</w:t>
      </w:r>
      <w:r w:rsidR="008837D4" w:rsidRPr="002F2828">
        <w:t xml:space="preserve"> </w:t>
      </w:r>
      <w:r w:rsidR="00402697" w:rsidRPr="002F2828">
        <w:t xml:space="preserve">clause </w:t>
      </w:r>
      <w:fldSimple w:instr=" REF _Ref311134677 \r \h  \* MERGEFORMAT ">
        <w:r w:rsidR="00A84D28">
          <w:t>2.6.4</w:t>
        </w:r>
      </w:fldSimple>
      <w:r w:rsidR="00957D68" w:rsidRPr="002F2828">
        <w:t xml:space="preserve"> </w:t>
      </w:r>
      <w:r w:rsidR="008308D3">
        <w:t>below</w:t>
      </w:r>
      <w:r w:rsidR="008837D4" w:rsidRPr="002F2828">
        <w:t>.</w:t>
      </w:r>
      <w:bookmarkEnd w:id="155"/>
    </w:p>
    <w:p w:rsidR="008837D4" w:rsidRPr="002F2828" w:rsidRDefault="008837D4" w:rsidP="00454351">
      <w:pPr>
        <w:pStyle w:val="HeadingH4Clausetext"/>
      </w:pPr>
      <w:bookmarkStart w:id="158" w:name="_Ref311134677"/>
      <w:bookmarkEnd w:id="156"/>
      <w:bookmarkEnd w:id="157"/>
      <w:r w:rsidRPr="002F2828">
        <w:t xml:space="preserve">For the purpose of </w:t>
      </w:r>
      <w:r w:rsidR="00957D68" w:rsidRPr="002F2828">
        <w:t xml:space="preserve">subclause </w:t>
      </w:r>
      <w:fldSimple w:instr=" REF _Ref313456425 \r \h  \* MERGEFORMAT ">
        <w:r w:rsidR="00A84D28">
          <w:t>2.6.3(2)</w:t>
        </w:r>
      </w:fldSimple>
      <w:r w:rsidR="00957D68" w:rsidRPr="002F2828">
        <w:t xml:space="preserve"> </w:t>
      </w:r>
      <w:r w:rsidR="008308D3">
        <w:t>above</w:t>
      </w:r>
      <w:r w:rsidR="00F32B71" w:rsidRPr="002F2828">
        <w:t>,</w:t>
      </w:r>
      <w:r w:rsidRPr="002F2828">
        <w:t xml:space="preserve"> the </w:t>
      </w:r>
      <w:r w:rsidR="009764C2" w:rsidRPr="009764C2">
        <w:rPr>
          <w:b/>
        </w:rPr>
        <w:t>AMP update</w:t>
      </w:r>
      <w:r w:rsidRPr="002F2828">
        <w:t xml:space="preserve"> must—</w:t>
      </w:r>
      <w:bookmarkEnd w:id="158"/>
    </w:p>
    <w:p w:rsidR="008837D4" w:rsidRPr="002F2828" w:rsidRDefault="001F1B53" w:rsidP="00454351">
      <w:pPr>
        <w:pStyle w:val="HeadingH5ClausesubtextL1"/>
      </w:pPr>
      <w:r w:rsidRPr="002F2828">
        <w:t>R</w:t>
      </w:r>
      <w:r w:rsidR="008837D4" w:rsidRPr="002F2828">
        <w:t xml:space="preserve">elate to the </w:t>
      </w:r>
      <w:r w:rsidR="005B0AF9" w:rsidRPr="002F2828">
        <w:rPr>
          <w:b/>
        </w:rPr>
        <w:t>gas distribution services</w:t>
      </w:r>
      <w:r w:rsidR="008837D4" w:rsidRPr="002F2828">
        <w:t xml:space="preserve"> supplied by the </w:t>
      </w:r>
      <w:r w:rsidR="00F32B71" w:rsidRPr="002F2828">
        <w:rPr>
          <w:b/>
        </w:rPr>
        <w:t>GDB</w:t>
      </w:r>
      <w:r w:rsidR="008837D4" w:rsidRPr="002F2828">
        <w:t>;</w:t>
      </w:r>
    </w:p>
    <w:p w:rsidR="00F20346" w:rsidRDefault="001F1B53" w:rsidP="00454351">
      <w:pPr>
        <w:pStyle w:val="HeadingH5ClausesubtextL1"/>
      </w:pPr>
      <w:r w:rsidRPr="002F2828">
        <w:t>I</w:t>
      </w:r>
      <w:r w:rsidR="008837D4" w:rsidRPr="002F2828">
        <w:t xml:space="preserve">dentify any </w:t>
      </w:r>
      <w:r w:rsidR="004F2902">
        <w:t>material</w:t>
      </w:r>
      <w:r w:rsidR="004F2902" w:rsidRPr="002F2828">
        <w:t xml:space="preserve"> </w:t>
      </w:r>
      <w:r w:rsidR="008837D4" w:rsidRPr="002F2828">
        <w:t xml:space="preserve">changes to the network development plans disclosed in the last </w:t>
      </w:r>
      <w:r w:rsidR="008837D4" w:rsidRPr="002F2828">
        <w:rPr>
          <w:b/>
        </w:rPr>
        <w:t>AMP</w:t>
      </w:r>
      <w:r w:rsidR="008837D4" w:rsidRPr="002F2828">
        <w:t xml:space="preserve"> </w:t>
      </w:r>
      <w:r w:rsidR="008308D3">
        <w:t>under</w:t>
      </w:r>
      <w:r w:rsidR="008837D4" w:rsidRPr="002F2828">
        <w:t xml:space="preserve"> </w:t>
      </w:r>
      <w:r w:rsidR="003129AF" w:rsidRPr="002F2828">
        <w:t xml:space="preserve">clause </w:t>
      </w:r>
      <w:r w:rsidR="00004445">
        <w:fldChar w:fldCharType="begin"/>
      </w:r>
      <w:r w:rsidR="004F2902">
        <w:instrText xml:space="preserve"> REF _Ref327954496 \r \h </w:instrText>
      </w:r>
      <w:r w:rsidR="00004445">
        <w:fldChar w:fldCharType="separate"/>
      </w:r>
      <w:r w:rsidR="00A84D28">
        <w:t>10</w:t>
      </w:r>
      <w:r w:rsidR="00004445">
        <w:fldChar w:fldCharType="end"/>
      </w:r>
      <w:r w:rsidR="00E55DC3" w:rsidRPr="002F2828">
        <w:t xml:space="preserve"> </w:t>
      </w:r>
      <w:r w:rsidR="003129AF" w:rsidRPr="002F2828">
        <w:t>of</w:t>
      </w:r>
      <w:r w:rsidR="006634E8" w:rsidRPr="002F2828">
        <w:t xml:space="preserve"> Appendix</w:t>
      </w:r>
      <w:r w:rsidR="004F2902">
        <w:t> </w:t>
      </w:r>
      <w:r w:rsidR="006634E8" w:rsidRPr="002F2828">
        <w:t>A</w:t>
      </w:r>
      <w:r w:rsidR="008308D3">
        <w:t xml:space="preserve"> or in the last </w:t>
      </w:r>
      <w:r w:rsidR="009764C2" w:rsidRPr="009764C2">
        <w:rPr>
          <w:b/>
        </w:rPr>
        <w:t>AMP update</w:t>
      </w:r>
      <w:r w:rsidR="008308D3">
        <w:t xml:space="preserve"> disclosed under this clause </w:t>
      </w:r>
      <w:r w:rsidR="00004445">
        <w:fldChar w:fldCharType="begin"/>
      </w:r>
      <w:r w:rsidR="008308D3">
        <w:instrText xml:space="preserve"> REF _Ref311134677 \r \h </w:instrText>
      </w:r>
      <w:r w:rsidR="00004445">
        <w:fldChar w:fldCharType="separate"/>
      </w:r>
      <w:r w:rsidR="00A84D28">
        <w:t>2.6.4</w:t>
      </w:r>
      <w:r w:rsidR="00004445">
        <w:fldChar w:fldCharType="end"/>
      </w:r>
      <w:r w:rsidR="008837D4" w:rsidRPr="002F2828">
        <w:t>;</w:t>
      </w:r>
    </w:p>
    <w:p w:rsidR="008837D4" w:rsidRPr="002F2828" w:rsidRDefault="001F1B53" w:rsidP="00454351">
      <w:pPr>
        <w:pStyle w:val="HeadingH5ClausesubtextL1"/>
      </w:pPr>
      <w:r w:rsidRPr="002F2828">
        <w:t>I</w:t>
      </w:r>
      <w:r w:rsidR="008837D4" w:rsidRPr="002F2828">
        <w:t xml:space="preserve">dentify any </w:t>
      </w:r>
      <w:r w:rsidR="00F109EA">
        <w:t>material</w:t>
      </w:r>
      <w:r w:rsidR="00F109EA" w:rsidRPr="002F2828">
        <w:t xml:space="preserve"> </w:t>
      </w:r>
      <w:r w:rsidR="008837D4" w:rsidRPr="002F2828">
        <w:t xml:space="preserve">changes to the lifecycle </w:t>
      </w:r>
      <w:r w:rsidR="00CA17F8">
        <w:t xml:space="preserve">asset management </w:t>
      </w:r>
      <w:r w:rsidR="008837D4" w:rsidRPr="002F2828">
        <w:t xml:space="preserve">maintenance and renewal) plans disclosed in the last </w:t>
      </w:r>
      <w:r w:rsidR="008837D4" w:rsidRPr="002F2828">
        <w:rPr>
          <w:b/>
        </w:rPr>
        <w:t>AMP</w:t>
      </w:r>
      <w:r w:rsidR="008837D4" w:rsidRPr="002F2828">
        <w:t xml:space="preserve"> pursuant to</w:t>
      </w:r>
      <w:r w:rsidR="006634E8" w:rsidRPr="002F2828">
        <w:t xml:space="preserve"> </w:t>
      </w:r>
      <w:r w:rsidR="003129AF" w:rsidRPr="002F2828">
        <w:t xml:space="preserve">clause </w:t>
      </w:r>
      <w:r w:rsidR="00004445">
        <w:fldChar w:fldCharType="begin"/>
      </w:r>
      <w:r w:rsidR="004F2902">
        <w:instrText xml:space="preserve"> REF _Ref327954516 \r \h </w:instrText>
      </w:r>
      <w:r w:rsidR="00004445">
        <w:fldChar w:fldCharType="separate"/>
      </w:r>
      <w:r w:rsidR="00A84D28">
        <w:t>11</w:t>
      </w:r>
      <w:r w:rsidR="00004445">
        <w:fldChar w:fldCharType="end"/>
      </w:r>
      <w:r w:rsidR="003129AF" w:rsidRPr="002F2828">
        <w:t xml:space="preserve"> of </w:t>
      </w:r>
      <w:r w:rsidR="006634E8" w:rsidRPr="002F2828">
        <w:t>Appendix</w:t>
      </w:r>
      <w:r w:rsidR="004F2902">
        <w:t> </w:t>
      </w:r>
      <w:r w:rsidR="006634E8" w:rsidRPr="002F2828">
        <w:t>A</w:t>
      </w:r>
      <w:r w:rsidR="004F2902">
        <w:t xml:space="preserve"> or in the last </w:t>
      </w:r>
      <w:r w:rsidR="004F2902" w:rsidRPr="008308D3">
        <w:rPr>
          <w:b/>
        </w:rPr>
        <w:t>AMP update</w:t>
      </w:r>
      <w:r w:rsidR="004F2902">
        <w:t xml:space="preserve"> disclosed under this clause </w:t>
      </w:r>
      <w:r w:rsidR="00004445">
        <w:fldChar w:fldCharType="begin"/>
      </w:r>
      <w:r w:rsidR="004F2902">
        <w:instrText xml:space="preserve"> REF _Ref311134677 \r \h </w:instrText>
      </w:r>
      <w:r w:rsidR="00004445">
        <w:fldChar w:fldCharType="separate"/>
      </w:r>
      <w:r w:rsidR="00A84D28">
        <w:t>2.6.4</w:t>
      </w:r>
      <w:r w:rsidR="00004445">
        <w:fldChar w:fldCharType="end"/>
      </w:r>
      <w:r w:rsidR="008837D4" w:rsidRPr="002F2828">
        <w:t>;</w:t>
      </w:r>
    </w:p>
    <w:p w:rsidR="008837D4" w:rsidRPr="002F2828" w:rsidRDefault="00F109EA" w:rsidP="00454351">
      <w:pPr>
        <w:pStyle w:val="HeadingH5ClausesubtextL1"/>
      </w:pPr>
      <w:r>
        <w:t xml:space="preserve">Contain the completed tables </w:t>
      </w:r>
      <w:r w:rsidR="008A119C">
        <w:t xml:space="preserve">required in </w:t>
      </w:r>
      <w:r w:rsidR="00F4698F">
        <w:t>sub</w:t>
      </w:r>
      <w:r>
        <w:t xml:space="preserve">clause </w:t>
      </w:r>
      <w:r w:rsidR="00004445">
        <w:fldChar w:fldCharType="begin"/>
      </w:r>
      <w:r>
        <w:instrText xml:space="preserve"> REF _Ref327953766 \r \h </w:instrText>
      </w:r>
      <w:r w:rsidR="00004445">
        <w:fldChar w:fldCharType="separate"/>
      </w:r>
      <w:r w:rsidR="00A84D28">
        <w:t>2.6.5(2)</w:t>
      </w:r>
      <w:r w:rsidR="00004445">
        <w:fldChar w:fldCharType="end"/>
      </w:r>
      <w:r>
        <w:t xml:space="preserve"> below</w:t>
      </w:r>
    </w:p>
    <w:p w:rsidR="003008B5" w:rsidRDefault="001F1B53" w:rsidP="00454351">
      <w:pPr>
        <w:pStyle w:val="HeadingH5ClausesubtextL1"/>
      </w:pPr>
      <w:r w:rsidRPr="002F2828">
        <w:t>P</w:t>
      </w:r>
      <w:r w:rsidR="008837D4" w:rsidRPr="002F2828">
        <w:t xml:space="preserve">rovide the reasons for any material changes </w:t>
      </w:r>
      <w:r w:rsidR="00F109EA">
        <w:t>to</w:t>
      </w:r>
      <w:r w:rsidR="00F109EA" w:rsidRPr="002F2828">
        <w:t xml:space="preserve"> </w:t>
      </w:r>
      <w:r w:rsidR="008837D4" w:rsidRPr="002F2828">
        <w:t xml:space="preserve">the previous </w:t>
      </w:r>
      <w:r w:rsidR="009764C2" w:rsidRPr="009764C2">
        <w:t>disclosure</w:t>
      </w:r>
      <w:r w:rsidR="00CA17F8">
        <w:t>s</w:t>
      </w:r>
      <w:r w:rsidR="009764C2" w:rsidRPr="009764C2">
        <w:t xml:space="preserve"> </w:t>
      </w:r>
      <w:r w:rsidR="00CA17F8">
        <w:t>in</w:t>
      </w:r>
      <w:r w:rsidR="009764C2" w:rsidRPr="009764C2">
        <w:t xml:space="preserve"> the</w:t>
      </w:r>
      <w:r w:rsidR="00F109EA">
        <w:rPr>
          <w:b/>
        </w:rPr>
        <w:t xml:space="preserve"> </w:t>
      </w:r>
      <w:r w:rsidR="0066208C">
        <w:t xml:space="preserve">Report on Forecast Capital Expenditure </w:t>
      </w:r>
      <w:r w:rsidR="0066208C" w:rsidRPr="00604256">
        <w:t>set out in</w:t>
      </w:r>
      <w:r w:rsidR="0066208C">
        <w:t xml:space="preserve"> Schedule 11a and Report on Forecast Operational Expenditure set out in Schedule 11b</w:t>
      </w:r>
    </w:p>
    <w:p w:rsidR="008837D4" w:rsidRPr="002F2828" w:rsidRDefault="003008B5" w:rsidP="00454351">
      <w:pPr>
        <w:pStyle w:val="HeadingH5ClausesubtextL1"/>
      </w:pPr>
      <w:r>
        <w:t xml:space="preserve">Identify any changes to the asset management practices of the </w:t>
      </w:r>
      <w:r>
        <w:rPr>
          <w:b/>
        </w:rPr>
        <w:t>G</w:t>
      </w:r>
      <w:r w:rsidRPr="00033EA6">
        <w:rPr>
          <w:b/>
        </w:rPr>
        <w:t>DB</w:t>
      </w:r>
      <w:r>
        <w:t xml:space="preserve"> </w:t>
      </w:r>
      <w:r w:rsidR="003A2AFD">
        <w:t>that would affect</w:t>
      </w:r>
      <w:r w:rsidR="00F4698F">
        <w:t xml:space="preserve"> </w:t>
      </w:r>
      <w:r>
        <w:t xml:space="preserve">a schedule </w:t>
      </w:r>
      <w:r w:rsidR="0066208C">
        <w:t>13</w:t>
      </w:r>
      <w:r>
        <w:t xml:space="preserve"> </w:t>
      </w:r>
      <w:r w:rsidR="003A2AFD">
        <w:t xml:space="preserve">Report on Asset Management Maturity </w:t>
      </w:r>
      <w:r>
        <w:t>disclosure</w:t>
      </w:r>
      <w:r w:rsidR="008837D4" w:rsidRPr="002F2828">
        <w:t>.</w:t>
      </w:r>
    </w:p>
    <w:p w:rsidR="008837D4" w:rsidRPr="002F2828" w:rsidRDefault="00F109EA" w:rsidP="004B133C">
      <w:pPr>
        <w:pStyle w:val="HeadingH4Clausetext"/>
      </w:pPr>
      <w:bookmarkStart w:id="159" w:name="_Ref310881972"/>
      <w:bookmarkStart w:id="160" w:name="_Ref308726728"/>
      <w:bookmarkStart w:id="161" w:name="_Ref308188562"/>
      <w:r>
        <w:t>E</w:t>
      </w:r>
      <w:r w:rsidR="008837D4" w:rsidRPr="002F2828">
        <w:t xml:space="preserve">very </w:t>
      </w:r>
      <w:r w:rsidR="00F32B71" w:rsidRPr="002F2828">
        <w:rPr>
          <w:b/>
        </w:rPr>
        <w:t>GDB</w:t>
      </w:r>
      <w:r w:rsidR="008837D4" w:rsidRPr="002F2828">
        <w:t xml:space="preserve"> must—</w:t>
      </w:r>
      <w:bookmarkEnd w:id="159"/>
      <w:bookmarkEnd w:id="160"/>
    </w:p>
    <w:p w:rsidR="008837D4" w:rsidRPr="002F2828" w:rsidRDefault="00F109EA" w:rsidP="004B133C">
      <w:pPr>
        <w:pStyle w:val="HeadingH5ClausesubtextL1"/>
      </w:pPr>
      <w:bookmarkStart w:id="162" w:name="_Ref308091605"/>
      <w:bookmarkStart w:id="163" w:name="_Ref308089873"/>
      <w:r w:rsidRPr="002F2828">
        <w:t xml:space="preserve">Before the start of each </w:t>
      </w:r>
      <w:r w:rsidRPr="002F2828">
        <w:rPr>
          <w:b/>
        </w:rPr>
        <w:t>disclosure year</w:t>
      </w:r>
      <w:r w:rsidR="00866BD4" w:rsidRPr="00866BD4">
        <w:t>,</w:t>
      </w:r>
      <w:r w:rsidRPr="002F2828">
        <w:rPr>
          <w:b/>
        </w:rPr>
        <w:t xml:space="preserve"> </w:t>
      </w:r>
      <w:r>
        <w:t>c</w:t>
      </w:r>
      <w:r w:rsidR="008837D4" w:rsidRPr="002F2828">
        <w:t xml:space="preserve">omplete each of the following reports by inserting all information relating to the </w:t>
      </w:r>
      <w:r w:rsidR="005B0AF9" w:rsidRPr="002F2828">
        <w:rPr>
          <w:b/>
        </w:rPr>
        <w:t>gas distribution services</w:t>
      </w:r>
      <w:r w:rsidR="008837D4" w:rsidRPr="002F2828">
        <w:t xml:space="preserve"> supplied by the </w:t>
      </w:r>
      <w:r w:rsidR="00F32B71" w:rsidRPr="002F2828">
        <w:rPr>
          <w:b/>
        </w:rPr>
        <w:t xml:space="preserve">GDB </w:t>
      </w:r>
      <w:r w:rsidR="008837D4" w:rsidRPr="002F2828">
        <w:t xml:space="preserve">for the </w:t>
      </w:r>
      <w:r w:rsidR="008837D4" w:rsidRPr="002F2828">
        <w:rPr>
          <w:b/>
        </w:rPr>
        <w:t>disclosure year</w:t>
      </w:r>
      <w:r>
        <w:rPr>
          <w:b/>
        </w:rPr>
        <w:t>s</w:t>
      </w:r>
      <w:r w:rsidR="008837D4" w:rsidRPr="002F2828">
        <w:t xml:space="preserve"> provided for in </w:t>
      </w:r>
      <w:r w:rsidR="006634E8" w:rsidRPr="002F2828">
        <w:t xml:space="preserve">the </w:t>
      </w:r>
      <w:r w:rsidR="001F1B53" w:rsidRPr="002F2828">
        <w:t xml:space="preserve">following </w:t>
      </w:r>
      <w:r w:rsidR="008837D4" w:rsidRPr="002F2828">
        <w:t>reports—</w:t>
      </w:r>
      <w:bookmarkEnd w:id="162"/>
    </w:p>
    <w:p w:rsidR="0066208C" w:rsidRDefault="0066208C" w:rsidP="0066208C">
      <w:pPr>
        <w:pStyle w:val="HeadingH6ClausesubtextL2"/>
        <w:tabs>
          <w:tab w:val="clear" w:pos="0"/>
        </w:tabs>
        <w:ind w:left="2126" w:hanging="708"/>
      </w:pPr>
      <w:r>
        <w:t>the Report on Forecast Capital Expenditure in Schedule 11a</w:t>
      </w:r>
    </w:p>
    <w:p w:rsidR="0066208C" w:rsidRDefault="0066208C" w:rsidP="0066208C">
      <w:pPr>
        <w:pStyle w:val="HeadingH6ClausesubtextL2"/>
        <w:tabs>
          <w:tab w:val="clear" w:pos="0"/>
        </w:tabs>
        <w:ind w:left="2126" w:hanging="708"/>
      </w:pPr>
      <w:r>
        <w:t>the Report on Forecast Operational Expenditure in Schedule 11b</w:t>
      </w:r>
    </w:p>
    <w:p w:rsidR="0066208C" w:rsidRDefault="0066208C" w:rsidP="0066208C">
      <w:pPr>
        <w:pStyle w:val="HeadingH6ClausesubtextL2"/>
        <w:tabs>
          <w:tab w:val="clear" w:pos="0"/>
        </w:tabs>
        <w:ind w:left="2126" w:hanging="708"/>
      </w:pPr>
      <w:r>
        <w:t>the Report on Asset Condition in Schedule 12a</w:t>
      </w:r>
    </w:p>
    <w:p w:rsidR="0066208C" w:rsidRDefault="0066208C" w:rsidP="0066208C">
      <w:pPr>
        <w:pStyle w:val="HeadingH6ClausesubtextL2"/>
        <w:tabs>
          <w:tab w:val="clear" w:pos="0"/>
        </w:tabs>
        <w:ind w:left="2126" w:hanging="708"/>
      </w:pPr>
      <w:r>
        <w:t>the Report on Forecast Utilisation in Schedule 12b</w:t>
      </w:r>
    </w:p>
    <w:p w:rsidR="0066208C" w:rsidRDefault="0066208C" w:rsidP="0066208C">
      <w:pPr>
        <w:pStyle w:val="HeadingH6ClausesubtextL2"/>
        <w:tabs>
          <w:tab w:val="clear" w:pos="0"/>
        </w:tabs>
        <w:ind w:left="2126" w:hanging="708"/>
      </w:pPr>
      <w:r>
        <w:t>the Report on Forecast Demand in Schedule 12c</w:t>
      </w:r>
    </w:p>
    <w:p w:rsidR="0066208C" w:rsidRDefault="0066208C" w:rsidP="0066208C">
      <w:pPr>
        <w:pStyle w:val="HeadingH6ClausesubtextL2"/>
        <w:tabs>
          <w:tab w:val="clear" w:pos="0"/>
        </w:tabs>
        <w:ind w:left="2126" w:hanging="708"/>
      </w:pPr>
      <w:r>
        <w:t>the Report on Forecast Interruptions and Duration in Schedule 12d</w:t>
      </w:r>
    </w:p>
    <w:p w:rsidR="00F20346" w:rsidRDefault="00A44829" w:rsidP="004B133C">
      <w:pPr>
        <w:pStyle w:val="HeadingH5ClausesubtextL1"/>
      </w:pPr>
      <w:bookmarkStart w:id="164" w:name="_Ref327953766"/>
      <w:bookmarkEnd w:id="163"/>
      <w:r w:rsidRPr="00893A3C">
        <w:t>Include</w:t>
      </w:r>
      <w:r>
        <w:t>,</w:t>
      </w:r>
      <w:r w:rsidRPr="00893A3C">
        <w:t xml:space="preserve"> in the </w:t>
      </w:r>
      <w:r w:rsidRPr="008308D3">
        <w:rPr>
          <w:b/>
        </w:rPr>
        <w:t>AMP</w:t>
      </w:r>
      <w:r w:rsidRPr="00893A3C">
        <w:t xml:space="preserve"> or </w:t>
      </w:r>
      <w:r w:rsidRPr="008308D3">
        <w:rPr>
          <w:b/>
        </w:rPr>
        <w:t>AMP update</w:t>
      </w:r>
      <w:r w:rsidRPr="00893A3C">
        <w:t xml:space="preserve"> as applicable</w:t>
      </w:r>
      <w:r>
        <w:t xml:space="preserve">, the information contained in each of the </w:t>
      </w:r>
      <w:r w:rsidRPr="00893A3C">
        <w:t>tables described in subclause</w:t>
      </w:r>
      <w:r>
        <w:t xml:space="preserve"> </w:t>
      </w:r>
      <w:fldSimple w:instr=" REF _Ref308091605 \r \h  \* MERGEFORMAT ">
        <w:r w:rsidR="00A84D28">
          <w:t>(1)</w:t>
        </w:r>
      </w:fldSimple>
      <w:r>
        <w:t xml:space="preserve"> above</w:t>
      </w:r>
      <w:bookmarkEnd w:id="164"/>
    </w:p>
    <w:p w:rsidR="00F56F86" w:rsidRDefault="00A44829">
      <w:pPr>
        <w:pStyle w:val="HeadingH5ClausesubtextL1"/>
      </w:pPr>
      <w:r>
        <w:t xml:space="preserve">Within 5 working days of publicly disclosing the </w:t>
      </w:r>
      <w:r w:rsidRPr="008308D3">
        <w:rPr>
          <w:b/>
        </w:rPr>
        <w:t>AMP</w:t>
      </w:r>
      <w:r w:rsidRPr="00893A3C">
        <w:t xml:space="preserve"> or </w:t>
      </w:r>
      <w:r w:rsidRPr="008308D3">
        <w:rPr>
          <w:b/>
        </w:rPr>
        <w:t>AMP update</w:t>
      </w:r>
      <w:r w:rsidRPr="00893A3C">
        <w:t xml:space="preserve"> as applicable</w:t>
      </w:r>
      <w:r>
        <w:t xml:space="preserve">, disclose these reports to the </w:t>
      </w:r>
      <w:r w:rsidRPr="008308D3">
        <w:rPr>
          <w:b/>
        </w:rPr>
        <w:t>Commission</w:t>
      </w:r>
    </w:p>
    <w:p w:rsidR="00F56F86" w:rsidRDefault="00A44829">
      <w:pPr>
        <w:pStyle w:val="HeadingH5ClausesubtextL1"/>
      </w:pPr>
      <w:r>
        <w:t xml:space="preserve">Within </w:t>
      </w:r>
      <w:r w:rsidR="0066208C">
        <w:t>6</w:t>
      </w:r>
      <w:r>
        <w:t xml:space="preserve"> months of the start of the </w:t>
      </w:r>
      <w:r w:rsidRPr="00033EA6">
        <w:rPr>
          <w:b/>
        </w:rPr>
        <w:t>disclosure year</w:t>
      </w:r>
      <w:r>
        <w:t>,</w:t>
      </w:r>
      <w:r w:rsidRPr="00604256">
        <w:rPr>
          <w:b/>
        </w:rPr>
        <w:t xml:space="preserve"> </w:t>
      </w:r>
      <w:r>
        <w:rPr>
          <w:b/>
        </w:rPr>
        <w:t>p</w:t>
      </w:r>
      <w:r w:rsidRPr="00604256">
        <w:rPr>
          <w:b/>
        </w:rPr>
        <w:t>ublicly disclose</w:t>
      </w:r>
      <w:r w:rsidRPr="00604256">
        <w:t xml:space="preserve"> these reports</w:t>
      </w:r>
      <w:r>
        <w:t>.</w:t>
      </w:r>
    </w:p>
    <w:p w:rsidR="009764C2" w:rsidRDefault="0066208C" w:rsidP="009764C2">
      <w:pPr>
        <w:pStyle w:val="HeadingH3SectionHeading"/>
        <w:keepNext/>
        <w:tabs>
          <w:tab w:val="clear" w:pos="0"/>
        </w:tabs>
        <w:spacing w:after="120" w:line="240" w:lineRule="auto"/>
      </w:pPr>
      <w:bookmarkStart w:id="165" w:name="_Ref328949312"/>
      <w:bookmarkStart w:id="166" w:name="_Ref328819373"/>
      <w:bookmarkStart w:id="167" w:name="_Toc328913774"/>
      <w:bookmarkStart w:id="168" w:name="_Toc329301628"/>
      <w:bookmarkEnd w:id="161"/>
      <w:r>
        <w:t>EXPLANATORY NOTES TO DISCLOSED INFORMATION</w:t>
      </w:r>
      <w:bookmarkEnd w:id="165"/>
      <w:bookmarkEnd w:id="166"/>
      <w:bookmarkEnd w:id="167"/>
      <w:bookmarkEnd w:id="168"/>
    </w:p>
    <w:p w:rsidR="0066208C" w:rsidRPr="00604256" w:rsidRDefault="00504381" w:rsidP="00504381">
      <w:pPr>
        <w:pStyle w:val="HeadingH4Clausetext"/>
        <w:tabs>
          <w:tab w:val="clear" w:pos="0"/>
        </w:tabs>
      </w:pPr>
      <w:bookmarkStart w:id="169" w:name="_Ref328811155"/>
      <w:r w:rsidRPr="00604256">
        <w:t xml:space="preserve">Within </w:t>
      </w:r>
      <w:r w:rsidR="006612EA">
        <w:t>6</w:t>
      </w:r>
      <w:r w:rsidRPr="00604256">
        <w:t xml:space="preserve"> months </w:t>
      </w:r>
      <w:r>
        <w:t>of</w:t>
      </w:r>
      <w:r w:rsidRPr="00604256">
        <w:t xml:space="preserve"> the end of each </w:t>
      </w:r>
      <w:r w:rsidRPr="00604256">
        <w:rPr>
          <w:b/>
        </w:rPr>
        <w:t>disclosure year</w:t>
      </w:r>
      <w:r>
        <w:t>, every</w:t>
      </w:r>
      <w:r w:rsidRPr="00604256" w:rsidDel="00153013">
        <w:t xml:space="preserve"> </w:t>
      </w:r>
      <w:r w:rsidR="009764C2" w:rsidRPr="009764C2">
        <w:rPr>
          <w:b/>
        </w:rPr>
        <w:t>G</w:t>
      </w:r>
      <w:r w:rsidRPr="00604256">
        <w:rPr>
          <w:b/>
        </w:rPr>
        <w:t>DB</w:t>
      </w:r>
      <w:r w:rsidRPr="00604256">
        <w:t xml:space="preserve"> must </w:t>
      </w:r>
      <w:r>
        <w:t xml:space="preserve">complete and </w:t>
      </w:r>
      <w:r w:rsidRPr="004A7591">
        <w:rPr>
          <w:b/>
        </w:rPr>
        <w:t>publicly disclose</w:t>
      </w:r>
      <w:r w:rsidRPr="00604256">
        <w:t xml:space="preserve"> the</w:t>
      </w:r>
      <w:r>
        <w:t xml:space="preserve"> Schedule of Mandatory Explanatory Notes (Schedule 14) by inserting all information relating to information disclosed in accordance with clauses </w:t>
      </w:r>
      <w:r w:rsidR="00004445">
        <w:fldChar w:fldCharType="begin"/>
      </w:r>
      <w:r>
        <w:instrText xml:space="preserve"> REF _Ref279613342 \r \h </w:instrText>
      </w:r>
      <w:r w:rsidR="00004445">
        <w:fldChar w:fldCharType="separate"/>
      </w:r>
      <w:r w:rsidR="00A84D28">
        <w:t>2.3.1</w:t>
      </w:r>
      <w:r w:rsidR="00004445">
        <w:fldChar w:fldCharType="end"/>
      </w:r>
      <w:r>
        <w:t xml:space="preserve">, </w:t>
      </w:r>
      <w:r w:rsidR="00004445">
        <w:fldChar w:fldCharType="begin"/>
      </w:r>
      <w:r w:rsidR="00495AFE">
        <w:instrText xml:space="preserve"> REF _Ref328953510 \r \h </w:instrText>
      </w:r>
      <w:r w:rsidR="00004445">
        <w:fldChar w:fldCharType="separate"/>
      </w:r>
      <w:r w:rsidR="00A84D28">
        <w:t>2.4.19</w:t>
      </w:r>
      <w:r w:rsidR="00004445">
        <w:fldChar w:fldCharType="end"/>
      </w:r>
      <w:r w:rsidR="00495AFE">
        <w:t xml:space="preserve">, </w:t>
      </w:r>
      <w:r w:rsidR="00004445">
        <w:fldChar w:fldCharType="begin"/>
      </w:r>
      <w:r w:rsidR="00495AFE">
        <w:instrText xml:space="preserve"> REF _Ref328953520 \r \h </w:instrText>
      </w:r>
      <w:r w:rsidR="00004445">
        <w:fldChar w:fldCharType="separate"/>
      </w:r>
      <w:r w:rsidR="00A84D28">
        <w:t>2.4.20</w:t>
      </w:r>
      <w:r w:rsidR="00004445">
        <w:fldChar w:fldCharType="end"/>
      </w:r>
      <w:r>
        <w:t xml:space="preserve">, </w:t>
      </w:r>
      <w:r w:rsidR="006612EA">
        <w:t xml:space="preserve">and </w:t>
      </w:r>
      <w:r w:rsidR="00004445">
        <w:fldChar w:fldCharType="begin"/>
      </w:r>
      <w:r w:rsidR="006612EA">
        <w:instrText xml:space="preserve"> REF _Ref329131096 \r \h </w:instrText>
      </w:r>
      <w:r w:rsidR="00004445">
        <w:fldChar w:fldCharType="separate"/>
      </w:r>
      <w:r w:rsidR="00A84D28">
        <w:t>2.5.1</w:t>
      </w:r>
      <w:r w:rsidR="00004445">
        <w:fldChar w:fldCharType="end"/>
      </w:r>
      <w:r>
        <w:t>.</w:t>
      </w:r>
      <w:bookmarkEnd w:id="169"/>
    </w:p>
    <w:p w:rsidR="0066208C" w:rsidRDefault="00504381" w:rsidP="0066208C">
      <w:pPr>
        <w:pStyle w:val="HeadingH5ClausesubtextL1"/>
        <w:tabs>
          <w:tab w:val="num" w:pos="-31680"/>
        </w:tabs>
      </w:pPr>
      <w:bookmarkStart w:id="170" w:name="_Ref328810217"/>
      <w:r>
        <w:t>In relation to d</w:t>
      </w:r>
      <w:r w:rsidRPr="00604256">
        <w:t xml:space="preserve">etails </w:t>
      </w:r>
      <w:r w:rsidR="0066208C" w:rsidRPr="00604256">
        <w:t>of any insurance cover for the assets</w:t>
      </w:r>
      <w:r w:rsidR="0066208C">
        <w:t xml:space="preserve"> used to provide </w:t>
      </w:r>
      <w:r w:rsidR="0066208C">
        <w:rPr>
          <w:b/>
        </w:rPr>
        <w:t>gas pipeline services</w:t>
      </w:r>
      <w:r w:rsidR="0066208C" w:rsidRPr="00604256">
        <w:t xml:space="preserve">, </w:t>
      </w:r>
      <w:r w:rsidRPr="00604256">
        <w:t xml:space="preserve">, </w:t>
      </w:r>
      <w:r>
        <w:t>the explanatory notes in Schedule 14 must include</w:t>
      </w:r>
      <w:r w:rsidR="0066208C" w:rsidRPr="00604256">
        <w:t>:</w:t>
      </w:r>
    </w:p>
    <w:p w:rsidR="0066208C" w:rsidRDefault="0066208C" w:rsidP="0066208C">
      <w:pPr>
        <w:pStyle w:val="HeadingH6ClausesubtextL2"/>
        <w:tabs>
          <w:tab w:val="clear" w:pos="0"/>
        </w:tabs>
        <w:ind w:left="2126" w:hanging="708"/>
      </w:pPr>
      <w:r w:rsidRPr="00604256">
        <w:t xml:space="preserve">The </w:t>
      </w:r>
      <w:proofErr w:type="spellStart"/>
      <w:r>
        <w:rPr>
          <w:b/>
        </w:rPr>
        <w:t>G</w:t>
      </w:r>
      <w:r w:rsidRPr="000B5823">
        <w:rPr>
          <w:b/>
        </w:rPr>
        <w:t>DB</w:t>
      </w:r>
      <w:r w:rsidRPr="00604256">
        <w:t>’s</w:t>
      </w:r>
      <w:proofErr w:type="spellEnd"/>
      <w:r w:rsidRPr="00604256">
        <w:t xml:space="preserve"> approaches and practices in regard to the insurance of assets, including the level of insurance;</w:t>
      </w:r>
    </w:p>
    <w:p w:rsidR="0066208C" w:rsidRDefault="0066208C" w:rsidP="0066208C">
      <w:pPr>
        <w:pStyle w:val="HeadingH6ClausesubtextL2"/>
        <w:tabs>
          <w:tab w:val="clear" w:pos="0"/>
        </w:tabs>
        <w:ind w:left="2126" w:hanging="708"/>
      </w:pPr>
      <w:r w:rsidRPr="00604256">
        <w:t>In respect of any self insurance, the level of reserves, details of how reserves are managed and invested, and details of any reinsurance.</w:t>
      </w:r>
    </w:p>
    <w:p w:rsidR="008F5D7B" w:rsidRDefault="0066208C" w:rsidP="0066208C">
      <w:pPr>
        <w:pStyle w:val="HeadingH5ClausesubtextL1"/>
        <w:tabs>
          <w:tab w:val="num" w:pos="-31680"/>
        </w:tabs>
      </w:pPr>
      <w:bookmarkStart w:id="171" w:name="_Ref328947130"/>
      <w:r w:rsidRPr="00604256">
        <w:t>Where an item</w:t>
      </w:r>
      <w:r>
        <w:t xml:space="preserve"> disclosed in accordance with clause </w:t>
      </w:r>
      <w:r w:rsidR="00004445">
        <w:fldChar w:fldCharType="begin"/>
      </w:r>
      <w:r>
        <w:instrText xml:space="preserve"> REF _Ref279613342 \n \h </w:instrText>
      </w:r>
      <w:r w:rsidR="00004445">
        <w:fldChar w:fldCharType="separate"/>
      </w:r>
      <w:r w:rsidR="00A84D28">
        <w:t>2.3.1</w:t>
      </w:r>
      <w:r w:rsidR="00004445">
        <w:fldChar w:fldCharType="end"/>
      </w:r>
      <w:r w:rsidR="00A31EBE">
        <w:t xml:space="preserve"> or section </w:t>
      </w:r>
      <w:r w:rsidR="00004445">
        <w:fldChar w:fldCharType="begin"/>
      </w:r>
      <w:r w:rsidR="00DE4D44">
        <w:instrText xml:space="preserve"> REF _Ref329074886 \r \h </w:instrText>
      </w:r>
      <w:r w:rsidR="00004445">
        <w:fldChar w:fldCharType="separate"/>
      </w:r>
      <w:r w:rsidR="00A84D28">
        <w:t>2.12</w:t>
      </w:r>
      <w:r w:rsidR="00004445">
        <w:fldChar w:fldCharType="end"/>
      </w:r>
      <w:r>
        <w:t xml:space="preserve"> is </w:t>
      </w:r>
      <w:r w:rsidRPr="00604256">
        <w:t>classified differently from the previous year</w:t>
      </w:r>
      <w:r>
        <w:t xml:space="preserve">, </w:t>
      </w:r>
      <w:r w:rsidR="00504381">
        <w:t xml:space="preserve">the </w:t>
      </w:r>
      <w:r>
        <w:t xml:space="preserve">explanatory </w:t>
      </w:r>
      <w:r w:rsidR="00504381">
        <w:t xml:space="preserve">notes in Schedule 14 must </w:t>
      </w:r>
      <w:r>
        <w:t>include the</w:t>
      </w:r>
      <w:r w:rsidRPr="00604256">
        <w:t>:</w:t>
      </w:r>
      <w:bookmarkEnd w:id="170"/>
      <w:bookmarkEnd w:id="171"/>
    </w:p>
    <w:p w:rsidR="0066208C" w:rsidRDefault="0066208C" w:rsidP="0066208C">
      <w:pPr>
        <w:pStyle w:val="HeadingH6ClausesubtextL2"/>
        <w:tabs>
          <w:tab w:val="clear" w:pos="0"/>
        </w:tabs>
        <w:ind w:left="2126" w:hanging="708"/>
      </w:pPr>
      <w:r>
        <w:t>n</w:t>
      </w:r>
      <w:r w:rsidRPr="00604256">
        <w:t>ature of the item reclassified</w:t>
      </w:r>
      <w:r>
        <w:t>;</w:t>
      </w:r>
    </w:p>
    <w:p w:rsidR="0066208C" w:rsidRDefault="0066208C" w:rsidP="0066208C">
      <w:pPr>
        <w:pStyle w:val="HeadingH6ClausesubtextL2"/>
        <w:tabs>
          <w:tab w:val="clear" w:pos="0"/>
        </w:tabs>
        <w:ind w:left="2126" w:hanging="708"/>
      </w:pPr>
      <w:r>
        <w:t>v</w:t>
      </w:r>
      <w:r w:rsidRPr="00604256">
        <w:t>alue of the item in the current</w:t>
      </w:r>
      <w:r w:rsidRPr="00604256">
        <w:rPr>
          <w:b/>
        </w:rPr>
        <w:t xml:space="preserve"> disclosure year</w:t>
      </w:r>
      <w:r w:rsidRPr="00604256">
        <w:t xml:space="preserve"> and in the previous </w:t>
      </w:r>
      <w:r w:rsidRPr="00604256">
        <w:rPr>
          <w:b/>
        </w:rPr>
        <w:t>disclosure year</w:t>
      </w:r>
      <w:r>
        <w:rPr>
          <w:b/>
        </w:rPr>
        <w:t>;</w:t>
      </w:r>
    </w:p>
    <w:p w:rsidR="0066208C" w:rsidRDefault="0066208C" w:rsidP="0066208C">
      <w:pPr>
        <w:pStyle w:val="HeadingH6ClausesubtextL2"/>
        <w:tabs>
          <w:tab w:val="clear" w:pos="0"/>
        </w:tabs>
        <w:ind w:left="2126" w:hanging="708"/>
      </w:pPr>
      <w:r>
        <w:t>c</w:t>
      </w:r>
      <w:r w:rsidRPr="00604256">
        <w:t>lassification of the item in the previous</w:t>
      </w:r>
      <w:r w:rsidRPr="00604256">
        <w:rPr>
          <w:b/>
        </w:rPr>
        <w:t xml:space="preserve"> disclosure year</w:t>
      </w:r>
      <w:r>
        <w:rPr>
          <w:b/>
        </w:rPr>
        <w:t>;</w:t>
      </w:r>
    </w:p>
    <w:p w:rsidR="0066208C" w:rsidRDefault="0066208C" w:rsidP="0066208C">
      <w:pPr>
        <w:pStyle w:val="HeadingH6ClausesubtextL2"/>
        <w:tabs>
          <w:tab w:val="clear" w:pos="0"/>
        </w:tabs>
        <w:ind w:left="2126" w:hanging="708"/>
      </w:pPr>
      <w:r>
        <w:t>c</w:t>
      </w:r>
      <w:r w:rsidRPr="00604256">
        <w:t>lassification of the item in the current</w:t>
      </w:r>
      <w:r w:rsidRPr="00604256">
        <w:rPr>
          <w:b/>
        </w:rPr>
        <w:t xml:space="preserve"> disclosure year</w:t>
      </w:r>
      <w:r>
        <w:rPr>
          <w:b/>
        </w:rPr>
        <w:t xml:space="preserve">; </w:t>
      </w:r>
      <w:r w:rsidRPr="006E1EB3">
        <w:t>and</w:t>
      </w:r>
    </w:p>
    <w:p w:rsidR="0066208C" w:rsidRDefault="0066208C" w:rsidP="0066208C">
      <w:pPr>
        <w:pStyle w:val="HeadingH6ClausesubtextL2"/>
        <w:tabs>
          <w:tab w:val="clear" w:pos="0"/>
        </w:tabs>
        <w:ind w:left="2126" w:hanging="708"/>
      </w:pPr>
      <w:proofErr w:type="gramStart"/>
      <w:r>
        <w:t>r</w:t>
      </w:r>
      <w:r w:rsidRPr="00604256">
        <w:t>eason</w:t>
      </w:r>
      <w:proofErr w:type="gramEnd"/>
      <w:r w:rsidRPr="00604256">
        <w:t xml:space="preserve"> why the item has been reclassified</w:t>
      </w:r>
      <w:r>
        <w:t>.</w:t>
      </w:r>
    </w:p>
    <w:p w:rsidR="0066208C" w:rsidRDefault="0066208C" w:rsidP="0066208C">
      <w:pPr>
        <w:pStyle w:val="HeadingH4Clausetext"/>
        <w:tabs>
          <w:tab w:val="clear" w:pos="0"/>
        </w:tabs>
      </w:pPr>
      <w:bookmarkStart w:id="172" w:name="_Ref329273784"/>
      <w:r w:rsidRPr="00604256">
        <w:t xml:space="preserve">Within </w:t>
      </w:r>
      <w:r>
        <w:t>6</w:t>
      </w:r>
      <w:r w:rsidRPr="00604256">
        <w:t xml:space="preserve"> months </w:t>
      </w:r>
      <w:r>
        <w:t>of</w:t>
      </w:r>
      <w:r w:rsidRPr="00604256">
        <w:t xml:space="preserve"> the end of each </w:t>
      </w:r>
      <w:r w:rsidRPr="00604256">
        <w:rPr>
          <w:b/>
        </w:rPr>
        <w:t>disclosure year</w:t>
      </w:r>
      <w:r>
        <w:t>, every</w:t>
      </w:r>
      <w:r w:rsidRPr="00604256" w:rsidDel="00153013">
        <w:t xml:space="preserve"> </w:t>
      </w:r>
      <w:r>
        <w:rPr>
          <w:b/>
        </w:rPr>
        <w:t>G</w:t>
      </w:r>
      <w:r w:rsidRPr="00604256">
        <w:rPr>
          <w:b/>
        </w:rPr>
        <w:t>DB</w:t>
      </w:r>
      <w:r w:rsidRPr="00604256">
        <w:t xml:space="preserve"> must</w:t>
      </w:r>
      <w:r w:rsidR="00504381">
        <w:t xml:space="preserve"> complete and</w:t>
      </w:r>
      <w:r w:rsidRPr="00604256">
        <w:t xml:space="preserve"> </w:t>
      </w:r>
      <w:r w:rsidRPr="00153013">
        <w:rPr>
          <w:b/>
        </w:rPr>
        <w:t>publicly disclose</w:t>
      </w:r>
      <w:r w:rsidRPr="00604256">
        <w:t xml:space="preserve"> the</w:t>
      </w:r>
      <w:r>
        <w:t xml:space="preserve"> following information</w:t>
      </w:r>
      <w:r w:rsidRPr="00604256" w:rsidDel="00153013">
        <w:t xml:space="preserve"> </w:t>
      </w:r>
      <w:r>
        <w:t xml:space="preserve">in the Mandatory Explanatory Notes </w:t>
      </w:r>
      <w:r w:rsidR="006612EA">
        <w:t xml:space="preserve">on Forecast Information </w:t>
      </w:r>
      <w:r>
        <w:t xml:space="preserve">in Schedule 14a </w:t>
      </w:r>
      <w:r w:rsidR="00504381">
        <w:t xml:space="preserve">by inserting all relevant information relating to </w:t>
      </w:r>
      <w:r>
        <w:t xml:space="preserve">information disclosed in accordance with clause </w:t>
      </w:r>
      <w:r w:rsidR="00004445">
        <w:fldChar w:fldCharType="begin"/>
      </w:r>
      <w:r>
        <w:instrText xml:space="preserve"> REF _Ref310881972 \r \h </w:instrText>
      </w:r>
      <w:r w:rsidR="00004445">
        <w:fldChar w:fldCharType="separate"/>
      </w:r>
      <w:r w:rsidR="00A84D28">
        <w:t>2.6.5</w:t>
      </w:r>
      <w:r w:rsidR="00004445">
        <w:fldChar w:fldCharType="end"/>
      </w:r>
      <w:r w:rsidR="00504381">
        <w:t>.</w:t>
      </w:r>
      <w:bookmarkEnd w:id="172"/>
    </w:p>
    <w:p w:rsidR="0066208C" w:rsidRDefault="0066208C" w:rsidP="0066208C">
      <w:pPr>
        <w:pStyle w:val="HeadingH4Clausetext"/>
        <w:tabs>
          <w:tab w:val="clear" w:pos="0"/>
        </w:tabs>
      </w:pPr>
      <w:r w:rsidRPr="00604256">
        <w:t xml:space="preserve">Within </w:t>
      </w:r>
      <w:r>
        <w:t>6</w:t>
      </w:r>
      <w:r w:rsidRPr="00604256">
        <w:t xml:space="preserve"> months </w:t>
      </w:r>
      <w:r>
        <w:t>of</w:t>
      </w:r>
      <w:r w:rsidRPr="00604256">
        <w:t xml:space="preserve"> the end of each </w:t>
      </w:r>
      <w:r w:rsidRPr="00604256">
        <w:rPr>
          <w:b/>
        </w:rPr>
        <w:t>disclosure year</w:t>
      </w:r>
      <w:r>
        <w:t>, every</w:t>
      </w:r>
      <w:r w:rsidRPr="00604256" w:rsidDel="00153013">
        <w:t xml:space="preserve"> </w:t>
      </w:r>
      <w:r>
        <w:rPr>
          <w:b/>
        </w:rPr>
        <w:t>G</w:t>
      </w:r>
      <w:r w:rsidRPr="00604256">
        <w:rPr>
          <w:b/>
        </w:rPr>
        <w:t>DB</w:t>
      </w:r>
      <w:r w:rsidRPr="00604256">
        <w:t xml:space="preserve"> </w:t>
      </w:r>
      <w:r>
        <w:t xml:space="preserve">may </w:t>
      </w:r>
      <w:r w:rsidRPr="00153013">
        <w:rPr>
          <w:b/>
        </w:rPr>
        <w:t>publicly disclose</w:t>
      </w:r>
      <w:r w:rsidRPr="00604256">
        <w:t xml:space="preserve"> </w:t>
      </w:r>
      <w:r w:rsidR="00504381">
        <w:t xml:space="preserve">any further </w:t>
      </w:r>
      <w:r>
        <w:t>comment</w:t>
      </w:r>
      <w:r w:rsidR="00504381">
        <w:t>s</w:t>
      </w:r>
      <w:r>
        <w:t xml:space="preserve"> on the information disclosed in accordance with clauses </w:t>
      </w:r>
      <w:r w:rsidR="00004445">
        <w:fldChar w:fldCharType="begin"/>
      </w:r>
      <w:r>
        <w:instrText xml:space="preserve"> REF _Ref279613342 \r \h </w:instrText>
      </w:r>
      <w:r w:rsidR="00004445">
        <w:fldChar w:fldCharType="separate"/>
      </w:r>
      <w:r w:rsidR="00A84D28">
        <w:t>2.3.1</w:t>
      </w:r>
      <w:r w:rsidR="00004445">
        <w:fldChar w:fldCharType="end"/>
      </w:r>
      <w:r>
        <w:t xml:space="preserve">, </w:t>
      </w:r>
      <w:r w:rsidR="00004445">
        <w:rPr>
          <w:b/>
          <w:bCs/>
          <w:lang w:val="en-US"/>
        </w:rPr>
        <w:fldChar w:fldCharType="begin"/>
      </w:r>
      <w:r w:rsidR="00C3399F">
        <w:instrText xml:space="preserve"> REF _Ref328953510 \r \h </w:instrText>
      </w:r>
      <w:r w:rsidR="00004445">
        <w:rPr>
          <w:b/>
          <w:bCs/>
          <w:lang w:val="en-US"/>
        </w:rPr>
      </w:r>
      <w:r w:rsidR="00004445">
        <w:rPr>
          <w:b/>
          <w:bCs/>
          <w:lang w:val="en-US"/>
        </w:rPr>
        <w:fldChar w:fldCharType="separate"/>
      </w:r>
      <w:r w:rsidR="00A84D28">
        <w:t>2.4.19</w:t>
      </w:r>
      <w:r w:rsidR="00004445">
        <w:rPr>
          <w:b/>
          <w:bCs/>
          <w:lang w:val="en-US"/>
        </w:rPr>
        <w:fldChar w:fldCharType="end"/>
      </w:r>
      <w:r w:rsidR="009764C2" w:rsidRPr="009764C2">
        <w:rPr>
          <w:bCs/>
          <w:lang w:val="en-US"/>
        </w:rPr>
        <w:t xml:space="preserve">, </w:t>
      </w:r>
      <w:fldSimple w:instr=" REF _Ref328953520 \r \h  \* MERGEFORMAT ">
        <w:r w:rsidR="00A84D28" w:rsidRPr="00A84D28">
          <w:rPr>
            <w:bCs/>
            <w:lang w:val="en-US"/>
          </w:rPr>
          <w:t>2.4.20</w:t>
        </w:r>
      </w:fldSimple>
      <w:r>
        <w:t xml:space="preserve">, </w:t>
      </w:r>
      <w:r w:rsidR="00004445">
        <w:fldChar w:fldCharType="begin"/>
      </w:r>
      <w:r w:rsidR="006612EA">
        <w:instrText xml:space="preserve"> REF _Ref328953556 \r \h </w:instrText>
      </w:r>
      <w:r w:rsidR="00004445">
        <w:fldChar w:fldCharType="separate"/>
      </w:r>
      <w:r w:rsidR="00A84D28">
        <w:t>2.5.1</w:t>
      </w:r>
      <w:r w:rsidR="00004445">
        <w:fldChar w:fldCharType="end"/>
      </w:r>
      <w:r>
        <w:t xml:space="preserve">, and </w:t>
      </w:r>
      <w:r w:rsidR="00004445">
        <w:fldChar w:fldCharType="begin"/>
      </w:r>
      <w:r>
        <w:instrText xml:space="preserve"> REF _Ref310881972 \r \h </w:instrText>
      </w:r>
      <w:r w:rsidR="00004445">
        <w:fldChar w:fldCharType="separate"/>
      </w:r>
      <w:r w:rsidR="00A84D28">
        <w:t>2.6.5</w:t>
      </w:r>
      <w:r w:rsidR="00004445">
        <w:fldChar w:fldCharType="end"/>
      </w:r>
      <w:r>
        <w:t>, in Schedule 15.</w:t>
      </w:r>
    </w:p>
    <w:p w:rsidR="00C80BBC" w:rsidRPr="002F2828" w:rsidRDefault="00C80BBC" w:rsidP="008728F5">
      <w:pPr>
        <w:pStyle w:val="UnnumberedL1"/>
        <w:ind w:left="1418" w:firstLine="11"/>
        <w:rPr>
          <w:rFonts w:asciiTheme="minorHAnsi" w:hAnsiTheme="minorHAnsi"/>
        </w:rPr>
      </w:pPr>
    </w:p>
    <w:p w:rsidR="00C80BBC" w:rsidRPr="002F2828" w:rsidRDefault="00C80BBC" w:rsidP="0084688E">
      <w:pPr>
        <w:pStyle w:val="Heading1"/>
        <w:keepNext w:val="0"/>
        <w:tabs>
          <w:tab w:val="left" w:pos="851"/>
        </w:tabs>
        <w:spacing w:before="240" w:after="240" w:line="264" w:lineRule="auto"/>
        <w:ind w:left="851" w:hanging="851"/>
        <w:rPr>
          <w:rFonts w:asciiTheme="minorHAnsi" w:hAnsiTheme="minorHAnsi"/>
          <w:caps/>
          <w:sz w:val="24"/>
        </w:rPr>
        <w:sectPr w:rsidR="00C80BBC" w:rsidRPr="002F2828" w:rsidSect="00223E26">
          <w:type w:val="continuous"/>
          <w:pgSz w:w="11907" w:h="16840" w:code="9"/>
          <w:pgMar w:top="1440" w:right="1440" w:bottom="1440" w:left="1440" w:header="1134" w:footer="431" w:gutter="0"/>
          <w:cols w:space="720"/>
          <w:titlePg/>
        </w:sectPr>
      </w:pPr>
    </w:p>
    <w:p w:rsidR="009764C2" w:rsidRDefault="003025D0" w:rsidP="009764C2">
      <w:pPr>
        <w:pStyle w:val="HeadingH3SectionHeading"/>
        <w:keepNext/>
      </w:pPr>
      <w:bookmarkStart w:id="173" w:name="_Ref328951160"/>
      <w:bookmarkStart w:id="174" w:name="_Toc329301629"/>
      <w:r>
        <w:t>ASSURANCE</w:t>
      </w:r>
      <w:r w:rsidRPr="002F2828">
        <w:t xml:space="preserve"> </w:t>
      </w:r>
      <w:r w:rsidR="00F83847" w:rsidRPr="002F2828">
        <w:t>REPORTS</w:t>
      </w:r>
      <w:bookmarkEnd w:id="173"/>
      <w:bookmarkEnd w:id="174"/>
    </w:p>
    <w:p w:rsidR="006E5EEC" w:rsidRPr="002F2828" w:rsidRDefault="006E5EEC" w:rsidP="004B133C">
      <w:pPr>
        <w:pStyle w:val="HeadingH4Clausetext"/>
      </w:pPr>
      <w:r w:rsidRPr="002F2828">
        <w:t xml:space="preserve">Where a </w:t>
      </w:r>
      <w:r w:rsidR="00A4145C" w:rsidRPr="002F2828">
        <w:t xml:space="preserve">GDB </w:t>
      </w:r>
      <w:r w:rsidRPr="002F2828">
        <w:t xml:space="preserve">is required to </w:t>
      </w:r>
      <w:r w:rsidR="009764C2" w:rsidRPr="009764C2">
        <w:rPr>
          <w:b/>
        </w:rPr>
        <w:t>publicly disclose</w:t>
      </w:r>
      <w:r w:rsidRPr="002F2828">
        <w:t xml:space="preserve"> any </w:t>
      </w:r>
      <w:r w:rsidR="009764C2" w:rsidRPr="009764C2">
        <w:rPr>
          <w:b/>
        </w:rPr>
        <w:t>audited disclosure information</w:t>
      </w:r>
      <w:r w:rsidRPr="002F2828">
        <w:t xml:space="preserve">, the </w:t>
      </w:r>
      <w:r w:rsidR="009764C2" w:rsidRPr="009764C2">
        <w:rPr>
          <w:b/>
        </w:rPr>
        <w:t>GDB</w:t>
      </w:r>
      <w:r w:rsidR="00A4145C" w:rsidRPr="002F2828">
        <w:t xml:space="preserve"> </w:t>
      </w:r>
      <w:r w:rsidRPr="002F2828">
        <w:t>must:</w:t>
      </w:r>
    </w:p>
    <w:p w:rsidR="003025D0" w:rsidRDefault="001F1B53" w:rsidP="004B133C">
      <w:pPr>
        <w:pStyle w:val="HeadingH5ClausesubtextL1"/>
      </w:pPr>
      <w:bookmarkStart w:id="175" w:name="_Ref313442007"/>
      <w:r w:rsidRPr="002F2828">
        <w:t>P</w:t>
      </w:r>
      <w:r w:rsidR="006E5EEC" w:rsidRPr="002F2828">
        <w:t>rocure a</w:t>
      </w:r>
      <w:r w:rsidR="003025D0">
        <w:t>n assurance</w:t>
      </w:r>
      <w:r w:rsidR="006E5EEC" w:rsidRPr="002F2828">
        <w:t xml:space="preserve"> report by an </w:t>
      </w:r>
      <w:r w:rsidR="006E5EEC" w:rsidRPr="002F2828">
        <w:rPr>
          <w:b/>
        </w:rPr>
        <w:t>independent auditor</w:t>
      </w:r>
      <w:r w:rsidR="006E5EEC" w:rsidRPr="002F2828">
        <w:t xml:space="preserve"> in respect of that </w:t>
      </w:r>
      <w:r w:rsidR="006E5EEC" w:rsidRPr="002F2828">
        <w:rPr>
          <w:b/>
        </w:rPr>
        <w:t>audited disclosure information</w:t>
      </w:r>
      <w:r w:rsidR="003025D0">
        <w:t>, that is prepared in accordance with Standard on Assurance Engagements 3100 – Compliance Engagements (SAE 3100) and International Standard on Assurance Engagements 3000 (ISAE (NZ) 3000) or their successor standards,</w:t>
      </w:r>
      <w:r w:rsidR="003025D0" w:rsidRPr="00604256">
        <w:t xml:space="preserve"> </w:t>
      </w:r>
      <w:r w:rsidR="006E5EEC" w:rsidRPr="002F2828">
        <w:t xml:space="preserve">signed by the </w:t>
      </w:r>
      <w:r w:rsidR="006E5EEC" w:rsidRPr="002F2828">
        <w:rPr>
          <w:b/>
        </w:rPr>
        <w:t>independent auditor</w:t>
      </w:r>
      <w:r w:rsidR="006E5EEC" w:rsidRPr="002F2828">
        <w:t xml:space="preserve"> (either in his or her own name or that of his or her firm), </w:t>
      </w:r>
      <w:r w:rsidR="003025D0">
        <w:t>that</w:t>
      </w:r>
      <w:r w:rsidR="006E5EEC" w:rsidRPr="002F2828">
        <w:t>:</w:t>
      </w:r>
      <w:bookmarkEnd w:id="175"/>
    </w:p>
    <w:p w:rsidR="00F56F86" w:rsidRDefault="003025D0">
      <w:pPr>
        <w:pStyle w:val="HeadingH6ClausesubtextL2"/>
      </w:pPr>
      <w:r>
        <w:t xml:space="preserve">is addressed to the directors of the </w:t>
      </w:r>
      <w:r>
        <w:rPr>
          <w:b/>
        </w:rPr>
        <w:t xml:space="preserve">GDB </w:t>
      </w:r>
      <w:r>
        <w:t xml:space="preserve">and to the </w:t>
      </w:r>
      <w:r>
        <w:rPr>
          <w:b/>
        </w:rPr>
        <w:t xml:space="preserve">Commission </w:t>
      </w:r>
      <w:r>
        <w:t>as the intended users of the assurance report;</w:t>
      </w:r>
    </w:p>
    <w:p w:rsidR="00F56F86" w:rsidRDefault="003025D0">
      <w:pPr>
        <w:pStyle w:val="HeadingH6ClausesubtextL2"/>
        <w:tabs>
          <w:tab w:val="clear" w:pos="0"/>
          <w:tab w:val="num" w:pos="1418"/>
        </w:tabs>
      </w:pPr>
      <w:r>
        <w:t>states:</w:t>
      </w:r>
    </w:p>
    <w:p w:rsidR="00F56F86" w:rsidRDefault="003025D0">
      <w:pPr>
        <w:pStyle w:val="HeadingH7ClausesubtextL3"/>
      </w:pPr>
      <w:r>
        <w:t>that it has been prepared in accordance with Standard on Assurance Engagements 3100 – Compliance Engagements (SAE 3100) and International Standard on Assurance Engagements 3000 (ISAE (NZ) 3000) or their successor standards; and</w:t>
      </w:r>
    </w:p>
    <w:p w:rsidR="00F56F86" w:rsidRDefault="006E5EEC">
      <w:pPr>
        <w:pStyle w:val="HeadingH7ClausesubtextL3"/>
      </w:pPr>
      <w:r w:rsidRPr="002F2828">
        <w:t xml:space="preserve">the work done by the </w:t>
      </w:r>
      <w:r w:rsidRPr="002F2828">
        <w:rPr>
          <w:b/>
        </w:rPr>
        <w:t>independent auditor</w:t>
      </w:r>
      <w:r w:rsidR="009764C2" w:rsidRPr="009764C2">
        <w:t>; and</w:t>
      </w:r>
    </w:p>
    <w:p w:rsidR="00F56F86" w:rsidRDefault="006E5EEC">
      <w:pPr>
        <w:pStyle w:val="HeadingH7ClausesubtextL3"/>
      </w:pPr>
      <w:r w:rsidRPr="002F2828">
        <w:t>the scope and limitations of the audit</w:t>
      </w:r>
      <w:r w:rsidR="003025D0">
        <w:t>; and</w:t>
      </w:r>
    </w:p>
    <w:p w:rsidR="00F56F86" w:rsidRDefault="006E5EEC">
      <w:pPr>
        <w:pStyle w:val="HeadingH7ClausesubtextL3"/>
      </w:pPr>
      <w:r w:rsidRPr="002F2828">
        <w:t xml:space="preserve">the existence of any relationship (other than that of auditor) which the </w:t>
      </w:r>
      <w:r w:rsidRPr="002F2828">
        <w:rPr>
          <w:b/>
        </w:rPr>
        <w:t>independent auditor</w:t>
      </w:r>
      <w:r w:rsidRPr="002F2828">
        <w:t xml:space="preserve"> has with, or any interests which the </w:t>
      </w:r>
      <w:r w:rsidRPr="002F2828">
        <w:rPr>
          <w:b/>
        </w:rPr>
        <w:t>independent auditor</w:t>
      </w:r>
      <w:r w:rsidRPr="002F2828">
        <w:t xml:space="preserve"> has in, the </w:t>
      </w:r>
      <w:r w:rsidR="00A4145C" w:rsidRPr="002F2828">
        <w:rPr>
          <w:b/>
        </w:rPr>
        <w:t>GDB</w:t>
      </w:r>
      <w:r w:rsidR="00A4145C" w:rsidRPr="002F2828">
        <w:t xml:space="preserve"> </w:t>
      </w:r>
      <w:r w:rsidRPr="002F2828">
        <w:t>or any of its subsidiaries</w:t>
      </w:r>
      <w:r w:rsidR="003B7D53">
        <w:t xml:space="preserve"> or </w:t>
      </w:r>
      <w:r w:rsidR="003B7D53" w:rsidRPr="003B7D53">
        <w:rPr>
          <w:b/>
        </w:rPr>
        <w:t>related parties</w:t>
      </w:r>
      <w:r w:rsidR="003025D0">
        <w:t>; and</w:t>
      </w:r>
    </w:p>
    <w:p w:rsidR="00F56F86" w:rsidRDefault="006E5EEC">
      <w:pPr>
        <w:pStyle w:val="HeadingH7ClausesubtextL3"/>
      </w:pPr>
      <w:r w:rsidRPr="002F2828">
        <w:t xml:space="preserve">whether the </w:t>
      </w:r>
      <w:r w:rsidRPr="002F2828">
        <w:rPr>
          <w:b/>
        </w:rPr>
        <w:t>independent auditor</w:t>
      </w:r>
      <w:r w:rsidRPr="002F2828">
        <w:t xml:space="preserve"> has obtained </w:t>
      </w:r>
      <w:r w:rsidR="003025D0">
        <w:t xml:space="preserve">sufficient recorded evidence </w:t>
      </w:r>
      <w:r w:rsidRPr="002F2828">
        <w:t>and explanations that he or she required and, if not, the information and explanations not obtained</w:t>
      </w:r>
      <w:r w:rsidR="003025D0">
        <w:t>; and</w:t>
      </w:r>
    </w:p>
    <w:p w:rsidR="00F56F86" w:rsidRDefault="003025D0">
      <w:pPr>
        <w:pStyle w:val="HeadingH7ClausesubtextL3"/>
      </w:pPr>
      <w:bookmarkStart w:id="176" w:name="_Ref313441879"/>
      <w:r w:rsidRPr="00604256">
        <w:t xml:space="preserve">whether, in the </w:t>
      </w:r>
      <w:r w:rsidRPr="00604256">
        <w:rPr>
          <w:b/>
        </w:rPr>
        <w:t>independent auditor</w:t>
      </w:r>
      <w:r w:rsidRPr="00604256">
        <w:t>’s opinion, as far as appears from an examination</w:t>
      </w:r>
      <w:r>
        <w:t xml:space="preserve">, the information used in the preparation of Schedules 2, 3, 3a, 4, 4a, 4b, 4c, 5, 5a, 5b, 5c, 5d, 6, 7, 8a, 8b, 9a, 9b, 9c, 9d, 10, 10a, 14, 14a, and 14b has been properly extracted from the </w:t>
      </w:r>
      <w:proofErr w:type="spellStart"/>
      <w:r w:rsidR="00E13A70">
        <w:rPr>
          <w:b/>
        </w:rPr>
        <w:t>G</w:t>
      </w:r>
      <w:r>
        <w:rPr>
          <w:b/>
        </w:rPr>
        <w:t>DB</w:t>
      </w:r>
      <w:r>
        <w:t>’s</w:t>
      </w:r>
      <w:proofErr w:type="spellEnd"/>
      <w:r>
        <w:t xml:space="preserve"> accounting and other records, sourced from its financial and non-financial systems</w:t>
      </w:r>
    </w:p>
    <w:p w:rsidR="00F56F86" w:rsidRDefault="006E5EEC">
      <w:pPr>
        <w:pStyle w:val="HeadingH7ClausesubtextL3"/>
      </w:pPr>
      <w:r w:rsidRPr="002F2828">
        <w:t xml:space="preserve">whether, in the </w:t>
      </w:r>
      <w:r w:rsidRPr="002F2828">
        <w:rPr>
          <w:b/>
        </w:rPr>
        <w:t>independent auditor</w:t>
      </w:r>
      <w:r w:rsidRPr="002F2828">
        <w:t xml:space="preserve">’s opinion, as far as appears from an examination of them, proper </w:t>
      </w:r>
      <w:r w:rsidRPr="002F2828">
        <w:rPr>
          <w:b/>
        </w:rPr>
        <w:t>records</w:t>
      </w:r>
      <w:r w:rsidRPr="002F2828">
        <w:t xml:space="preserve"> to enable the complete and accurate compilation of </w:t>
      </w:r>
      <w:r w:rsidR="003025D0">
        <w:t>information required by the Commerce Act (Electricity Distribution Services Information Disclosure) Determination 2012</w:t>
      </w:r>
      <w:r w:rsidR="003025D0">
        <w:rPr>
          <w:b/>
        </w:rPr>
        <w:t xml:space="preserve"> </w:t>
      </w:r>
      <w:r w:rsidR="003025D0">
        <w:t xml:space="preserve">have been kept by the </w:t>
      </w:r>
      <w:r w:rsidR="00E13A70">
        <w:rPr>
          <w:b/>
        </w:rPr>
        <w:t>G</w:t>
      </w:r>
      <w:r w:rsidR="003025D0">
        <w:rPr>
          <w:b/>
        </w:rPr>
        <w:t>DB</w:t>
      </w:r>
      <w:r w:rsidR="003025D0">
        <w:t xml:space="preserve"> and, if not, the </w:t>
      </w:r>
      <w:r w:rsidR="003025D0">
        <w:rPr>
          <w:b/>
        </w:rPr>
        <w:t>records</w:t>
      </w:r>
      <w:r w:rsidR="003025D0">
        <w:t xml:space="preserve"> not so kept</w:t>
      </w:r>
      <w:bookmarkEnd w:id="176"/>
      <w:r w:rsidR="003025D0">
        <w:t>; and</w:t>
      </w:r>
    </w:p>
    <w:p w:rsidR="006E5EEC" w:rsidRPr="002F2828" w:rsidRDefault="003025D0" w:rsidP="004B133C">
      <w:pPr>
        <w:pStyle w:val="HeadingH6ClausesubtextL2"/>
      </w:pPr>
      <w:bookmarkStart w:id="177" w:name="_Ref313441829"/>
      <w:r>
        <w:t>States</w:t>
      </w:r>
      <w:r w:rsidR="00B56941" w:rsidRPr="002F2828">
        <w:t xml:space="preserve">, </w:t>
      </w:r>
      <w:r w:rsidR="006E5EEC" w:rsidRPr="002F2828">
        <w:t xml:space="preserve">whether (and, if not, the respects in which it </w:t>
      </w:r>
      <w:r w:rsidR="00E13A70">
        <w:t>has</w:t>
      </w:r>
      <w:r w:rsidR="00E13A70" w:rsidRPr="002F2828">
        <w:t xml:space="preserve"> </w:t>
      </w:r>
      <w:r w:rsidR="006E5EEC" w:rsidRPr="002F2828">
        <w:t xml:space="preserve">not), in the </w:t>
      </w:r>
      <w:r w:rsidR="006E5EEC" w:rsidRPr="002F2828">
        <w:rPr>
          <w:b/>
        </w:rPr>
        <w:t>independent auditor</w:t>
      </w:r>
      <w:r w:rsidR="006E5EEC" w:rsidRPr="002F2828">
        <w:t xml:space="preserve">’s opinion, the </w:t>
      </w:r>
      <w:r>
        <w:rPr>
          <w:b/>
        </w:rPr>
        <w:t>GDB</w:t>
      </w:r>
      <w:r w:rsidR="006E5EEC" w:rsidRPr="002F2828">
        <w:t xml:space="preserve"> </w:t>
      </w:r>
      <w:r>
        <w:t xml:space="preserve">has </w:t>
      </w:r>
      <w:r w:rsidR="006E5EEC" w:rsidRPr="002F2828">
        <w:t>complie</w:t>
      </w:r>
      <w:r>
        <w:t>d</w:t>
      </w:r>
      <w:r w:rsidR="00E13A70">
        <w:t xml:space="preserve">, in all material respects, </w:t>
      </w:r>
      <w:r w:rsidR="006E5EEC" w:rsidRPr="002F2828">
        <w:t xml:space="preserve">with </w:t>
      </w:r>
      <w:r>
        <w:t>the Commerce Act (Electricity Distribution Services Information Disclosure) Determination 2012</w:t>
      </w:r>
      <w:r w:rsidR="006E5EEC" w:rsidRPr="002F2828">
        <w:t>; and</w:t>
      </w:r>
      <w:bookmarkEnd w:id="177"/>
    </w:p>
    <w:p w:rsidR="00C80BBC" w:rsidRPr="002F2828" w:rsidRDefault="001F1B53" w:rsidP="004B133C">
      <w:pPr>
        <w:pStyle w:val="HeadingH5ClausesubtextL1"/>
      </w:pPr>
      <w:r w:rsidRPr="002F2828">
        <w:rPr>
          <w:b/>
        </w:rPr>
        <w:t xml:space="preserve">Publicly </w:t>
      </w:r>
      <w:r w:rsidR="006E5EEC" w:rsidRPr="002F2828">
        <w:rPr>
          <w:b/>
        </w:rPr>
        <w:t>disclose</w:t>
      </w:r>
      <w:r w:rsidR="006E5EEC" w:rsidRPr="002F2828">
        <w:t xml:space="preserve"> the </w:t>
      </w:r>
      <w:r w:rsidR="006E5EEC" w:rsidRPr="002F2828">
        <w:rPr>
          <w:b/>
        </w:rPr>
        <w:t>independent auditor</w:t>
      </w:r>
      <w:r w:rsidR="006E5EEC" w:rsidRPr="002F2828">
        <w:t xml:space="preserve">’s report prepared in accordance with </w:t>
      </w:r>
      <w:r w:rsidR="006071ED" w:rsidRPr="002F2828">
        <w:t>sub</w:t>
      </w:r>
      <w:r w:rsidR="006E5EEC" w:rsidRPr="002F2828">
        <w:t xml:space="preserve">clause </w:t>
      </w:r>
      <w:r w:rsidR="00004445">
        <w:fldChar w:fldCharType="begin"/>
      </w:r>
      <w:r w:rsidR="003025D0">
        <w:instrText xml:space="preserve"> REF _Ref313442007 \r \h </w:instrText>
      </w:r>
      <w:r w:rsidR="00004445">
        <w:fldChar w:fldCharType="separate"/>
      </w:r>
      <w:r w:rsidR="00A84D28">
        <w:t>(1)</w:t>
      </w:r>
      <w:r w:rsidR="00004445">
        <w:fldChar w:fldCharType="end"/>
      </w:r>
      <w:r w:rsidR="006071ED" w:rsidRPr="002F2828">
        <w:t xml:space="preserve"> </w:t>
      </w:r>
      <w:r w:rsidR="00E13A70">
        <w:t>above</w:t>
      </w:r>
      <w:r w:rsidR="006E5EEC" w:rsidRPr="002F2828">
        <w:t xml:space="preserve"> at the same time as the </w:t>
      </w:r>
      <w:r w:rsidR="00A4145C" w:rsidRPr="002F2828">
        <w:rPr>
          <w:b/>
        </w:rPr>
        <w:t>GDB</w:t>
      </w:r>
      <w:r w:rsidR="009764C2" w:rsidRPr="009764C2">
        <w:t xml:space="preserve"> </w:t>
      </w:r>
      <w:r w:rsidR="006E5EEC" w:rsidRPr="002F2828">
        <w:rPr>
          <w:b/>
        </w:rPr>
        <w:t>publicly discloses</w:t>
      </w:r>
      <w:r w:rsidR="006E5EEC" w:rsidRPr="002F2828">
        <w:t xml:space="preserve"> the </w:t>
      </w:r>
      <w:r w:rsidR="006E5EEC" w:rsidRPr="002F2828">
        <w:rPr>
          <w:b/>
        </w:rPr>
        <w:t>audited disclosure information</w:t>
      </w:r>
      <w:r w:rsidR="006E5EEC" w:rsidRPr="002F2828">
        <w:t>.</w:t>
      </w:r>
    </w:p>
    <w:p w:rsidR="00C80BBC" w:rsidRPr="002F2828" w:rsidRDefault="00C80BBC" w:rsidP="0084688E">
      <w:pPr>
        <w:pStyle w:val="BodyText"/>
        <w:spacing w:line="264" w:lineRule="auto"/>
        <w:rPr>
          <w:rFonts w:asciiTheme="minorHAnsi" w:hAnsiTheme="minorHAnsi"/>
        </w:rPr>
        <w:sectPr w:rsidR="00C80BBC" w:rsidRPr="002F2828" w:rsidSect="00223E26">
          <w:type w:val="continuous"/>
          <w:pgSz w:w="11907" w:h="16840" w:code="9"/>
          <w:pgMar w:top="1440" w:right="1440" w:bottom="1440" w:left="1440" w:header="1134" w:footer="431" w:gutter="0"/>
          <w:cols w:space="720"/>
          <w:titlePg/>
        </w:sectPr>
      </w:pPr>
    </w:p>
    <w:p w:rsidR="00870D08" w:rsidRPr="002F2828" w:rsidRDefault="00870D08" w:rsidP="004B133C">
      <w:pPr>
        <w:pStyle w:val="HeadingH3SectionHeading"/>
      </w:pPr>
      <w:bookmarkStart w:id="178" w:name="_Ref328951171"/>
      <w:bookmarkStart w:id="179" w:name="_Toc329301630"/>
      <w:r w:rsidRPr="002F2828">
        <w:t>CERTIFICATES</w:t>
      </w:r>
      <w:bookmarkEnd w:id="178"/>
      <w:bookmarkEnd w:id="179"/>
    </w:p>
    <w:p w:rsidR="008D14EC" w:rsidRPr="002F2828" w:rsidRDefault="008D14EC" w:rsidP="004B133C">
      <w:pPr>
        <w:pStyle w:val="HeadingH4Clausetext"/>
      </w:pPr>
      <w:bookmarkStart w:id="180" w:name="_Ref329297143"/>
      <w:r w:rsidRPr="002F2828">
        <w:t xml:space="preserve">Where a </w:t>
      </w:r>
      <w:r w:rsidR="008A7470" w:rsidRPr="002F2828">
        <w:rPr>
          <w:b/>
        </w:rPr>
        <w:t xml:space="preserve">GDB </w:t>
      </w:r>
      <w:r w:rsidRPr="002F2828">
        <w:t xml:space="preserve">is required to </w:t>
      </w:r>
      <w:r w:rsidRPr="002F2828">
        <w:rPr>
          <w:b/>
        </w:rPr>
        <w:t xml:space="preserve">publicly disclose </w:t>
      </w:r>
      <w:r w:rsidRPr="002F2828">
        <w:t xml:space="preserve">any information </w:t>
      </w:r>
      <w:r w:rsidR="00CB069F" w:rsidRPr="002F2828">
        <w:t>under</w:t>
      </w:r>
      <w:r w:rsidRPr="002F2828">
        <w:t xml:space="preserve"> clause</w:t>
      </w:r>
      <w:r w:rsidR="00CB069F" w:rsidRPr="002F2828">
        <w:t xml:space="preserve"> </w:t>
      </w:r>
      <w:r w:rsidR="00004445">
        <w:fldChar w:fldCharType="begin"/>
      </w:r>
      <w:r w:rsidR="00DF0C98">
        <w:instrText xml:space="preserve"> REF _Ref329115818 \r \h </w:instrText>
      </w:r>
      <w:r w:rsidR="00004445">
        <w:fldChar w:fldCharType="separate"/>
      </w:r>
      <w:r w:rsidR="00A84D28">
        <w:t>2.4.1</w:t>
      </w:r>
      <w:r w:rsidR="00004445">
        <w:fldChar w:fldCharType="end"/>
      </w:r>
      <w:r w:rsidR="00900E69" w:rsidRPr="002F2828">
        <w:t xml:space="preserve">, clauses </w:t>
      </w:r>
      <w:r w:rsidR="00004445">
        <w:fldChar w:fldCharType="begin"/>
      </w:r>
      <w:r w:rsidR="00495AFE">
        <w:instrText xml:space="preserve"> REF _Ref311133930 \r \h </w:instrText>
      </w:r>
      <w:r w:rsidR="00004445">
        <w:fldChar w:fldCharType="separate"/>
      </w:r>
      <w:r w:rsidR="00A84D28">
        <w:t>2.6.1</w:t>
      </w:r>
      <w:r w:rsidR="00004445">
        <w:fldChar w:fldCharType="end"/>
      </w:r>
      <w:r w:rsidR="00900E69" w:rsidRPr="002F2828">
        <w:t xml:space="preserve"> and</w:t>
      </w:r>
      <w:r w:rsidR="00C1150C">
        <w:t xml:space="preserve"> subclauses</w:t>
      </w:r>
      <w:r w:rsidR="00900E69" w:rsidRPr="002F2828">
        <w:t xml:space="preserve"> </w:t>
      </w:r>
      <w:r w:rsidR="00004445">
        <w:fldChar w:fldCharType="begin"/>
      </w:r>
      <w:r w:rsidR="00B877A1">
        <w:instrText xml:space="preserve"> REF _Ref313456425 \w \h </w:instrText>
      </w:r>
      <w:r w:rsidR="00004445">
        <w:fldChar w:fldCharType="separate"/>
      </w:r>
      <w:r w:rsidR="00A84D28">
        <w:t>2.6.3(2)</w:t>
      </w:r>
      <w:r w:rsidR="00004445">
        <w:fldChar w:fldCharType="end"/>
      </w:r>
      <w:r w:rsidR="00B56941" w:rsidRPr="002F2828">
        <w:t xml:space="preserve"> </w:t>
      </w:r>
      <w:r w:rsidR="00C1150C">
        <w:t xml:space="preserve">and </w:t>
      </w:r>
      <w:r w:rsidR="00004445">
        <w:fldChar w:fldCharType="begin"/>
      </w:r>
      <w:r w:rsidR="00C1150C">
        <w:instrText xml:space="preserve"> REF _Ref327953766 \w \h </w:instrText>
      </w:r>
      <w:r w:rsidR="00004445">
        <w:fldChar w:fldCharType="separate"/>
      </w:r>
      <w:r w:rsidR="00A84D28">
        <w:t>2.6.5(2)</w:t>
      </w:r>
      <w:r w:rsidR="00004445">
        <w:fldChar w:fldCharType="end"/>
      </w:r>
      <w:r w:rsidRPr="002F2828">
        <w:t>,</w:t>
      </w:r>
      <w:r w:rsidR="00B877A1">
        <w:t xml:space="preserve"> and clause </w:t>
      </w:r>
      <w:r w:rsidR="00004445">
        <w:fldChar w:fldCharType="begin"/>
      </w:r>
      <w:r w:rsidR="00B877A1">
        <w:instrText xml:space="preserve"> REF _Ref329274351 \w \h </w:instrText>
      </w:r>
      <w:r w:rsidR="00004445">
        <w:fldChar w:fldCharType="separate"/>
      </w:r>
      <w:r w:rsidR="00A84D28">
        <w:t>2.12.6(1)(b)</w:t>
      </w:r>
      <w:r w:rsidR="00004445">
        <w:fldChar w:fldCharType="end"/>
      </w:r>
      <w:r w:rsidRPr="002F2828">
        <w:t xml:space="preserve"> the </w:t>
      </w:r>
      <w:r w:rsidR="008A7470" w:rsidRPr="002F2828">
        <w:rPr>
          <w:b/>
        </w:rPr>
        <w:t>GDB</w:t>
      </w:r>
      <w:r w:rsidR="00E370DF" w:rsidRPr="002F2828">
        <w:rPr>
          <w:b/>
        </w:rPr>
        <w:t xml:space="preserve"> </w:t>
      </w:r>
      <w:r w:rsidRPr="002F2828">
        <w:t xml:space="preserve">must at that time </w:t>
      </w:r>
      <w:r w:rsidRPr="002F2828">
        <w:rPr>
          <w:b/>
        </w:rPr>
        <w:t xml:space="preserve">publicly disclose </w:t>
      </w:r>
      <w:r w:rsidRPr="002F2828">
        <w:t xml:space="preserve">a certificate in the form set out in Schedule </w:t>
      </w:r>
      <w:r w:rsidR="00495AFE">
        <w:t>17</w:t>
      </w:r>
      <w:r w:rsidR="00CB069F" w:rsidRPr="002F2828">
        <w:t xml:space="preserve"> </w:t>
      </w:r>
      <w:r w:rsidRPr="002F2828">
        <w:t xml:space="preserve">in respect of that information, duly signed by </w:t>
      </w:r>
      <w:r w:rsidR="00CB069F" w:rsidRPr="002F2828">
        <w:t xml:space="preserve">2 </w:t>
      </w:r>
      <w:r w:rsidRPr="002F2828">
        <w:rPr>
          <w:b/>
        </w:rPr>
        <w:t xml:space="preserve">directors </w:t>
      </w:r>
      <w:r w:rsidRPr="002F2828">
        <w:t xml:space="preserve">of the </w:t>
      </w:r>
      <w:r w:rsidR="008A7470" w:rsidRPr="002F2828">
        <w:rPr>
          <w:b/>
        </w:rPr>
        <w:t>GDB</w:t>
      </w:r>
      <w:r w:rsidRPr="002F2828">
        <w:t>.</w:t>
      </w:r>
      <w:bookmarkEnd w:id="180"/>
    </w:p>
    <w:p w:rsidR="008D14EC" w:rsidRPr="002F2828" w:rsidRDefault="008D14EC" w:rsidP="004B133C">
      <w:pPr>
        <w:pStyle w:val="HeadingH4Clausetext"/>
      </w:pPr>
      <w:bookmarkStart w:id="181" w:name="_Ref329297163"/>
      <w:r w:rsidRPr="002F2828">
        <w:t xml:space="preserve">Where a </w:t>
      </w:r>
      <w:r w:rsidR="008A7470" w:rsidRPr="002F2828">
        <w:rPr>
          <w:b/>
        </w:rPr>
        <w:t xml:space="preserve">GDB </w:t>
      </w:r>
      <w:r w:rsidRPr="002F2828">
        <w:t xml:space="preserve">is required to </w:t>
      </w:r>
      <w:r w:rsidR="00E915A2" w:rsidRPr="002F2828">
        <w:rPr>
          <w:b/>
        </w:rPr>
        <w:t>publicly disclose</w:t>
      </w:r>
      <w:r w:rsidRPr="002F2828">
        <w:t xml:space="preserve"> any information </w:t>
      </w:r>
      <w:r w:rsidR="00CB069F" w:rsidRPr="002F2828">
        <w:t>under</w:t>
      </w:r>
      <w:r w:rsidRPr="002F2828">
        <w:t xml:space="preserve"> any of clause </w:t>
      </w:r>
      <w:r w:rsidR="00004445">
        <w:fldChar w:fldCharType="begin"/>
      </w:r>
      <w:r w:rsidR="00495AFE">
        <w:instrText xml:space="preserve"> REF _Ref279613342 \r \h </w:instrText>
      </w:r>
      <w:r w:rsidR="00004445">
        <w:fldChar w:fldCharType="separate"/>
      </w:r>
      <w:r w:rsidR="00A84D28">
        <w:t>2.3.1</w:t>
      </w:r>
      <w:r w:rsidR="00004445">
        <w:fldChar w:fldCharType="end"/>
      </w:r>
      <w:r w:rsidR="00495AFE">
        <w:t xml:space="preserve"> and </w:t>
      </w:r>
      <w:r w:rsidR="00004445">
        <w:fldChar w:fldCharType="begin"/>
      </w:r>
      <w:r w:rsidR="00495AFE">
        <w:instrText xml:space="preserve"> REF _Ref328953470 \r \h </w:instrText>
      </w:r>
      <w:r w:rsidR="00004445">
        <w:fldChar w:fldCharType="separate"/>
      </w:r>
      <w:r w:rsidR="00A84D28">
        <w:t>2.3.2</w:t>
      </w:r>
      <w:r w:rsidR="00004445">
        <w:fldChar w:fldCharType="end"/>
      </w:r>
      <w:r w:rsidR="00495AFE">
        <w:t>,</w:t>
      </w:r>
      <w:r w:rsidR="006071ED" w:rsidRPr="002F2828">
        <w:t xml:space="preserve"> clause</w:t>
      </w:r>
      <w:r w:rsidR="00CB069F" w:rsidRPr="002F2828">
        <w:t xml:space="preserve">s </w:t>
      </w:r>
      <w:r w:rsidR="00004445">
        <w:fldChar w:fldCharType="begin"/>
      </w:r>
      <w:r w:rsidR="00DF0C98">
        <w:instrText xml:space="preserve"> REF _Ref328953510 \r \h </w:instrText>
      </w:r>
      <w:r w:rsidR="00004445">
        <w:fldChar w:fldCharType="separate"/>
      </w:r>
      <w:r w:rsidR="00A84D28">
        <w:t>2.4.19</w:t>
      </w:r>
      <w:r w:rsidR="00004445">
        <w:fldChar w:fldCharType="end"/>
      </w:r>
      <w:r w:rsidR="00CB069F" w:rsidRPr="002F2828">
        <w:t xml:space="preserve"> and </w:t>
      </w:r>
      <w:r w:rsidR="00004445">
        <w:fldChar w:fldCharType="begin"/>
      </w:r>
      <w:r w:rsidR="00DF0C98">
        <w:instrText xml:space="preserve"> REF _Ref328953520 \r \h </w:instrText>
      </w:r>
      <w:r w:rsidR="00004445">
        <w:fldChar w:fldCharType="separate"/>
      </w:r>
      <w:r w:rsidR="00A84D28">
        <w:t>2.4.20</w:t>
      </w:r>
      <w:r w:rsidR="00004445">
        <w:fldChar w:fldCharType="end"/>
      </w:r>
      <w:r w:rsidRPr="002F2828">
        <w:t xml:space="preserve">, </w:t>
      </w:r>
      <w:r w:rsidR="00495AFE">
        <w:t xml:space="preserve">clause </w:t>
      </w:r>
      <w:r w:rsidR="00004445">
        <w:fldChar w:fldCharType="begin"/>
      </w:r>
      <w:r w:rsidR="00495AFE">
        <w:instrText xml:space="preserve"> REF _Ref328953556 \r \h </w:instrText>
      </w:r>
      <w:r w:rsidR="00004445">
        <w:fldChar w:fldCharType="separate"/>
      </w:r>
      <w:r w:rsidR="00A84D28">
        <w:t>2.5.1</w:t>
      </w:r>
      <w:r w:rsidR="00004445">
        <w:fldChar w:fldCharType="end"/>
      </w:r>
      <w:r w:rsidR="00495AFE">
        <w:t>, and clause</w:t>
      </w:r>
      <w:r w:rsidR="00C1150C">
        <w:t>s</w:t>
      </w:r>
      <w:r w:rsidR="00495AFE">
        <w:t xml:space="preserve"> </w:t>
      </w:r>
      <w:r w:rsidR="00004445">
        <w:fldChar w:fldCharType="begin"/>
      </w:r>
      <w:r w:rsidR="00495AFE">
        <w:instrText xml:space="preserve"> REF _Ref328811155 \r \h </w:instrText>
      </w:r>
      <w:r w:rsidR="00004445">
        <w:fldChar w:fldCharType="separate"/>
      </w:r>
      <w:r w:rsidR="00A84D28">
        <w:t>2.7.1</w:t>
      </w:r>
      <w:r w:rsidR="00004445">
        <w:fldChar w:fldCharType="end"/>
      </w:r>
      <w:r w:rsidR="00495AFE">
        <w:t xml:space="preserve"> and </w:t>
      </w:r>
      <w:r w:rsidR="00004445">
        <w:fldChar w:fldCharType="begin"/>
      </w:r>
      <w:r w:rsidR="00495AFE">
        <w:instrText xml:space="preserve"> REF _Ref329273784 \r \h </w:instrText>
      </w:r>
      <w:r w:rsidR="00004445">
        <w:fldChar w:fldCharType="separate"/>
      </w:r>
      <w:r w:rsidR="00A84D28">
        <w:t>2.7.2</w:t>
      </w:r>
      <w:r w:rsidR="00004445">
        <w:fldChar w:fldCharType="end"/>
      </w:r>
      <w:r w:rsidR="002244D5">
        <w:t>,</w:t>
      </w:r>
      <w:r w:rsidR="00495AFE">
        <w:t xml:space="preserve"> </w:t>
      </w:r>
      <w:r w:rsidRPr="002F2828">
        <w:t xml:space="preserve">the </w:t>
      </w:r>
      <w:r w:rsidR="008A7470" w:rsidRPr="002F2828">
        <w:rPr>
          <w:b/>
        </w:rPr>
        <w:t xml:space="preserve">GDB </w:t>
      </w:r>
      <w:r w:rsidRPr="002F2828">
        <w:t xml:space="preserve">must at that time </w:t>
      </w:r>
      <w:r w:rsidRPr="002F2828">
        <w:rPr>
          <w:b/>
        </w:rPr>
        <w:t xml:space="preserve">publicly disclose </w:t>
      </w:r>
      <w:r w:rsidRPr="002F2828">
        <w:t xml:space="preserve">a certificate in the form set out in Schedule </w:t>
      </w:r>
      <w:r w:rsidR="00495AFE">
        <w:t>18</w:t>
      </w:r>
      <w:r w:rsidRPr="002F2828">
        <w:t xml:space="preserve"> in respect of that information, duly signed by </w:t>
      </w:r>
      <w:r w:rsidR="00CB069F" w:rsidRPr="002F2828">
        <w:t xml:space="preserve">2 </w:t>
      </w:r>
      <w:r w:rsidRPr="002F2828">
        <w:rPr>
          <w:b/>
        </w:rPr>
        <w:t xml:space="preserve">directors </w:t>
      </w:r>
      <w:r w:rsidRPr="002F2828">
        <w:t xml:space="preserve">of the </w:t>
      </w:r>
      <w:r w:rsidR="008A7470" w:rsidRPr="002F2828">
        <w:rPr>
          <w:b/>
        </w:rPr>
        <w:t>GDB</w:t>
      </w:r>
      <w:r w:rsidRPr="002F2828">
        <w:t>.</w:t>
      </w:r>
      <w:bookmarkEnd w:id="181"/>
    </w:p>
    <w:p w:rsidR="008D14EC" w:rsidRPr="002F2828" w:rsidRDefault="008D14EC" w:rsidP="004B133C">
      <w:pPr>
        <w:pStyle w:val="HeadingH4Clausetext"/>
      </w:pPr>
      <w:bookmarkStart w:id="182" w:name="_Ref329297175"/>
      <w:r w:rsidRPr="002F2828">
        <w:t xml:space="preserve">Where a </w:t>
      </w:r>
      <w:r w:rsidRPr="002F2828">
        <w:rPr>
          <w:b/>
        </w:rPr>
        <w:t xml:space="preserve">GDB </w:t>
      </w:r>
      <w:r w:rsidRPr="002F2828">
        <w:t xml:space="preserve">is required to </w:t>
      </w:r>
      <w:r w:rsidR="00E915A2" w:rsidRPr="002F2828">
        <w:rPr>
          <w:b/>
        </w:rPr>
        <w:t>publicly disclose</w:t>
      </w:r>
      <w:r w:rsidRPr="002F2828">
        <w:t xml:space="preserve"> any information </w:t>
      </w:r>
      <w:r w:rsidR="00CB069F" w:rsidRPr="002F2828">
        <w:t>under</w:t>
      </w:r>
      <w:r w:rsidRPr="002F2828">
        <w:t xml:space="preserve"> </w:t>
      </w:r>
      <w:r w:rsidR="00495AFE">
        <w:t>clause</w:t>
      </w:r>
      <w:r w:rsidRPr="002F2828">
        <w:t xml:space="preserve"> </w:t>
      </w:r>
      <w:r w:rsidR="00004445">
        <w:fldChar w:fldCharType="begin"/>
      </w:r>
      <w:r w:rsidR="00DF0C98">
        <w:instrText xml:space="preserve"> REF _Ref329169629 \r \h </w:instrText>
      </w:r>
      <w:r w:rsidR="00004445">
        <w:fldChar w:fldCharType="separate"/>
      </w:r>
      <w:r w:rsidR="00A84D28">
        <w:t>2.10.1</w:t>
      </w:r>
      <w:r w:rsidR="00004445">
        <w:fldChar w:fldCharType="end"/>
      </w:r>
      <w:r w:rsidRPr="002F2828">
        <w:t xml:space="preserve">, the </w:t>
      </w:r>
      <w:r w:rsidR="008A7470" w:rsidRPr="002F2828">
        <w:rPr>
          <w:b/>
        </w:rPr>
        <w:t xml:space="preserve">GDB </w:t>
      </w:r>
      <w:r w:rsidRPr="002F2828">
        <w:t xml:space="preserve">must at that time </w:t>
      </w:r>
      <w:r w:rsidRPr="002F2828">
        <w:rPr>
          <w:b/>
        </w:rPr>
        <w:t xml:space="preserve">publicly disclose </w:t>
      </w:r>
      <w:r w:rsidRPr="002F2828">
        <w:t xml:space="preserve">a certificate in the form set out in Schedule </w:t>
      </w:r>
      <w:r w:rsidR="00495AFE">
        <w:t>19</w:t>
      </w:r>
      <w:r w:rsidRPr="002F2828">
        <w:t xml:space="preserve"> in respect of that information, duly signed by </w:t>
      </w:r>
      <w:r w:rsidR="00CB069F" w:rsidRPr="002F2828">
        <w:t>2</w:t>
      </w:r>
      <w:r w:rsidR="001652E3" w:rsidRPr="002F2828">
        <w:t xml:space="preserve"> </w:t>
      </w:r>
      <w:r w:rsidRPr="002F2828">
        <w:rPr>
          <w:b/>
        </w:rPr>
        <w:t xml:space="preserve">directors </w:t>
      </w:r>
      <w:r w:rsidRPr="002F2828">
        <w:t xml:space="preserve">of the </w:t>
      </w:r>
      <w:r w:rsidR="008A7470" w:rsidRPr="002F2828">
        <w:rPr>
          <w:b/>
        </w:rPr>
        <w:t>GDB</w:t>
      </w:r>
      <w:r w:rsidRPr="002F2828">
        <w:t>.</w:t>
      </w:r>
      <w:bookmarkEnd w:id="182"/>
    </w:p>
    <w:p w:rsidR="00870D08" w:rsidRPr="002F2828" w:rsidRDefault="00870D08" w:rsidP="004B133C">
      <w:pPr>
        <w:pStyle w:val="HeadingH3SectionHeading"/>
      </w:pPr>
      <w:bookmarkStart w:id="183" w:name="_Ref328951183"/>
      <w:bookmarkStart w:id="184" w:name="_Toc329301631"/>
      <w:r w:rsidRPr="002F2828">
        <w:t>RETENTION AND CONTINUING DISCLOSURES</w:t>
      </w:r>
      <w:bookmarkEnd w:id="183"/>
      <w:bookmarkEnd w:id="184"/>
    </w:p>
    <w:p w:rsidR="008D14EC" w:rsidRDefault="008D14EC" w:rsidP="004B133C">
      <w:pPr>
        <w:pStyle w:val="HeadingH4Clausetext"/>
      </w:pPr>
      <w:bookmarkStart w:id="185" w:name="_Ref329169629"/>
      <w:r w:rsidRPr="002F2828">
        <w:t xml:space="preserve">A </w:t>
      </w:r>
      <w:r w:rsidR="00555C83" w:rsidRPr="002F2828">
        <w:rPr>
          <w:b/>
        </w:rPr>
        <w:t>GDB</w:t>
      </w:r>
      <w:r w:rsidR="00555C83" w:rsidRPr="002F2828">
        <w:t xml:space="preserve"> </w:t>
      </w:r>
      <w:r w:rsidRPr="002F2828">
        <w:t xml:space="preserve">that is required by this determination to </w:t>
      </w:r>
      <w:r w:rsidRPr="002F2828">
        <w:rPr>
          <w:b/>
        </w:rPr>
        <w:t>publicly disclose</w:t>
      </w:r>
      <w:r w:rsidRPr="002F2828">
        <w:t xml:space="preserve"> any information must retain, and continuously </w:t>
      </w:r>
      <w:r w:rsidRPr="002F2828">
        <w:rPr>
          <w:b/>
        </w:rPr>
        <w:t>publicly disclose</w:t>
      </w:r>
      <w:r w:rsidRPr="002F2828">
        <w:t xml:space="preserve">, that information for at least </w:t>
      </w:r>
      <w:r w:rsidR="00CB069F" w:rsidRPr="002F2828">
        <w:t xml:space="preserve">7 </w:t>
      </w:r>
      <w:r w:rsidRPr="002F2828">
        <w:t xml:space="preserve">years from the date that information is first required to be </w:t>
      </w:r>
      <w:r w:rsidRPr="002F2828">
        <w:rPr>
          <w:b/>
        </w:rPr>
        <w:t>publicly disclosed</w:t>
      </w:r>
      <w:r w:rsidRPr="002F2828">
        <w:t>.</w:t>
      </w:r>
      <w:bookmarkEnd w:id="185"/>
    </w:p>
    <w:p w:rsidR="00870D08" w:rsidRPr="002F2828" w:rsidRDefault="00870D08" w:rsidP="004B133C">
      <w:pPr>
        <w:pStyle w:val="HeadingH3SectionHeading"/>
      </w:pPr>
      <w:bookmarkStart w:id="186" w:name="_Ref328950971"/>
      <w:bookmarkStart w:id="187" w:name="_Toc329301632"/>
      <w:r w:rsidRPr="002F2828">
        <w:t>EXEMPTIONS</w:t>
      </w:r>
      <w:bookmarkEnd w:id="186"/>
      <w:bookmarkEnd w:id="187"/>
    </w:p>
    <w:p w:rsidR="006E6F5C" w:rsidRPr="002F2828" w:rsidRDefault="006E6F5C" w:rsidP="004B133C">
      <w:pPr>
        <w:pStyle w:val="HeadingH4Clausetext"/>
      </w:pPr>
      <w:r w:rsidRPr="002F2828">
        <w:t xml:space="preserve">The </w:t>
      </w:r>
      <w:r w:rsidRPr="002F2828">
        <w:rPr>
          <w:b/>
        </w:rPr>
        <w:t>Commission</w:t>
      </w:r>
      <w:r w:rsidRPr="002F2828">
        <w:t xml:space="preserve"> may at any time, by written notice to a </w:t>
      </w:r>
      <w:r w:rsidR="00555C83" w:rsidRPr="002F2828">
        <w:rPr>
          <w:b/>
        </w:rPr>
        <w:t>GDB</w:t>
      </w:r>
      <w:r w:rsidRPr="002F2828">
        <w:t>,-</w:t>
      </w:r>
    </w:p>
    <w:p w:rsidR="006E6F5C" w:rsidRPr="002F2828" w:rsidRDefault="006071ED" w:rsidP="004B133C">
      <w:pPr>
        <w:pStyle w:val="HeadingH5ClausesubtextL1"/>
      </w:pPr>
      <w:r w:rsidRPr="002F2828">
        <w:t xml:space="preserve">Exempt </w:t>
      </w:r>
      <w:r w:rsidR="006E6F5C" w:rsidRPr="002F2828">
        <w:t xml:space="preserve">the </w:t>
      </w:r>
      <w:r w:rsidR="00555C83" w:rsidRPr="002F2828">
        <w:rPr>
          <w:b/>
        </w:rPr>
        <w:t>GDB</w:t>
      </w:r>
      <w:r w:rsidR="006E6F5C" w:rsidRPr="002F2828">
        <w:t xml:space="preserve"> from any or all of the requirements of this determination, for a period and on such terms and conditions as the </w:t>
      </w:r>
      <w:r w:rsidR="006E6F5C" w:rsidRPr="002F2828">
        <w:rPr>
          <w:b/>
        </w:rPr>
        <w:t>Commission</w:t>
      </w:r>
      <w:r w:rsidR="006E6F5C" w:rsidRPr="002F2828">
        <w:t xml:space="preserve"> specifies in the notice; and</w:t>
      </w:r>
    </w:p>
    <w:p w:rsidR="00C80BBC" w:rsidRPr="002F2828" w:rsidRDefault="006071ED" w:rsidP="004B133C">
      <w:pPr>
        <w:pStyle w:val="HeadingH5ClausesubtextL1"/>
      </w:pPr>
      <w:r w:rsidRPr="002F2828">
        <w:t xml:space="preserve">Amend </w:t>
      </w:r>
      <w:r w:rsidR="006E6F5C" w:rsidRPr="002F2828">
        <w:t>or revoke any such exemption</w:t>
      </w:r>
    </w:p>
    <w:p w:rsidR="00C80BBC" w:rsidRPr="002F2828" w:rsidRDefault="00C80BBC" w:rsidP="0084688E">
      <w:pPr>
        <w:pStyle w:val="BodyText"/>
        <w:spacing w:line="264" w:lineRule="auto"/>
        <w:rPr>
          <w:rFonts w:asciiTheme="minorHAnsi" w:hAnsiTheme="minorHAnsi"/>
        </w:rPr>
        <w:sectPr w:rsidR="00C80BBC" w:rsidRPr="002F2828" w:rsidSect="00223E26">
          <w:type w:val="continuous"/>
          <w:pgSz w:w="11907" w:h="16840" w:code="9"/>
          <w:pgMar w:top="1440" w:right="1440" w:bottom="1440" w:left="1440" w:header="1134" w:footer="431" w:gutter="0"/>
          <w:cols w:space="720"/>
          <w:titlePg/>
        </w:sectPr>
      </w:pPr>
    </w:p>
    <w:p w:rsidR="00870D08" w:rsidRPr="002F2828" w:rsidRDefault="00870D08" w:rsidP="004B133C">
      <w:pPr>
        <w:pStyle w:val="HeadingH3SectionHeading"/>
      </w:pPr>
      <w:bookmarkStart w:id="188" w:name="_Ref328950981"/>
      <w:bookmarkStart w:id="189" w:name="_Ref328951193"/>
      <w:bookmarkStart w:id="190" w:name="_Ref328951345"/>
      <w:bookmarkStart w:id="191" w:name="_Ref328951773"/>
      <w:bookmarkStart w:id="192" w:name="_Ref328953675"/>
      <w:bookmarkStart w:id="193" w:name="_Ref329074886"/>
      <w:bookmarkStart w:id="194" w:name="_Toc329301633"/>
      <w:r w:rsidRPr="002F2828">
        <w:t>TRANSITIONAL PROVISIONS</w:t>
      </w:r>
      <w:bookmarkEnd w:id="188"/>
      <w:bookmarkEnd w:id="189"/>
      <w:bookmarkEnd w:id="190"/>
      <w:bookmarkEnd w:id="191"/>
      <w:bookmarkEnd w:id="192"/>
      <w:bookmarkEnd w:id="193"/>
      <w:bookmarkEnd w:id="194"/>
    </w:p>
    <w:p w:rsidR="00F83847" w:rsidRPr="002F2828" w:rsidRDefault="00E410D4" w:rsidP="004B133C">
      <w:pPr>
        <w:pStyle w:val="HeadingH4Clausetext"/>
      </w:pPr>
      <w:bookmarkStart w:id="195" w:name="_Ref279613542"/>
      <w:r w:rsidRPr="002F2828">
        <w:t xml:space="preserve">Subject to </w:t>
      </w:r>
      <w:r w:rsidR="000F760E" w:rsidRPr="002F2828">
        <w:t>clause</w:t>
      </w:r>
      <w:r w:rsidR="00AD7794">
        <w:t xml:space="preserve"> </w:t>
      </w:r>
      <w:r w:rsidR="00004445">
        <w:fldChar w:fldCharType="begin"/>
      </w:r>
      <w:r w:rsidR="00AD7794">
        <w:instrText xml:space="preserve"> REF _Ref329267154 \r \h </w:instrText>
      </w:r>
      <w:r w:rsidR="00004445">
        <w:fldChar w:fldCharType="separate"/>
      </w:r>
      <w:r w:rsidR="00A84D28">
        <w:t>2.12.2</w:t>
      </w:r>
      <w:r w:rsidR="00004445">
        <w:fldChar w:fldCharType="end"/>
      </w:r>
      <w:r w:rsidRPr="002F2828">
        <w:t xml:space="preserve">, within </w:t>
      </w:r>
      <w:r w:rsidR="00AD7794">
        <w:t>7</w:t>
      </w:r>
      <w:r w:rsidR="00D32853" w:rsidRPr="002F2828">
        <w:t xml:space="preserve"> </w:t>
      </w:r>
      <w:r w:rsidRPr="002F2828">
        <w:t xml:space="preserve">months after the end of the </w:t>
      </w:r>
      <w:r w:rsidRPr="002F2828">
        <w:rPr>
          <w:b/>
        </w:rPr>
        <w:t>disclosure year</w:t>
      </w:r>
      <w:r w:rsidRPr="002F2828">
        <w:t xml:space="preserve"> 2012</w:t>
      </w:r>
      <w:r w:rsidR="00AD7794">
        <w:t xml:space="preserve"> in the case of </w:t>
      </w:r>
      <w:proofErr w:type="spellStart"/>
      <w:r w:rsidR="00AD7794">
        <w:t>Powerco</w:t>
      </w:r>
      <w:proofErr w:type="spellEnd"/>
      <w:r w:rsidR="009A5262">
        <w:t>,</w:t>
      </w:r>
      <w:r w:rsidR="00AD7794">
        <w:t xml:space="preserve"> and 10 months after the end of the </w:t>
      </w:r>
      <w:r w:rsidR="00AD7794">
        <w:rPr>
          <w:b/>
        </w:rPr>
        <w:t xml:space="preserve">disclosure year </w:t>
      </w:r>
      <w:r w:rsidR="00AD7794">
        <w:t xml:space="preserve">2012 in the case of Vector Limited and </w:t>
      </w:r>
      <w:proofErr w:type="spellStart"/>
      <w:r w:rsidR="00AD7794">
        <w:t>GasNet</w:t>
      </w:r>
      <w:proofErr w:type="spellEnd"/>
      <w:r w:rsidRPr="002F2828">
        <w:t xml:space="preserve">, </w:t>
      </w:r>
      <w:r w:rsidR="00D32853" w:rsidRPr="002F2828">
        <w:t xml:space="preserve">each </w:t>
      </w:r>
      <w:r w:rsidR="00F83847" w:rsidRPr="002F2828">
        <w:rPr>
          <w:b/>
        </w:rPr>
        <w:t>G</w:t>
      </w:r>
      <w:r w:rsidRPr="002F2828">
        <w:rPr>
          <w:b/>
        </w:rPr>
        <w:t>DB</w:t>
      </w:r>
      <w:r w:rsidRPr="002F2828">
        <w:t xml:space="preserve"> must:</w:t>
      </w:r>
      <w:bookmarkEnd w:id="195"/>
    </w:p>
    <w:p w:rsidR="00F83847" w:rsidRPr="002F2828" w:rsidRDefault="006071ED" w:rsidP="004B133C">
      <w:pPr>
        <w:pStyle w:val="HeadingH5ClausesubtextL1"/>
      </w:pPr>
      <w:r w:rsidRPr="002F2828">
        <w:t>Complet</w:t>
      </w:r>
      <w:r w:rsidR="00D32853" w:rsidRPr="002F2828">
        <w:t>e</w:t>
      </w:r>
      <w:r w:rsidRPr="002F2828">
        <w:t xml:space="preserve"> </w:t>
      </w:r>
      <w:r w:rsidR="00E410D4" w:rsidRPr="002F2828">
        <w:t>the Report on Transitional Financial Information set out in Schedule</w:t>
      </w:r>
      <w:r w:rsidR="00AD7794">
        <w:t>4c</w:t>
      </w:r>
      <w:r w:rsidR="00E410D4" w:rsidRPr="002F2828">
        <w:t>;</w:t>
      </w:r>
    </w:p>
    <w:p w:rsidR="00AD7794" w:rsidRDefault="006071ED" w:rsidP="004B133C">
      <w:pPr>
        <w:pStyle w:val="HeadingH5ClausesubtextL1"/>
      </w:pPr>
      <w:r w:rsidRPr="002F2828">
        <w:t>Complet</w:t>
      </w:r>
      <w:r w:rsidR="00D32853" w:rsidRPr="002F2828">
        <w:t>e</w:t>
      </w:r>
      <w:r w:rsidRPr="002F2828">
        <w:t xml:space="preserve"> </w:t>
      </w:r>
      <w:r w:rsidR="00E410D4" w:rsidRPr="002F2828">
        <w:t xml:space="preserve">the Report on Asset Allocations set out in Schedule </w:t>
      </w:r>
      <w:r w:rsidR="00AD7794">
        <w:t>4a</w:t>
      </w:r>
      <w:r w:rsidR="00E410D4" w:rsidRPr="002F2828">
        <w:t xml:space="preserve"> by inserting all information relating to the </w:t>
      </w:r>
      <w:r w:rsidR="00F82684" w:rsidRPr="002F2828">
        <w:t xml:space="preserve">asset allocation for the </w:t>
      </w:r>
      <w:r w:rsidR="00F82684" w:rsidRPr="002F2828">
        <w:rPr>
          <w:b/>
        </w:rPr>
        <w:t xml:space="preserve">total opening RAB value </w:t>
      </w:r>
      <w:r w:rsidR="00F82684" w:rsidRPr="002F2828">
        <w:t xml:space="preserve">disclosed in Schedule </w:t>
      </w:r>
      <w:r w:rsidR="00AD7794">
        <w:t>4</w:t>
      </w:r>
      <w:r w:rsidR="00E410D4" w:rsidRPr="002F2828">
        <w:t xml:space="preserve">; </w:t>
      </w:r>
    </w:p>
    <w:p w:rsidR="00F83847" w:rsidRPr="002F2828" w:rsidRDefault="00AD7794" w:rsidP="004B133C">
      <w:pPr>
        <w:pStyle w:val="HeadingH5ClausesubtextL1"/>
      </w:pPr>
      <w:r>
        <w:t xml:space="preserve">Provide explanatory comment in Schedule 14b in relation to transitional financial information disclosed in Schedule 4c; </w:t>
      </w:r>
      <w:r w:rsidR="00E410D4" w:rsidRPr="002F2828">
        <w:t>and</w:t>
      </w:r>
    </w:p>
    <w:p w:rsidR="00F83847" w:rsidRPr="002F2828" w:rsidRDefault="006071ED" w:rsidP="004B133C">
      <w:pPr>
        <w:pStyle w:val="HeadingH5ClausesubtextL1"/>
      </w:pPr>
      <w:r w:rsidRPr="00AD7794">
        <w:rPr>
          <w:b/>
        </w:rPr>
        <w:t xml:space="preserve">Publicly </w:t>
      </w:r>
      <w:r w:rsidR="00E410D4" w:rsidRPr="00AD7794">
        <w:rPr>
          <w:b/>
        </w:rPr>
        <w:t>disclos</w:t>
      </w:r>
      <w:r w:rsidR="00D32853" w:rsidRPr="00AD7794">
        <w:rPr>
          <w:b/>
        </w:rPr>
        <w:t>e</w:t>
      </w:r>
      <w:r w:rsidR="00E410D4" w:rsidRPr="002F2828">
        <w:t xml:space="preserve"> those reports.</w:t>
      </w:r>
    </w:p>
    <w:p w:rsidR="00F83847" w:rsidRPr="002F2828" w:rsidRDefault="00E410D4" w:rsidP="004B133C">
      <w:pPr>
        <w:pStyle w:val="HeadingH4Clausetext"/>
      </w:pPr>
      <w:bookmarkStart w:id="196" w:name="_Ref329267154"/>
      <w:r w:rsidRPr="002F2828">
        <w:t>Subject to clause</w:t>
      </w:r>
      <w:r w:rsidR="000F2AAB">
        <w:t xml:space="preserve"> </w:t>
      </w:r>
      <w:r w:rsidR="00004445">
        <w:fldChar w:fldCharType="begin"/>
      </w:r>
      <w:r w:rsidR="00AD7794">
        <w:instrText xml:space="preserve"> REF _Ref329267305 \r \h </w:instrText>
      </w:r>
      <w:r w:rsidR="00004445">
        <w:fldChar w:fldCharType="separate"/>
      </w:r>
      <w:r w:rsidR="00A84D28">
        <w:t>2.12.3</w:t>
      </w:r>
      <w:r w:rsidR="00004445">
        <w:fldChar w:fldCharType="end"/>
      </w:r>
      <w:r w:rsidRPr="002F2828">
        <w:t xml:space="preserve">, where a </w:t>
      </w:r>
      <w:r w:rsidR="009246FB" w:rsidRPr="002F2828">
        <w:rPr>
          <w:b/>
        </w:rPr>
        <w:t>GDB</w:t>
      </w:r>
      <w:r w:rsidR="009246FB" w:rsidRPr="002F2828">
        <w:t xml:space="preserve"> has previously </w:t>
      </w:r>
      <w:r w:rsidRPr="002F2828">
        <w:t>elect</w:t>
      </w:r>
      <w:r w:rsidR="009246FB" w:rsidRPr="002F2828">
        <w:t>ed</w:t>
      </w:r>
      <w:r w:rsidRPr="002F2828">
        <w:t xml:space="preserve"> to undertake an adjustment in accordance with clause 2.2.1 of the </w:t>
      </w:r>
      <w:r w:rsidRPr="002F2828">
        <w:rPr>
          <w:b/>
        </w:rPr>
        <w:t>IM Determination</w:t>
      </w:r>
      <w:r w:rsidRPr="002F2828">
        <w:t xml:space="preserve">, within </w:t>
      </w:r>
      <w:r w:rsidR="00D778CB">
        <w:t>7</w:t>
      </w:r>
      <w:r w:rsidR="00D778CB" w:rsidRPr="002F2828">
        <w:t xml:space="preserve"> months after the end of the </w:t>
      </w:r>
      <w:r w:rsidR="00D778CB" w:rsidRPr="002F2828">
        <w:rPr>
          <w:b/>
        </w:rPr>
        <w:t>disclosure year</w:t>
      </w:r>
      <w:r w:rsidR="00D778CB" w:rsidRPr="002F2828">
        <w:t xml:space="preserve"> 2012</w:t>
      </w:r>
      <w:r w:rsidR="00D778CB">
        <w:t xml:space="preserve"> in the case of </w:t>
      </w:r>
      <w:proofErr w:type="spellStart"/>
      <w:r w:rsidR="00D778CB">
        <w:t>Powerco</w:t>
      </w:r>
      <w:proofErr w:type="spellEnd"/>
      <w:r w:rsidR="00D778CB">
        <w:t xml:space="preserve">, and 10 months after the end of the </w:t>
      </w:r>
      <w:r w:rsidR="00D778CB">
        <w:rPr>
          <w:b/>
        </w:rPr>
        <w:t xml:space="preserve">disclosure year </w:t>
      </w:r>
      <w:r w:rsidR="00D778CB">
        <w:t xml:space="preserve">2012 in the case of Vector Limited and </w:t>
      </w:r>
      <w:proofErr w:type="spellStart"/>
      <w:r w:rsidR="00D778CB">
        <w:t>GasNet</w:t>
      </w:r>
      <w:proofErr w:type="spellEnd"/>
      <w:r w:rsidR="00D778CB">
        <w:t>,</w:t>
      </w:r>
      <w:r w:rsidR="00D778CB" w:rsidDel="00D778CB">
        <w:t xml:space="preserve"> </w:t>
      </w:r>
      <w:r w:rsidRPr="002F2828">
        <w:t xml:space="preserve">the </w:t>
      </w:r>
      <w:r w:rsidR="009246FB" w:rsidRPr="002F2828">
        <w:rPr>
          <w:b/>
        </w:rPr>
        <w:t>GDB</w:t>
      </w:r>
      <w:r w:rsidR="009246FB" w:rsidRPr="002F2828">
        <w:t xml:space="preserve"> </w:t>
      </w:r>
      <w:r w:rsidRPr="002F2828">
        <w:t>must</w:t>
      </w:r>
      <w:r w:rsidR="009246FB" w:rsidRPr="002F2828">
        <w:t xml:space="preserve"> </w:t>
      </w:r>
      <w:r w:rsidR="009246FB" w:rsidRPr="002F2828">
        <w:rPr>
          <w:b/>
        </w:rPr>
        <w:t>publicly disclose</w:t>
      </w:r>
      <w:r w:rsidR="009246FB" w:rsidRPr="002F2828">
        <w:t xml:space="preserve"> the asset adjustment schedule and engineer’s report that had previously been disclosed to the </w:t>
      </w:r>
      <w:r w:rsidR="009246FB" w:rsidRPr="002F2828">
        <w:rPr>
          <w:b/>
        </w:rPr>
        <w:t>Commission</w:t>
      </w:r>
      <w:r w:rsidR="009246FB" w:rsidRPr="002F2828">
        <w:t xml:space="preserve"> under the relevant Notice to Supply Information to the </w:t>
      </w:r>
      <w:r w:rsidR="009246FB" w:rsidRPr="002F2828">
        <w:rPr>
          <w:b/>
        </w:rPr>
        <w:t>Commission</w:t>
      </w:r>
      <w:r w:rsidR="009246FB" w:rsidRPr="002F2828">
        <w:t xml:space="preserve"> issued under section 53ZD of the Act.</w:t>
      </w:r>
      <w:bookmarkEnd w:id="196"/>
    </w:p>
    <w:p w:rsidR="008F5D7B" w:rsidRDefault="00435D6E" w:rsidP="004B133C">
      <w:pPr>
        <w:pStyle w:val="HeadingH4Clausetext"/>
      </w:pPr>
      <w:bookmarkStart w:id="197" w:name="_Ref329267305"/>
      <w:r w:rsidRPr="002F2828">
        <w:t>Where a</w:t>
      </w:r>
      <w:r w:rsidR="00E410D4" w:rsidRPr="002F2828">
        <w:t xml:space="preserve"> </w:t>
      </w:r>
      <w:r w:rsidR="009246FB" w:rsidRPr="002F2828">
        <w:rPr>
          <w:b/>
        </w:rPr>
        <w:t>GDB</w:t>
      </w:r>
      <w:r w:rsidR="009246FB" w:rsidRPr="002F2828">
        <w:t xml:space="preserve"> </w:t>
      </w:r>
      <w:r w:rsidR="00E410D4" w:rsidRPr="002F2828">
        <w:t xml:space="preserve">has disclosed information to the </w:t>
      </w:r>
      <w:r w:rsidR="00E410D4" w:rsidRPr="002F2828">
        <w:rPr>
          <w:b/>
        </w:rPr>
        <w:t>Commission</w:t>
      </w:r>
      <w:r w:rsidR="00E410D4" w:rsidRPr="002F2828">
        <w:t xml:space="preserve"> on the </w:t>
      </w:r>
      <w:r w:rsidR="00E410D4" w:rsidRPr="002F2828">
        <w:rPr>
          <w:b/>
        </w:rPr>
        <w:t>initial RAB</w:t>
      </w:r>
      <w:r w:rsidR="00E410D4" w:rsidRPr="002F2828">
        <w:t xml:space="preserve"> and asset adjustment process as provided for under clauses 2.2.1 to 2.2.3 of the </w:t>
      </w:r>
      <w:r w:rsidR="00E410D4" w:rsidRPr="002F2828">
        <w:rPr>
          <w:b/>
        </w:rPr>
        <w:t>IM Determination</w:t>
      </w:r>
      <w:r w:rsidR="00E410D4" w:rsidRPr="002F2828">
        <w:t xml:space="preserve">, the information disclosed in accordance with </w:t>
      </w:r>
      <w:r w:rsidR="000F2AAB">
        <w:t xml:space="preserve">clause </w:t>
      </w:r>
      <w:r w:rsidR="00004445">
        <w:fldChar w:fldCharType="begin"/>
      </w:r>
      <w:r w:rsidR="000F2AAB">
        <w:instrText xml:space="preserve"> REF _Ref279613542 \r \h </w:instrText>
      </w:r>
      <w:r w:rsidR="00004445">
        <w:fldChar w:fldCharType="separate"/>
      </w:r>
      <w:r w:rsidR="00A84D28">
        <w:t>2.12.1</w:t>
      </w:r>
      <w:r w:rsidR="00004445">
        <w:fldChar w:fldCharType="end"/>
      </w:r>
      <w:r w:rsidR="000F2AAB">
        <w:t xml:space="preserve"> </w:t>
      </w:r>
      <w:r w:rsidR="00E410D4" w:rsidRPr="002F2828">
        <w:t xml:space="preserve">must be consistent with that </w:t>
      </w:r>
      <w:r w:rsidR="00D32853" w:rsidRPr="002F2828">
        <w:t xml:space="preserve">previous </w:t>
      </w:r>
      <w:r w:rsidR="00E410D4" w:rsidRPr="002F2828">
        <w:t>disclosure</w:t>
      </w:r>
      <w:r w:rsidR="00D32853" w:rsidRPr="002F2828">
        <w:t xml:space="preserve"> to the </w:t>
      </w:r>
      <w:r w:rsidR="00D32853" w:rsidRPr="002F2828">
        <w:rPr>
          <w:b/>
        </w:rPr>
        <w:t>Commission</w:t>
      </w:r>
      <w:r w:rsidR="00E410D4" w:rsidRPr="002F2828">
        <w:t>.</w:t>
      </w:r>
      <w:bookmarkEnd w:id="197"/>
    </w:p>
    <w:p w:rsidR="00F83847" w:rsidRPr="002F2828" w:rsidRDefault="00F82684" w:rsidP="004B133C">
      <w:pPr>
        <w:pStyle w:val="HeadingH4Clausetext"/>
      </w:pPr>
      <w:r w:rsidRPr="002F2828">
        <w:t xml:space="preserve">Notwithstanding any requirements set out in section </w:t>
      </w:r>
      <w:r w:rsidR="00004445">
        <w:fldChar w:fldCharType="begin"/>
      </w:r>
      <w:r w:rsidR="00DF0C98">
        <w:instrText xml:space="preserve"> REF _Ref329169771 \r \h </w:instrText>
      </w:r>
      <w:r w:rsidR="00004445">
        <w:fldChar w:fldCharType="separate"/>
      </w:r>
      <w:r w:rsidR="00A84D28">
        <w:t>2.3</w:t>
      </w:r>
      <w:r w:rsidR="00004445">
        <w:fldChar w:fldCharType="end"/>
      </w:r>
      <w:r w:rsidRPr="002F2828">
        <w:t xml:space="preserve">, the following transitional provisions apply in respect of the </w:t>
      </w:r>
      <w:r w:rsidRPr="002F2828">
        <w:rPr>
          <w:b/>
        </w:rPr>
        <w:t>disclosure year</w:t>
      </w:r>
      <w:r w:rsidRPr="002F2828">
        <w:t xml:space="preserve"> 2012:</w:t>
      </w:r>
    </w:p>
    <w:p w:rsidR="00F83847" w:rsidRPr="002F2828" w:rsidRDefault="00F82684" w:rsidP="004B133C">
      <w:pPr>
        <w:pStyle w:val="HeadingH5ClausesubtextL1"/>
      </w:pPr>
      <w:r w:rsidRPr="002F2828">
        <w:t xml:space="preserve">Information in </w:t>
      </w:r>
      <w:r w:rsidR="000F2AAB">
        <w:t>3(</w:t>
      </w:r>
      <w:proofErr w:type="spellStart"/>
      <w:r w:rsidR="000F2AAB">
        <w:t>i</w:t>
      </w:r>
      <w:proofErr w:type="spellEnd"/>
      <w:r w:rsidR="000F2AAB">
        <w:t>)</w:t>
      </w:r>
      <w:r w:rsidRPr="002F2828">
        <w:t xml:space="preserve"> of the Report on Return on Investment set out in Schedule </w:t>
      </w:r>
      <w:r w:rsidR="000F2AAB">
        <w:t>3</w:t>
      </w:r>
      <w:r w:rsidRPr="002F2828">
        <w:t xml:space="preserve"> relating to </w:t>
      </w:r>
      <w:r w:rsidRPr="002F2828">
        <w:rPr>
          <w:b/>
        </w:rPr>
        <w:t>CY</w:t>
      </w:r>
      <w:r w:rsidRPr="002F2828">
        <w:t xml:space="preserve">-2 and </w:t>
      </w:r>
      <w:r w:rsidRPr="002F2828">
        <w:rPr>
          <w:b/>
        </w:rPr>
        <w:t>CY</w:t>
      </w:r>
      <w:r w:rsidRPr="002F2828">
        <w:t>-1 is not required to be disclosed</w:t>
      </w:r>
    </w:p>
    <w:p w:rsidR="00F83847" w:rsidRPr="002F2828" w:rsidRDefault="00F82684" w:rsidP="004B133C">
      <w:pPr>
        <w:pStyle w:val="HeadingH5ClausesubtextL1"/>
      </w:pPr>
      <w:r w:rsidRPr="002F2828">
        <w:t xml:space="preserve">Information in </w:t>
      </w:r>
      <w:r w:rsidR="000F2AAB">
        <w:t>4(</w:t>
      </w:r>
      <w:proofErr w:type="spellStart"/>
      <w:r w:rsidR="000F2AAB">
        <w:t>i</w:t>
      </w:r>
      <w:proofErr w:type="spellEnd"/>
      <w:r w:rsidR="000F2AAB">
        <w:t>)</w:t>
      </w:r>
      <w:r w:rsidRPr="002F2828">
        <w:t xml:space="preserve"> of the Report on Regulatory Asset Base Roll Forward set out in Schedule </w:t>
      </w:r>
      <w:r w:rsidR="000F2AAB">
        <w:t>4</w:t>
      </w:r>
      <w:r w:rsidRPr="002F2828">
        <w:t xml:space="preserve"> relating to </w:t>
      </w:r>
      <w:r w:rsidRPr="002F2828">
        <w:rPr>
          <w:b/>
        </w:rPr>
        <w:t>CY</w:t>
      </w:r>
      <w:r w:rsidRPr="002F2828">
        <w:t xml:space="preserve">-3 and </w:t>
      </w:r>
      <w:r w:rsidRPr="002F2828">
        <w:rPr>
          <w:b/>
        </w:rPr>
        <w:t>CY</w:t>
      </w:r>
      <w:r w:rsidRPr="002F2828">
        <w:t>-4 is not required to be disclosed</w:t>
      </w:r>
    </w:p>
    <w:p w:rsidR="00F83847" w:rsidRPr="002F2828" w:rsidRDefault="00F82684" w:rsidP="004B133C">
      <w:pPr>
        <w:pStyle w:val="HeadingH5ClausesubtextL1"/>
      </w:pPr>
      <w:r w:rsidRPr="002F2828">
        <w:t xml:space="preserve">Information in the Report on </w:t>
      </w:r>
      <w:r w:rsidR="000F2AAB">
        <w:t xml:space="preserve">Capital </w:t>
      </w:r>
      <w:r w:rsidRPr="002F2828">
        <w:t xml:space="preserve">Expenditure </w:t>
      </w:r>
      <w:r w:rsidR="000F2AAB">
        <w:t xml:space="preserve">for the Disclosure Year set out in Schedule 6 and the Report on Operational Expenditure for the Disclosure Year </w:t>
      </w:r>
      <w:r w:rsidRPr="002F2828">
        <w:t xml:space="preserve">set out in Schedule </w:t>
      </w:r>
      <w:r w:rsidR="000F2AAB">
        <w:t>7</w:t>
      </w:r>
      <w:r w:rsidR="000F2AAB" w:rsidRPr="002F2828">
        <w:t xml:space="preserve"> </w:t>
      </w:r>
      <w:r w:rsidRPr="002F2828">
        <w:t>is not required to be disclosed</w:t>
      </w:r>
    </w:p>
    <w:p w:rsidR="00F83847" w:rsidRPr="002F2828" w:rsidRDefault="00F82684" w:rsidP="004B133C">
      <w:pPr>
        <w:pStyle w:val="HeadingH5ClausesubtextL1"/>
      </w:pPr>
      <w:r w:rsidRPr="002F2828">
        <w:t xml:space="preserve">Information in the </w:t>
      </w:r>
      <w:r w:rsidR="000F2AAB">
        <w:t xml:space="preserve">Comparison of </w:t>
      </w:r>
      <w:r w:rsidRPr="002F2828">
        <w:t xml:space="preserve">Forecasts </w:t>
      </w:r>
      <w:r w:rsidR="000F2AAB">
        <w:t xml:space="preserve">to Actual Expenditure </w:t>
      </w:r>
      <w:r w:rsidRPr="002F2828">
        <w:t xml:space="preserve">set out in Schedule </w:t>
      </w:r>
      <w:r w:rsidR="000F2AAB">
        <w:t>2</w:t>
      </w:r>
      <w:r w:rsidRPr="002F2828">
        <w:t xml:space="preserve"> is not required to be disclosed</w:t>
      </w:r>
    </w:p>
    <w:p w:rsidR="006428C8" w:rsidRPr="002F2828" w:rsidRDefault="006428C8" w:rsidP="004B133C">
      <w:pPr>
        <w:pStyle w:val="HeadingH5ClausesubtextL1"/>
      </w:pPr>
      <w:r w:rsidRPr="002F2828">
        <w:t xml:space="preserve">In completing the Report on Asset Allocation set out in Schedule </w:t>
      </w:r>
      <w:r w:rsidR="000F2AAB">
        <w:t>4a</w:t>
      </w:r>
      <w:r w:rsidR="000F2AAB" w:rsidRPr="002F2828">
        <w:t xml:space="preserve"> </w:t>
      </w:r>
      <w:r w:rsidRPr="002F2828">
        <w:t xml:space="preserve">and the Report Supporting Asset Allocations set out in Schedule </w:t>
      </w:r>
      <w:r w:rsidR="000F2AAB">
        <w:t>4b</w:t>
      </w:r>
      <w:r w:rsidRPr="002F2828">
        <w:t xml:space="preserve">, all allocations may be disclosed under </w:t>
      </w:r>
      <w:r w:rsidRPr="002F2828">
        <w:rPr>
          <w:b/>
        </w:rPr>
        <w:t>other assets</w:t>
      </w:r>
    </w:p>
    <w:p w:rsidR="006428C8" w:rsidRPr="002F2828" w:rsidRDefault="006428C8" w:rsidP="004B133C">
      <w:pPr>
        <w:pStyle w:val="HeadingH5ClausesubtextL1"/>
      </w:pPr>
      <w:r w:rsidRPr="002F2828">
        <w:t xml:space="preserve">In completing the Report on Cost Allocations set out in Schedule </w:t>
      </w:r>
      <w:r w:rsidR="000F2AAB">
        <w:t>5c</w:t>
      </w:r>
      <w:r w:rsidRPr="002F2828">
        <w:t xml:space="preserve"> and the Report Supporting Cost Allocations set out in Schedule </w:t>
      </w:r>
      <w:r w:rsidR="00970C59">
        <w:t>5d</w:t>
      </w:r>
      <w:r w:rsidRPr="002F2828">
        <w:t xml:space="preserve">, all allocations may be disclosed under </w:t>
      </w:r>
      <w:r w:rsidRPr="002F2828">
        <w:rPr>
          <w:b/>
        </w:rPr>
        <w:t>direct billing</w:t>
      </w:r>
      <w:r w:rsidRPr="002F2828">
        <w:t>.</w:t>
      </w:r>
    </w:p>
    <w:p w:rsidR="00F83847" w:rsidRPr="002F2828" w:rsidRDefault="00F82684" w:rsidP="004B133C">
      <w:pPr>
        <w:pStyle w:val="HeadingH4Clausetext"/>
      </w:pPr>
      <w:r w:rsidRPr="002F2828">
        <w:t xml:space="preserve">Notwithstanding any requirements set out in section </w:t>
      </w:r>
      <w:r w:rsidR="00004445">
        <w:fldChar w:fldCharType="begin"/>
      </w:r>
      <w:r w:rsidR="00A30D9A">
        <w:instrText xml:space="preserve"> REF _Ref329169771 \r \h </w:instrText>
      </w:r>
      <w:r w:rsidR="00004445">
        <w:fldChar w:fldCharType="separate"/>
      </w:r>
      <w:r w:rsidR="00A84D28">
        <w:t>2.3</w:t>
      </w:r>
      <w:r w:rsidR="00004445">
        <w:fldChar w:fldCharType="end"/>
      </w:r>
      <w:r w:rsidRPr="002F2828">
        <w:t xml:space="preserve">, the following transitional provisions apply in respect of the </w:t>
      </w:r>
      <w:r w:rsidRPr="002F2828">
        <w:rPr>
          <w:b/>
        </w:rPr>
        <w:t>disclosure year</w:t>
      </w:r>
      <w:r w:rsidRPr="002F2828">
        <w:t xml:space="preserve"> 2013:</w:t>
      </w:r>
    </w:p>
    <w:p w:rsidR="00F83847" w:rsidRPr="002F2828" w:rsidRDefault="00F82684" w:rsidP="004B133C">
      <w:pPr>
        <w:pStyle w:val="HeadingH5ClausesubtextL1"/>
      </w:pPr>
      <w:r w:rsidRPr="002F2828">
        <w:t xml:space="preserve">Information in </w:t>
      </w:r>
      <w:r w:rsidR="00970C59">
        <w:t>3(</w:t>
      </w:r>
      <w:proofErr w:type="spellStart"/>
      <w:r w:rsidR="00970C59">
        <w:t>i</w:t>
      </w:r>
      <w:proofErr w:type="spellEnd"/>
      <w:r w:rsidR="00970C59">
        <w:t>)</w:t>
      </w:r>
      <w:r w:rsidRPr="002F2828">
        <w:t xml:space="preserve"> of the Report on Return on Investment set out in Schedule </w:t>
      </w:r>
      <w:r w:rsidR="00970C59">
        <w:t>3</w:t>
      </w:r>
      <w:r w:rsidR="00970C59" w:rsidRPr="002F2828">
        <w:t xml:space="preserve"> </w:t>
      </w:r>
      <w:r w:rsidRPr="002F2828">
        <w:t xml:space="preserve">relating to </w:t>
      </w:r>
      <w:r w:rsidRPr="002F2828">
        <w:rPr>
          <w:b/>
        </w:rPr>
        <w:t>CY</w:t>
      </w:r>
      <w:r w:rsidRPr="002F2828">
        <w:t>-2 is not required to be disclosed</w:t>
      </w:r>
    </w:p>
    <w:p w:rsidR="00207624" w:rsidRPr="002F2828" w:rsidRDefault="00F82684" w:rsidP="004B133C">
      <w:pPr>
        <w:pStyle w:val="HeadingH5ClausesubtextL1"/>
      </w:pPr>
      <w:r w:rsidRPr="002F2828">
        <w:t xml:space="preserve">Information in </w:t>
      </w:r>
      <w:r w:rsidR="00970C59">
        <w:t>4(</w:t>
      </w:r>
      <w:proofErr w:type="spellStart"/>
      <w:r w:rsidR="00970C59">
        <w:t>i</w:t>
      </w:r>
      <w:proofErr w:type="spellEnd"/>
      <w:r w:rsidR="00970C59">
        <w:t>)</w:t>
      </w:r>
      <w:r w:rsidR="00970C59" w:rsidRPr="002F2828">
        <w:t xml:space="preserve"> </w:t>
      </w:r>
      <w:r w:rsidRPr="002F2828">
        <w:t xml:space="preserve">of the Report on </w:t>
      </w:r>
      <w:r w:rsidR="00970C59">
        <w:t xml:space="preserve">the Value of the </w:t>
      </w:r>
      <w:r w:rsidRPr="002F2828">
        <w:t xml:space="preserve">Regulatory Asset Base </w:t>
      </w:r>
      <w:r w:rsidR="00970C59">
        <w:t>(</w:t>
      </w:r>
      <w:r w:rsidRPr="002F2828">
        <w:t>Roll</w:t>
      </w:r>
      <w:r w:rsidR="00970C59">
        <w:t>ed</w:t>
      </w:r>
      <w:r w:rsidRPr="002F2828">
        <w:t xml:space="preserve"> Forward</w:t>
      </w:r>
      <w:r w:rsidR="00970C59">
        <w:t>)</w:t>
      </w:r>
      <w:r w:rsidRPr="002F2828">
        <w:t xml:space="preserve"> set out in Schedule </w:t>
      </w:r>
      <w:r w:rsidR="00970C59">
        <w:t>4</w:t>
      </w:r>
      <w:r w:rsidRPr="002F2828">
        <w:t xml:space="preserve"> relating to </w:t>
      </w:r>
      <w:r w:rsidRPr="002F2828">
        <w:rPr>
          <w:b/>
        </w:rPr>
        <w:t>CY</w:t>
      </w:r>
      <w:r w:rsidRPr="002F2828">
        <w:t>-4 is not required to be disclosed</w:t>
      </w:r>
    </w:p>
    <w:p w:rsidR="00711017" w:rsidRDefault="00546953" w:rsidP="004B133C">
      <w:pPr>
        <w:pStyle w:val="HeadingH4Clausetext"/>
      </w:pPr>
      <w:bookmarkStart w:id="198" w:name="_Ref328598493"/>
      <w:r>
        <w:t xml:space="preserve">Notwithstanding any requirements set out in </w:t>
      </w:r>
      <w:r w:rsidR="00281D6A">
        <w:t xml:space="preserve">clauses </w:t>
      </w:r>
      <w:r w:rsidR="00004445">
        <w:fldChar w:fldCharType="begin"/>
      </w:r>
      <w:r w:rsidR="00A30D9A">
        <w:instrText xml:space="preserve"> REF _Ref311133930 \r \h </w:instrText>
      </w:r>
      <w:r w:rsidR="00004445">
        <w:fldChar w:fldCharType="separate"/>
      </w:r>
      <w:r w:rsidR="00A84D28">
        <w:t>2.6.1</w:t>
      </w:r>
      <w:r w:rsidR="00004445">
        <w:fldChar w:fldCharType="end"/>
      </w:r>
      <w:r w:rsidR="00A30D9A">
        <w:t xml:space="preserve">, </w:t>
      </w:r>
      <w:r w:rsidR="00004445">
        <w:fldChar w:fldCharType="begin"/>
      </w:r>
      <w:r w:rsidR="00A30D9A">
        <w:instrText xml:space="preserve"> REF _Ref313456371 \r \h </w:instrText>
      </w:r>
      <w:r w:rsidR="00004445">
        <w:fldChar w:fldCharType="separate"/>
      </w:r>
      <w:r w:rsidR="00A84D28">
        <w:t>2.6.2</w:t>
      </w:r>
      <w:r w:rsidR="00004445">
        <w:fldChar w:fldCharType="end"/>
      </w:r>
      <w:r w:rsidR="00A30D9A">
        <w:t xml:space="preserve">, </w:t>
      </w:r>
      <w:r w:rsidR="00004445">
        <w:fldChar w:fldCharType="begin"/>
      </w:r>
      <w:r w:rsidR="00A30D9A">
        <w:instrText xml:space="preserve"> REF _Ref326252671 \r \h </w:instrText>
      </w:r>
      <w:r w:rsidR="00004445">
        <w:fldChar w:fldCharType="separate"/>
      </w:r>
      <w:r w:rsidR="00A84D28">
        <w:t>2.6.3</w:t>
      </w:r>
      <w:r w:rsidR="00004445">
        <w:fldChar w:fldCharType="end"/>
      </w:r>
      <w:r w:rsidR="00A30D9A">
        <w:t xml:space="preserve"> and </w:t>
      </w:r>
      <w:r w:rsidR="00004445">
        <w:fldChar w:fldCharType="begin"/>
      </w:r>
      <w:r w:rsidR="00A30D9A">
        <w:instrText xml:space="preserve"> REF _Ref311134677 \r \h </w:instrText>
      </w:r>
      <w:r w:rsidR="00004445">
        <w:fldChar w:fldCharType="separate"/>
      </w:r>
      <w:r w:rsidR="00A84D28">
        <w:t>2.6.4</w:t>
      </w:r>
      <w:r w:rsidR="00004445">
        <w:fldChar w:fldCharType="end"/>
      </w:r>
      <w:r>
        <w:t>, the following transitional provision appl</w:t>
      </w:r>
      <w:r w:rsidR="00B07014">
        <w:t>ies</w:t>
      </w:r>
      <w:r>
        <w:t xml:space="preserve"> </w:t>
      </w:r>
      <w:r w:rsidR="009655DF">
        <w:t xml:space="preserve">to </w:t>
      </w:r>
      <w:proofErr w:type="spellStart"/>
      <w:r w:rsidR="009655DF">
        <w:t>GasNet</w:t>
      </w:r>
      <w:proofErr w:type="spellEnd"/>
      <w:r w:rsidR="009655DF">
        <w:t xml:space="preserve"> Limited </w:t>
      </w:r>
      <w:r w:rsidR="00CC20BC">
        <w:t xml:space="preserve">in respect of each disclosure year </w:t>
      </w:r>
      <w:r w:rsidR="00B07014">
        <w:t>before and during</w:t>
      </w:r>
      <w:r>
        <w:t xml:space="preserve"> the first</w:t>
      </w:r>
      <w:r w:rsidRPr="0029341D">
        <w:rPr>
          <w:b/>
        </w:rPr>
        <w:t xml:space="preserve"> DPP </w:t>
      </w:r>
      <w:r w:rsidRPr="00B07014">
        <w:rPr>
          <w:b/>
        </w:rPr>
        <w:t>regulatory period</w:t>
      </w:r>
      <w:r w:rsidR="00B07014">
        <w:t>:</w:t>
      </w:r>
      <w:bookmarkEnd w:id="198"/>
    </w:p>
    <w:p w:rsidR="00E97E89" w:rsidRDefault="00CC20BC" w:rsidP="004B133C">
      <w:pPr>
        <w:pStyle w:val="HeadingH5ClausesubtextL1"/>
      </w:pPr>
      <w:r w:rsidRPr="00E97E89">
        <w:t xml:space="preserve">If </w:t>
      </w:r>
      <w:proofErr w:type="spellStart"/>
      <w:r w:rsidR="009655DF">
        <w:t>GasNet</w:t>
      </w:r>
      <w:proofErr w:type="spellEnd"/>
      <w:r w:rsidR="009655DF">
        <w:t xml:space="preserve"> Limited</w:t>
      </w:r>
      <w:r w:rsidRPr="00E97E89">
        <w:t xml:space="preserve"> has not publicly disclosed an AMP under clause</w:t>
      </w:r>
      <w:r w:rsidR="00087DB9">
        <w:t>s</w:t>
      </w:r>
      <w:r w:rsidRPr="00E97E89">
        <w:t xml:space="preserve"> </w:t>
      </w:r>
      <w:r w:rsidR="00004445">
        <w:fldChar w:fldCharType="begin"/>
      </w:r>
      <w:r w:rsidR="00A30D9A">
        <w:instrText xml:space="preserve"> REF _Ref311133930 \r \h </w:instrText>
      </w:r>
      <w:r w:rsidR="00004445">
        <w:fldChar w:fldCharType="separate"/>
      </w:r>
      <w:r w:rsidR="00A84D28">
        <w:t>2.6.1</w:t>
      </w:r>
      <w:r w:rsidR="00004445">
        <w:fldChar w:fldCharType="end"/>
      </w:r>
      <w:r w:rsidR="00A30D9A">
        <w:t xml:space="preserve"> and </w:t>
      </w:r>
      <w:r w:rsidR="00004445">
        <w:fldChar w:fldCharType="begin"/>
      </w:r>
      <w:r w:rsidR="00A30D9A">
        <w:instrText xml:space="preserve"> REF _Ref313456371 \r \h </w:instrText>
      </w:r>
      <w:r w:rsidR="00004445">
        <w:fldChar w:fldCharType="separate"/>
      </w:r>
      <w:r w:rsidR="00A84D28">
        <w:t>2.6.2</w:t>
      </w:r>
      <w:r w:rsidR="00004445">
        <w:fldChar w:fldCharType="end"/>
      </w:r>
      <w:r w:rsidRPr="00E97E89">
        <w:t xml:space="preserve"> then </w:t>
      </w:r>
      <w:proofErr w:type="spellStart"/>
      <w:r w:rsidR="009655DF" w:rsidRPr="009655DF">
        <w:t>GasNet</w:t>
      </w:r>
      <w:proofErr w:type="spellEnd"/>
      <w:r w:rsidR="009655DF" w:rsidRPr="009655DF">
        <w:t xml:space="preserve"> Limited </w:t>
      </w:r>
      <w:r w:rsidR="00E97E89" w:rsidRPr="00E97E89">
        <w:t xml:space="preserve">may </w:t>
      </w:r>
      <w:r w:rsidR="00DF3D40">
        <w:t>elect to</w:t>
      </w:r>
    </w:p>
    <w:p w:rsidR="008F5D7B" w:rsidRDefault="00E97E89" w:rsidP="004B133C">
      <w:pPr>
        <w:pStyle w:val="HeadingH6ClausesubtextL2"/>
      </w:pPr>
      <w:r w:rsidRPr="000234BB">
        <w:t>not comply with clause</w:t>
      </w:r>
      <w:r w:rsidR="00087DB9">
        <w:t>s</w:t>
      </w:r>
      <w:r w:rsidRPr="000234BB">
        <w:t xml:space="preserve"> </w:t>
      </w:r>
      <w:r w:rsidR="00004445">
        <w:fldChar w:fldCharType="begin"/>
      </w:r>
      <w:r w:rsidR="00A30D9A">
        <w:instrText xml:space="preserve"> REF _Ref311133930 \r \h </w:instrText>
      </w:r>
      <w:r w:rsidR="00004445">
        <w:fldChar w:fldCharType="separate"/>
      </w:r>
      <w:r w:rsidR="00A84D28">
        <w:t>2.6.1</w:t>
      </w:r>
      <w:r w:rsidR="00004445">
        <w:fldChar w:fldCharType="end"/>
      </w:r>
      <w:r w:rsidR="00A30D9A">
        <w:t xml:space="preserve"> and </w:t>
      </w:r>
      <w:r w:rsidR="00004445">
        <w:fldChar w:fldCharType="begin"/>
      </w:r>
      <w:r w:rsidR="00A30D9A">
        <w:instrText xml:space="preserve"> REF _Ref313456371 \r \h </w:instrText>
      </w:r>
      <w:r w:rsidR="00004445">
        <w:fldChar w:fldCharType="separate"/>
      </w:r>
      <w:r w:rsidR="00A84D28">
        <w:t>2.6.2</w:t>
      </w:r>
      <w:r w:rsidR="00004445">
        <w:fldChar w:fldCharType="end"/>
      </w:r>
      <w:r w:rsidRPr="000234BB">
        <w:t>in the current disclosure year and</w:t>
      </w:r>
    </w:p>
    <w:p w:rsidR="000234BB" w:rsidRPr="003726A7" w:rsidRDefault="00D8404C" w:rsidP="004B133C">
      <w:pPr>
        <w:pStyle w:val="HeadingH6ClausesubtextL2"/>
      </w:pPr>
      <w:bookmarkStart w:id="199" w:name="_Ref329274351"/>
      <w:r w:rsidRPr="003726A7">
        <w:t>complet</w:t>
      </w:r>
      <w:r w:rsidR="00E97E89" w:rsidRPr="003726A7">
        <w:t>e</w:t>
      </w:r>
      <w:r w:rsidRPr="003726A7">
        <w:t xml:space="preserve"> and </w:t>
      </w:r>
      <w:r w:rsidR="00E97E89" w:rsidRPr="003726A7">
        <w:t xml:space="preserve">publicly </w:t>
      </w:r>
      <w:r w:rsidRPr="003726A7">
        <w:t>disclos</w:t>
      </w:r>
      <w:r w:rsidR="00E97E89" w:rsidRPr="003726A7">
        <w:t>e</w:t>
      </w:r>
      <w:r w:rsidRPr="003726A7">
        <w:t xml:space="preserve"> </w:t>
      </w:r>
      <w:r w:rsidR="000234BB" w:rsidRPr="003726A7">
        <w:t xml:space="preserve">before the start of the disclosure year a </w:t>
      </w:r>
      <w:r w:rsidR="00A16208">
        <w:rPr>
          <w:b/>
        </w:rPr>
        <w:t>t</w:t>
      </w:r>
      <w:r w:rsidR="000234BB" w:rsidRPr="00087DB9">
        <w:rPr>
          <w:b/>
        </w:rPr>
        <w:t>ransitional AMP</w:t>
      </w:r>
      <w:r w:rsidR="000234BB" w:rsidRPr="003726A7">
        <w:t xml:space="preserve"> that meets the requirements of subclause </w:t>
      </w:r>
      <w:r w:rsidR="00004445">
        <w:fldChar w:fldCharType="begin"/>
      </w:r>
      <w:r w:rsidR="0098402F">
        <w:instrText xml:space="preserve"> REF  _Ref329170039 \h \w </w:instrText>
      </w:r>
      <w:r w:rsidR="00004445">
        <w:fldChar w:fldCharType="separate"/>
      </w:r>
      <w:r w:rsidR="00A84D28">
        <w:t>2.12.6(2)</w:t>
      </w:r>
      <w:r w:rsidR="00004445">
        <w:fldChar w:fldCharType="end"/>
      </w:r>
      <w:r w:rsidR="00B07014">
        <w:t xml:space="preserve"> </w:t>
      </w:r>
      <w:r w:rsidR="000234BB" w:rsidRPr="003726A7">
        <w:t>below</w:t>
      </w:r>
      <w:bookmarkEnd w:id="199"/>
    </w:p>
    <w:p w:rsidR="006931F8" w:rsidRDefault="006931F8" w:rsidP="004B133C">
      <w:pPr>
        <w:pStyle w:val="HeadingH5ClausesubtextL1"/>
      </w:pPr>
      <w:bookmarkStart w:id="200" w:name="_Ref329170039"/>
      <w:r>
        <w:t xml:space="preserve">The </w:t>
      </w:r>
      <w:r w:rsidR="00A16208">
        <w:t>t</w:t>
      </w:r>
      <w:r w:rsidR="00B07014" w:rsidRPr="00E7267D">
        <w:t xml:space="preserve">ransitional </w:t>
      </w:r>
      <w:r w:rsidRPr="00E7267D">
        <w:t>AMP</w:t>
      </w:r>
      <w:r>
        <w:t xml:space="preserve"> must:</w:t>
      </w:r>
      <w:bookmarkEnd w:id="200"/>
    </w:p>
    <w:p w:rsidR="00087DB9" w:rsidRDefault="00087DB9" w:rsidP="004B133C">
      <w:pPr>
        <w:pStyle w:val="HeadingH6ClausesubtextL2"/>
      </w:pPr>
      <w:r>
        <w:t xml:space="preserve">Relate to the gas distribution services supplied by the </w:t>
      </w:r>
      <w:r w:rsidRPr="00087DB9">
        <w:rPr>
          <w:b/>
        </w:rPr>
        <w:t>GDB</w:t>
      </w:r>
    </w:p>
    <w:p w:rsidR="006931F8" w:rsidRDefault="00807D9B" w:rsidP="004B133C">
      <w:pPr>
        <w:pStyle w:val="HeadingH6ClausesubtextL2"/>
      </w:pPr>
      <w:r>
        <w:t>be identifiable</w:t>
      </w:r>
      <w:r w:rsidR="006931F8">
        <w:t xml:space="preserve"> </w:t>
      </w:r>
      <w:r>
        <w:t xml:space="preserve">as </w:t>
      </w:r>
      <w:r w:rsidR="006931F8">
        <w:t xml:space="preserve">a </w:t>
      </w:r>
      <w:r w:rsidR="00A16208">
        <w:rPr>
          <w:b/>
        </w:rPr>
        <w:t>t</w:t>
      </w:r>
      <w:r w:rsidR="006931F8" w:rsidRPr="006931F8">
        <w:rPr>
          <w:b/>
        </w:rPr>
        <w:t>ransitional AMP</w:t>
      </w:r>
      <w:r w:rsidR="006931F8">
        <w:t xml:space="preserve"> prepared pursuant to clause </w:t>
      </w:r>
      <w:r w:rsidR="00004445">
        <w:fldChar w:fldCharType="begin"/>
      </w:r>
      <w:r w:rsidR="0098402F">
        <w:instrText xml:space="preserve"> REF  _Ref329170039 \h \w </w:instrText>
      </w:r>
      <w:r w:rsidR="00004445">
        <w:fldChar w:fldCharType="separate"/>
      </w:r>
      <w:r w:rsidR="00A84D28">
        <w:t>2.12.6(2)</w:t>
      </w:r>
      <w:r w:rsidR="00004445">
        <w:fldChar w:fldCharType="end"/>
      </w:r>
      <w:r w:rsidR="0098402F">
        <w:t xml:space="preserve"> </w:t>
      </w:r>
      <w:r w:rsidR="006931F8">
        <w:t>of this determination</w:t>
      </w:r>
    </w:p>
    <w:p w:rsidR="00807D9B" w:rsidRDefault="00807D9B" w:rsidP="004B133C">
      <w:pPr>
        <w:pStyle w:val="HeadingH6ClausesubtextL2"/>
      </w:pPr>
      <w:r>
        <w:t xml:space="preserve">include the minimum requirements </w:t>
      </w:r>
      <w:r w:rsidR="006D1220">
        <w:t>set out in</w:t>
      </w:r>
      <w:r>
        <w:t xml:space="preserve"> subclause </w:t>
      </w:r>
      <w:r w:rsidR="00004445">
        <w:fldChar w:fldCharType="begin"/>
      </w:r>
      <w:r w:rsidR="0098402F">
        <w:instrText xml:space="preserve"> REF  _Ref329170136 \h \w </w:instrText>
      </w:r>
      <w:r w:rsidR="00004445">
        <w:fldChar w:fldCharType="separate"/>
      </w:r>
      <w:r w:rsidR="00A84D28">
        <w:t>2.12.6(3)</w:t>
      </w:r>
      <w:r w:rsidR="00004445">
        <w:fldChar w:fldCharType="end"/>
      </w:r>
    </w:p>
    <w:p w:rsidR="00807D9B" w:rsidRDefault="00807D9B" w:rsidP="004B133C">
      <w:pPr>
        <w:pStyle w:val="HeadingH6ClausesubtextL2"/>
      </w:pPr>
      <w:r>
        <w:t>include the forecast information set out in clause 5 of schedule 2.6</w:t>
      </w:r>
    </w:p>
    <w:p w:rsidR="00087DB9" w:rsidRDefault="00087DB9" w:rsidP="004B133C">
      <w:pPr>
        <w:pStyle w:val="HeadingH6ClausesubtextL2"/>
      </w:pPr>
      <w:r>
        <w:t xml:space="preserve">include the Report </w:t>
      </w:r>
      <w:r w:rsidR="0098402F">
        <w:t xml:space="preserve">on Asset Management Maturity </w:t>
      </w:r>
      <w:r>
        <w:t>in Schedule 17</w:t>
      </w:r>
    </w:p>
    <w:p w:rsidR="00807D9B" w:rsidRDefault="00807D9B" w:rsidP="004B133C">
      <w:pPr>
        <w:pStyle w:val="HeadingH6ClausesubtextL2"/>
      </w:pPr>
      <w:r w:rsidRPr="00807D9B">
        <w:t xml:space="preserve">identify where the </w:t>
      </w:r>
      <w:r w:rsidR="00087DB9" w:rsidRPr="00087DB9">
        <w:rPr>
          <w:b/>
        </w:rPr>
        <w:t>GDB</w:t>
      </w:r>
      <w:r w:rsidRPr="00807D9B">
        <w:t xml:space="preserve"> considers the </w:t>
      </w:r>
      <w:r w:rsidR="007D297A" w:rsidRPr="00330799">
        <w:rPr>
          <w:b/>
        </w:rPr>
        <w:t>AMP</w:t>
      </w:r>
      <w:r w:rsidRPr="00807D9B">
        <w:t xml:space="preserve"> does not yet conform to the </w:t>
      </w:r>
      <w:r>
        <w:t xml:space="preserve">requirements </w:t>
      </w:r>
      <w:r w:rsidR="00E7267D">
        <w:t xml:space="preserve">in </w:t>
      </w:r>
      <w:r w:rsidRPr="000234BB">
        <w:t xml:space="preserve">clause </w:t>
      </w:r>
      <w:r w:rsidR="00004445">
        <w:fldChar w:fldCharType="begin"/>
      </w:r>
      <w:r w:rsidR="00A30D9A">
        <w:instrText xml:space="preserve"> REF _Ref311133930 \r \h </w:instrText>
      </w:r>
      <w:r w:rsidR="00004445">
        <w:fldChar w:fldCharType="separate"/>
      </w:r>
      <w:r w:rsidR="00A84D28">
        <w:t>2.6.1</w:t>
      </w:r>
      <w:r w:rsidR="00004445">
        <w:fldChar w:fldCharType="end"/>
      </w:r>
      <w:r w:rsidRPr="00807D9B">
        <w:t>, and set out the actions the G</w:t>
      </w:r>
      <w:r>
        <w:t>D</w:t>
      </w:r>
      <w:r w:rsidRPr="00807D9B">
        <w:t xml:space="preserve">B is taking to ensure </w:t>
      </w:r>
      <w:r w:rsidR="00E7267D">
        <w:t xml:space="preserve">the </w:t>
      </w:r>
      <w:r w:rsidR="00330799" w:rsidRPr="00330799">
        <w:rPr>
          <w:b/>
        </w:rPr>
        <w:t>AMP</w:t>
      </w:r>
      <w:r w:rsidRPr="00807D9B">
        <w:t xml:space="preserve"> will conform before the end of the </w:t>
      </w:r>
      <w:r>
        <w:t xml:space="preserve">first </w:t>
      </w:r>
      <w:r w:rsidR="00B03D11" w:rsidRPr="00B03D11">
        <w:rPr>
          <w:b/>
        </w:rPr>
        <w:t xml:space="preserve">DPP </w:t>
      </w:r>
      <w:r w:rsidRPr="00B03D11">
        <w:rPr>
          <w:b/>
        </w:rPr>
        <w:t>regulatory period</w:t>
      </w:r>
    </w:p>
    <w:p w:rsidR="007D297A" w:rsidRPr="007D297A" w:rsidRDefault="007D297A" w:rsidP="004B133C">
      <w:pPr>
        <w:pStyle w:val="HeadingH6ClausesubtextL2"/>
      </w:pPr>
      <w:r>
        <w:t xml:space="preserve">identify any actions the </w:t>
      </w:r>
      <w:r w:rsidRPr="00D7483E">
        <w:rPr>
          <w:b/>
        </w:rPr>
        <w:t>G</w:t>
      </w:r>
      <w:r>
        <w:rPr>
          <w:b/>
        </w:rPr>
        <w:t>D</w:t>
      </w:r>
      <w:r w:rsidRPr="00D7483E">
        <w:rPr>
          <w:b/>
        </w:rPr>
        <w:t>B</w:t>
      </w:r>
      <w:r>
        <w:t xml:space="preserve"> has completed in order to </w:t>
      </w:r>
      <w:r w:rsidRPr="00807D9B">
        <w:t xml:space="preserve">conform to the </w:t>
      </w:r>
      <w:r>
        <w:t xml:space="preserve">requirements in </w:t>
      </w:r>
      <w:r w:rsidRPr="000234BB">
        <w:t xml:space="preserve">clause </w:t>
      </w:r>
      <w:r w:rsidR="00004445">
        <w:fldChar w:fldCharType="begin"/>
      </w:r>
      <w:r w:rsidR="00A30D9A">
        <w:instrText xml:space="preserve"> REF _Ref311133930 \r \h </w:instrText>
      </w:r>
      <w:r w:rsidR="00004445">
        <w:fldChar w:fldCharType="separate"/>
      </w:r>
      <w:r w:rsidR="00A84D28">
        <w:t>2.6.1</w:t>
      </w:r>
      <w:r w:rsidR="00004445">
        <w:fldChar w:fldCharType="end"/>
      </w:r>
    </w:p>
    <w:p w:rsidR="00B07014" w:rsidRDefault="00B07014" w:rsidP="004B133C">
      <w:pPr>
        <w:pStyle w:val="HeadingH5ClausesubtextL1"/>
      </w:pPr>
      <w:bookmarkStart w:id="201" w:name="_Ref329170136"/>
      <w:r>
        <w:t xml:space="preserve">The </w:t>
      </w:r>
      <w:r w:rsidR="00A16208">
        <w:rPr>
          <w:b/>
        </w:rPr>
        <w:t>t</w:t>
      </w:r>
      <w:r w:rsidR="00087DB9" w:rsidRPr="00E7267D">
        <w:rPr>
          <w:b/>
        </w:rPr>
        <w:t>ransitional AMP</w:t>
      </w:r>
      <w:r>
        <w:t xml:space="preserve"> must </w:t>
      </w:r>
      <w:r w:rsidR="00094AE2">
        <w:t>include</w:t>
      </w:r>
      <w:r w:rsidR="00087DB9">
        <w:t xml:space="preserve"> the following</w:t>
      </w:r>
      <w:r>
        <w:t>:</w:t>
      </w:r>
      <w:bookmarkEnd w:id="201"/>
    </w:p>
    <w:p w:rsidR="003E28B4" w:rsidRPr="006931F8" w:rsidRDefault="00E7267D" w:rsidP="004B133C">
      <w:pPr>
        <w:pStyle w:val="HeadingH6ClausesubtextL2"/>
      </w:pPr>
      <w:r>
        <w:t>a</w:t>
      </w:r>
      <w:r w:rsidR="003E28B4" w:rsidRPr="006931F8">
        <w:t xml:space="preserve"> summary that provides a brief overview of the contents and</w:t>
      </w:r>
      <w:r w:rsidR="006931F8">
        <w:t xml:space="preserve"> </w:t>
      </w:r>
      <w:r w:rsidR="003E28B4" w:rsidRPr="006931F8">
        <w:t>highlights information that the GDB considers significant</w:t>
      </w:r>
    </w:p>
    <w:p w:rsidR="003E28B4" w:rsidRPr="006931F8" w:rsidRDefault="00E7267D" w:rsidP="004B133C">
      <w:pPr>
        <w:pStyle w:val="HeadingH6ClausesubtextL2"/>
      </w:pPr>
      <w:r>
        <w:t>d</w:t>
      </w:r>
      <w:r w:rsidR="003E28B4" w:rsidRPr="006931F8">
        <w:t xml:space="preserve">etails of the background and objectives of the </w:t>
      </w:r>
      <w:proofErr w:type="spellStart"/>
      <w:r w:rsidR="003E28B4" w:rsidRPr="006931F8">
        <w:t>GDB’s</w:t>
      </w:r>
      <w:proofErr w:type="spellEnd"/>
      <w:r w:rsidR="003E28B4" w:rsidRPr="006931F8">
        <w:t xml:space="preserve"> asset</w:t>
      </w:r>
      <w:r w:rsidR="006931F8">
        <w:t xml:space="preserve"> </w:t>
      </w:r>
      <w:r w:rsidR="003E28B4" w:rsidRPr="006931F8">
        <w:t>ma</w:t>
      </w:r>
      <w:r w:rsidR="00B07014">
        <w:t>nagement and planning processes</w:t>
      </w:r>
    </w:p>
    <w:p w:rsidR="003E28B4" w:rsidRPr="003E28B4" w:rsidRDefault="00E7267D" w:rsidP="004B133C">
      <w:pPr>
        <w:pStyle w:val="HeadingH6ClausesubtextL2"/>
      </w:pPr>
      <w:r>
        <w:t>d</w:t>
      </w:r>
      <w:r w:rsidR="003E28B4" w:rsidRPr="003E28B4">
        <w:t>etails of the AMP planning period</w:t>
      </w:r>
      <w:r w:rsidR="006D1220">
        <w:t>, which must cover at least a projected period of 10 years commencing with the disclosure year following the date on which the AMP is required to be disclosed</w:t>
      </w:r>
    </w:p>
    <w:p w:rsidR="003E28B4" w:rsidRPr="003E28B4" w:rsidRDefault="00E7267D" w:rsidP="004B133C">
      <w:pPr>
        <w:pStyle w:val="HeadingH6ClausesubtextL2"/>
      </w:pPr>
      <w:r>
        <w:t>t</w:t>
      </w:r>
      <w:r w:rsidR="003E28B4" w:rsidRPr="003E28B4">
        <w:t>he date that it was approved by the directors</w:t>
      </w:r>
    </w:p>
    <w:p w:rsidR="003E28B4" w:rsidRPr="003E28B4" w:rsidRDefault="00E7267D" w:rsidP="004B133C">
      <w:pPr>
        <w:pStyle w:val="HeadingH6ClausesubtextL2"/>
      </w:pPr>
      <w:r>
        <w:t>a</w:t>
      </w:r>
      <w:r w:rsidR="003E28B4" w:rsidRPr="003E28B4">
        <w:t xml:space="preserve"> description of stakeholder interests</w:t>
      </w:r>
      <w:r w:rsidR="00715814">
        <w:t>, as set out in subclause 3.6 of schedule A</w:t>
      </w:r>
    </w:p>
    <w:p w:rsidR="003E28B4" w:rsidRPr="006931F8" w:rsidRDefault="00E7267D" w:rsidP="004B133C">
      <w:pPr>
        <w:pStyle w:val="HeadingH6ClausesubtextL2"/>
      </w:pPr>
      <w:r>
        <w:t>a</w:t>
      </w:r>
      <w:r w:rsidR="003E28B4" w:rsidRPr="006931F8">
        <w:t xml:space="preserve"> description of the accountabilities and responsibilities for asset</w:t>
      </w:r>
      <w:r w:rsidR="006931F8">
        <w:t xml:space="preserve"> </w:t>
      </w:r>
      <w:r w:rsidR="003E28B4" w:rsidRPr="006931F8">
        <w:t>management</w:t>
      </w:r>
      <w:r w:rsidR="00715814">
        <w:t>, as set out in subclause 3.7 of schedule A</w:t>
      </w:r>
    </w:p>
    <w:p w:rsidR="003E28B4" w:rsidRPr="003E28B4" w:rsidRDefault="00E7267D" w:rsidP="004B133C">
      <w:pPr>
        <w:pStyle w:val="HeadingH6ClausesubtextL2"/>
      </w:pPr>
      <w:r>
        <w:t>a</w:t>
      </w:r>
      <w:r w:rsidR="003E28B4" w:rsidRPr="003E28B4">
        <w:t>n overview of asset management strategy and delivery</w:t>
      </w:r>
    </w:p>
    <w:p w:rsidR="003E28B4" w:rsidRPr="003E28B4" w:rsidRDefault="00E7267D" w:rsidP="004B133C">
      <w:pPr>
        <w:pStyle w:val="HeadingH6ClausesubtextL2"/>
      </w:pPr>
      <w:r>
        <w:t>a</w:t>
      </w:r>
      <w:r w:rsidR="003E28B4" w:rsidRPr="003E28B4">
        <w:t>n overview of systems and information management data</w:t>
      </w:r>
    </w:p>
    <w:p w:rsidR="003E28B4" w:rsidRPr="006931F8" w:rsidRDefault="00E7267D" w:rsidP="004B133C">
      <w:pPr>
        <w:pStyle w:val="HeadingH6ClausesubtextL2"/>
      </w:pPr>
      <w:r>
        <w:t>a</w:t>
      </w:r>
      <w:r w:rsidR="003E28B4" w:rsidRPr="006931F8">
        <w:t>n overview of asset management documentation, controls and</w:t>
      </w:r>
      <w:r w:rsidR="006931F8">
        <w:t xml:space="preserve"> </w:t>
      </w:r>
      <w:r w:rsidR="003E28B4" w:rsidRPr="006931F8">
        <w:t>review processes</w:t>
      </w:r>
    </w:p>
    <w:p w:rsidR="003E28B4" w:rsidRPr="003E28B4" w:rsidRDefault="00E7267D" w:rsidP="004B133C">
      <w:pPr>
        <w:pStyle w:val="HeadingH6ClausesubtextL2"/>
      </w:pPr>
      <w:r>
        <w:t>d</w:t>
      </w:r>
      <w:r w:rsidR="003E28B4" w:rsidRPr="003E28B4">
        <w:t>etails of the assets covered</w:t>
      </w:r>
    </w:p>
    <w:p w:rsidR="003E28B4" w:rsidRPr="006931F8" w:rsidRDefault="00E7267D" w:rsidP="004B133C">
      <w:pPr>
        <w:pStyle w:val="HeadingH6ClausesubtextL2"/>
      </w:pPr>
      <w:r>
        <w:t>a</w:t>
      </w:r>
      <w:r w:rsidR="003E28B4" w:rsidRPr="006931F8">
        <w:t xml:space="preserve"> clear identification or definition of a set of asset management</w:t>
      </w:r>
      <w:r w:rsidR="006931F8">
        <w:t xml:space="preserve"> </w:t>
      </w:r>
      <w:r w:rsidR="003E28B4" w:rsidRPr="006931F8">
        <w:t>performance indicators</w:t>
      </w:r>
    </w:p>
    <w:p w:rsidR="003E28B4" w:rsidRPr="006931F8" w:rsidRDefault="00E7267D" w:rsidP="004B133C">
      <w:pPr>
        <w:pStyle w:val="HeadingH6ClausesubtextL2"/>
      </w:pPr>
      <w:r>
        <w:t>a</w:t>
      </w:r>
      <w:r w:rsidR="003E28B4" w:rsidRPr="006931F8">
        <w:t xml:space="preserve"> description of network development plans and lifecycle</w:t>
      </w:r>
      <w:r w:rsidR="006931F8" w:rsidRPr="006931F8">
        <w:t xml:space="preserve"> </w:t>
      </w:r>
      <w:r w:rsidR="003E28B4" w:rsidRPr="006931F8">
        <w:t>management processes, covering material projects and</w:t>
      </w:r>
      <w:r w:rsidR="006931F8">
        <w:t xml:space="preserve"> </w:t>
      </w:r>
      <w:r w:rsidR="003E28B4" w:rsidRPr="006931F8">
        <w:t>programmes across the planning period</w:t>
      </w:r>
    </w:p>
    <w:p w:rsidR="003E28B4" w:rsidRDefault="00E7267D" w:rsidP="004B133C">
      <w:pPr>
        <w:pStyle w:val="HeadingH6ClausesubtextL2"/>
      </w:pPr>
      <w:proofErr w:type="gramStart"/>
      <w:r>
        <w:t>d</w:t>
      </w:r>
      <w:r w:rsidR="003E28B4" w:rsidRPr="003E28B4">
        <w:t>etails</w:t>
      </w:r>
      <w:proofErr w:type="gramEnd"/>
      <w:r w:rsidR="003E28B4" w:rsidRPr="003E28B4">
        <w:t xml:space="preserve"> of risk policies, assessment and mitigation.</w:t>
      </w:r>
    </w:p>
    <w:p w:rsidR="00D32853" w:rsidRPr="002F2828" w:rsidRDefault="00D32853" w:rsidP="004B133C">
      <w:pPr>
        <w:pStyle w:val="HeadingH4Clausetext"/>
      </w:pPr>
      <w:r w:rsidRPr="002F2828">
        <w:t xml:space="preserve">The information required under clauses </w:t>
      </w:r>
      <w:r w:rsidR="00004445">
        <w:fldChar w:fldCharType="begin"/>
      </w:r>
      <w:r w:rsidR="00693E1B">
        <w:instrText xml:space="preserve"> REF _Ref329103367 \r \h </w:instrText>
      </w:r>
      <w:r w:rsidR="00004445">
        <w:fldChar w:fldCharType="separate"/>
      </w:r>
      <w:r w:rsidR="00A84D28">
        <w:t>2.4.6</w:t>
      </w:r>
      <w:r w:rsidR="00004445">
        <w:fldChar w:fldCharType="end"/>
      </w:r>
      <w:r w:rsidRPr="002F2828">
        <w:t xml:space="preserve"> is not required to be </w:t>
      </w:r>
      <w:r w:rsidRPr="002F2828">
        <w:rPr>
          <w:b/>
        </w:rPr>
        <w:t>publicly disclosed</w:t>
      </w:r>
      <w:r w:rsidRPr="002F2828">
        <w:t xml:space="preserve"> for the first time until 5 months after this determination is determined.</w:t>
      </w:r>
    </w:p>
    <w:p w:rsidR="00594A3C" w:rsidRDefault="009A5262" w:rsidP="009A5262">
      <w:pPr>
        <w:pStyle w:val="HeadingH4Clausetext"/>
        <w:rPr>
          <w:rFonts w:asciiTheme="minorHAnsi" w:hAnsiTheme="minorHAnsi"/>
        </w:rPr>
      </w:pPr>
      <w:r w:rsidRPr="002F2828">
        <w:t xml:space="preserve">The information required under clauses </w:t>
      </w:r>
      <w:r w:rsidR="00004445">
        <w:fldChar w:fldCharType="begin"/>
      </w:r>
      <w:r>
        <w:instrText xml:space="preserve"> REF _Ref329166270 \r \h </w:instrText>
      </w:r>
      <w:r w:rsidR="00004445">
        <w:fldChar w:fldCharType="separate"/>
      </w:r>
      <w:r w:rsidR="00A84D28">
        <w:t>2.4.9</w:t>
      </w:r>
      <w:r w:rsidR="00004445">
        <w:fldChar w:fldCharType="end"/>
      </w:r>
      <w:r>
        <w:t xml:space="preserve"> </w:t>
      </w:r>
      <w:r w:rsidRPr="002F2828">
        <w:t xml:space="preserve">is not required to be </w:t>
      </w:r>
      <w:r w:rsidRPr="002F2828">
        <w:rPr>
          <w:b/>
        </w:rPr>
        <w:t>publicly disclosed</w:t>
      </w:r>
      <w:r w:rsidR="00D778CB">
        <w:t xml:space="preserve"> for the first time until 2</w:t>
      </w:r>
      <w:r w:rsidRPr="002F2828">
        <w:t xml:space="preserve"> months after this determination is determined</w:t>
      </w:r>
      <w:r>
        <w:t>.</w:t>
      </w:r>
    </w:p>
    <w:p w:rsidR="009A5262" w:rsidRDefault="009A5262" w:rsidP="00594A3C">
      <w:pPr>
        <w:pStyle w:val="BodyText"/>
        <w:rPr>
          <w:rFonts w:asciiTheme="minorHAnsi" w:hAnsiTheme="minorHAnsi"/>
        </w:rPr>
      </w:pPr>
    </w:p>
    <w:p w:rsidR="009A5262" w:rsidRPr="002F2828" w:rsidRDefault="009A5262" w:rsidP="00594A3C">
      <w:pPr>
        <w:pStyle w:val="BodyText"/>
        <w:rPr>
          <w:rFonts w:asciiTheme="minorHAnsi" w:hAnsiTheme="minorHAnsi"/>
        </w:rPr>
        <w:sectPr w:rsidR="009A5262" w:rsidRPr="002F2828" w:rsidSect="00223E26">
          <w:type w:val="continuous"/>
          <w:pgSz w:w="11907" w:h="16840" w:code="9"/>
          <w:pgMar w:top="1440" w:right="1440" w:bottom="1440" w:left="1440" w:header="1134" w:footer="431" w:gutter="0"/>
          <w:cols w:space="720"/>
          <w:titlePg/>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21"/>
        <w:gridCol w:w="4622"/>
      </w:tblGrid>
      <w:tr w:rsidR="00594A3C" w:rsidRPr="002F2828" w:rsidTr="00594A3C">
        <w:tc>
          <w:tcPr>
            <w:tcW w:w="4621" w:type="dxa"/>
          </w:tcPr>
          <w:p w:rsidR="00594A3C" w:rsidRPr="002F2828" w:rsidRDefault="00594A3C" w:rsidP="00594A3C">
            <w:pPr>
              <w:pStyle w:val="BodyText"/>
              <w:rPr>
                <w:rFonts w:asciiTheme="minorHAnsi" w:hAnsiTheme="minorHAnsi"/>
              </w:rPr>
            </w:pPr>
          </w:p>
          <w:p w:rsidR="00594A3C" w:rsidRPr="002F2828" w:rsidRDefault="00594A3C" w:rsidP="00594A3C">
            <w:pPr>
              <w:pStyle w:val="BodyText"/>
              <w:rPr>
                <w:rFonts w:asciiTheme="minorHAnsi" w:hAnsiTheme="minorHAnsi"/>
              </w:rPr>
            </w:pPr>
          </w:p>
          <w:p w:rsidR="00594A3C" w:rsidRPr="002F2828" w:rsidRDefault="00594A3C" w:rsidP="00594A3C">
            <w:pPr>
              <w:pStyle w:val="BodyText"/>
              <w:rPr>
                <w:rFonts w:asciiTheme="minorHAnsi" w:hAnsiTheme="minorHAnsi"/>
              </w:rPr>
            </w:pPr>
          </w:p>
          <w:p w:rsidR="00594A3C" w:rsidRPr="002F2828" w:rsidRDefault="00594A3C" w:rsidP="00594A3C">
            <w:pPr>
              <w:pStyle w:val="BodyText"/>
              <w:rPr>
                <w:rFonts w:asciiTheme="minorHAnsi" w:hAnsiTheme="minorHAnsi"/>
              </w:rPr>
            </w:pPr>
            <w:r w:rsidRPr="002F2828">
              <w:rPr>
                <w:rFonts w:asciiTheme="minorHAnsi" w:hAnsiTheme="minorHAnsi"/>
              </w:rPr>
              <w:t xml:space="preserve">Dr Mark Berry, </w:t>
            </w:r>
            <w:r w:rsidRPr="002F2828">
              <w:rPr>
                <w:rFonts w:asciiTheme="minorHAnsi" w:hAnsiTheme="minorHAnsi"/>
                <w:i/>
              </w:rPr>
              <w:t>Chair</w:t>
            </w:r>
          </w:p>
        </w:tc>
        <w:tc>
          <w:tcPr>
            <w:tcW w:w="4622" w:type="dxa"/>
          </w:tcPr>
          <w:p w:rsidR="00594A3C" w:rsidRPr="002F2828" w:rsidRDefault="00594A3C" w:rsidP="00594A3C">
            <w:pPr>
              <w:pStyle w:val="BodyText"/>
              <w:rPr>
                <w:rFonts w:asciiTheme="minorHAnsi" w:hAnsiTheme="minorHAnsi"/>
              </w:rPr>
            </w:pPr>
          </w:p>
          <w:p w:rsidR="00594A3C" w:rsidRPr="002F2828" w:rsidRDefault="00594A3C" w:rsidP="00594A3C">
            <w:pPr>
              <w:pStyle w:val="BodyText"/>
              <w:rPr>
                <w:rFonts w:asciiTheme="minorHAnsi" w:hAnsiTheme="minorHAnsi"/>
              </w:rPr>
            </w:pPr>
          </w:p>
          <w:p w:rsidR="00594A3C" w:rsidRPr="002F2828" w:rsidRDefault="00594A3C" w:rsidP="00594A3C">
            <w:pPr>
              <w:pStyle w:val="BodyText"/>
              <w:rPr>
                <w:rFonts w:asciiTheme="minorHAnsi" w:hAnsiTheme="minorHAnsi"/>
              </w:rPr>
            </w:pPr>
          </w:p>
          <w:p w:rsidR="00594A3C" w:rsidRPr="002F2828" w:rsidRDefault="00594A3C" w:rsidP="00594A3C">
            <w:pPr>
              <w:pStyle w:val="BodyText"/>
              <w:rPr>
                <w:rFonts w:asciiTheme="minorHAnsi" w:hAnsiTheme="minorHAnsi"/>
              </w:rPr>
            </w:pPr>
            <w:r w:rsidRPr="002F2828">
              <w:rPr>
                <w:rFonts w:asciiTheme="minorHAnsi" w:hAnsiTheme="minorHAnsi"/>
              </w:rPr>
              <w:t xml:space="preserve">Sue Begg, </w:t>
            </w:r>
            <w:r w:rsidRPr="002F2828">
              <w:rPr>
                <w:rFonts w:asciiTheme="minorHAnsi" w:hAnsiTheme="minorHAnsi"/>
                <w:i/>
              </w:rPr>
              <w:t>Deputy Chair</w:t>
            </w:r>
          </w:p>
        </w:tc>
      </w:tr>
      <w:tr w:rsidR="00594A3C" w:rsidRPr="002F2828" w:rsidTr="00594A3C">
        <w:tc>
          <w:tcPr>
            <w:tcW w:w="4621" w:type="dxa"/>
          </w:tcPr>
          <w:p w:rsidR="00594A3C" w:rsidRPr="002F2828" w:rsidRDefault="00594A3C" w:rsidP="00594A3C">
            <w:pPr>
              <w:pStyle w:val="BodyText"/>
              <w:rPr>
                <w:rFonts w:asciiTheme="minorHAnsi" w:hAnsiTheme="minorHAnsi"/>
              </w:rPr>
            </w:pPr>
          </w:p>
          <w:p w:rsidR="00594A3C" w:rsidRPr="002F2828" w:rsidRDefault="00594A3C" w:rsidP="00594A3C">
            <w:pPr>
              <w:pStyle w:val="BodyText"/>
              <w:rPr>
                <w:rFonts w:asciiTheme="minorHAnsi" w:hAnsiTheme="minorHAnsi"/>
              </w:rPr>
            </w:pPr>
          </w:p>
          <w:p w:rsidR="00594A3C" w:rsidRPr="002F2828" w:rsidRDefault="00594A3C" w:rsidP="00594A3C">
            <w:pPr>
              <w:pStyle w:val="BodyText"/>
              <w:rPr>
                <w:rFonts w:asciiTheme="minorHAnsi" w:hAnsiTheme="minorHAnsi"/>
              </w:rPr>
            </w:pPr>
          </w:p>
          <w:p w:rsidR="00594A3C" w:rsidRPr="002F2828" w:rsidRDefault="00594A3C" w:rsidP="00594A3C">
            <w:pPr>
              <w:pStyle w:val="BodyText"/>
              <w:rPr>
                <w:rFonts w:asciiTheme="minorHAnsi" w:hAnsiTheme="minorHAnsi"/>
                <w:i/>
              </w:rPr>
            </w:pPr>
            <w:r w:rsidRPr="002F2828">
              <w:rPr>
                <w:rFonts w:asciiTheme="minorHAnsi" w:hAnsiTheme="minorHAnsi"/>
              </w:rPr>
              <w:t>Pat Duignan</w:t>
            </w:r>
          </w:p>
        </w:tc>
        <w:tc>
          <w:tcPr>
            <w:tcW w:w="4622" w:type="dxa"/>
          </w:tcPr>
          <w:p w:rsidR="00594A3C" w:rsidRPr="002F2828" w:rsidRDefault="00594A3C" w:rsidP="00594A3C">
            <w:pPr>
              <w:pStyle w:val="BodyText"/>
              <w:rPr>
                <w:rFonts w:asciiTheme="minorHAnsi" w:hAnsiTheme="minorHAnsi"/>
              </w:rPr>
            </w:pPr>
          </w:p>
          <w:p w:rsidR="00594A3C" w:rsidRPr="002F2828" w:rsidRDefault="00594A3C" w:rsidP="00594A3C">
            <w:pPr>
              <w:pStyle w:val="BodyText"/>
              <w:rPr>
                <w:rFonts w:asciiTheme="minorHAnsi" w:hAnsiTheme="minorHAnsi"/>
              </w:rPr>
            </w:pPr>
          </w:p>
          <w:p w:rsidR="00594A3C" w:rsidRPr="002F2828" w:rsidRDefault="00594A3C" w:rsidP="00594A3C">
            <w:pPr>
              <w:pStyle w:val="BodyText"/>
              <w:rPr>
                <w:rFonts w:asciiTheme="minorHAnsi" w:hAnsiTheme="minorHAnsi"/>
              </w:rPr>
            </w:pPr>
          </w:p>
          <w:p w:rsidR="00594A3C" w:rsidRPr="002F2828" w:rsidRDefault="00594A3C" w:rsidP="00594A3C">
            <w:pPr>
              <w:pStyle w:val="BodyText"/>
              <w:rPr>
                <w:rFonts w:asciiTheme="minorHAnsi" w:hAnsiTheme="minorHAnsi"/>
                <w:i/>
              </w:rPr>
            </w:pPr>
            <w:r w:rsidRPr="002F2828">
              <w:rPr>
                <w:rFonts w:asciiTheme="minorHAnsi" w:hAnsiTheme="minorHAnsi"/>
              </w:rPr>
              <w:t>Stephen Gale</w:t>
            </w:r>
          </w:p>
        </w:tc>
      </w:tr>
    </w:tbl>
    <w:p w:rsidR="00594A3C" w:rsidRPr="002F2828" w:rsidRDefault="00594A3C" w:rsidP="00594A3C">
      <w:pPr>
        <w:pStyle w:val="BodyText"/>
        <w:rPr>
          <w:rFonts w:asciiTheme="minorHAnsi" w:hAnsiTheme="minorHAnsi"/>
        </w:rPr>
      </w:pPr>
    </w:p>
    <w:p w:rsidR="00594A3C" w:rsidRPr="002F2828" w:rsidRDefault="00594A3C" w:rsidP="00594A3C">
      <w:pPr>
        <w:pStyle w:val="BodyText"/>
        <w:rPr>
          <w:rFonts w:asciiTheme="minorHAnsi" w:hAnsiTheme="minorHAnsi"/>
        </w:rPr>
      </w:pPr>
    </w:p>
    <w:p w:rsidR="00594A3C" w:rsidRPr="002F2828" w:rsidRDefault="00594A3C" w:rsidP="00594A3C">
      <w:pPr>
        <w:pStyle w:val="BodyText"/>
        <w:rPr>
          <w:rFonts w:asciiTheme="minorHAnsi" w:hAnsiTheme="minorHAnsi"/>
        </w:rPr>
      </w:pPr>
      <w:proofErr w:type="gramStart"/>
      <w:r w:rsidRPr="002F2828">
        <w:rPr>
          <w:rFonts w:asciiTheme="minorHAnsi" w:hAnsiTheme="minorHAnsi"/>
        </w:rPr>
        <w:t>Dated at Wellington this</w:t>
      </w:r>
      <w:r w:rsidRPr="002F2828">
        <w:rPr>
          <w:rFonts w:asciiTheme="minorHAnsi" w:hAnsiTheme="minorHAnsi"/>
        </w:rPr>
        <w:tab/>
        <w:t>day of</w:t>
      </w:r>
      <w:r w:rsidRPr="002F2828">
        <w:rPr>
          <w:rFonts w:asciiTheme="minorHAnsi" w:hAnsiTheme="minorHAnsi"/>
        </w:rPr>
        <w:tab/>
      </w:r>
      <w:r w:rsidRPr="002F2828">
        <w:rPr>
          <w:rFonts w:asciiTheme="minorHAnsi" w:hAnsiTheme="minorHAnsi"/>
        </w:rPr>
        <w:tab/>
        <w:t>201</w:t>
      </w:r>
      <w:r w:rsidR="00A73DB0" w:rsidRPr="002F2828">
        <w:rPr>
          <w:rFonts w:asciiTheme="minorHAnsi" w:hAnsiTheme="minorHAnsi"/>
        </w:rPr>
        <w:t>2</w:t>
      </w:r>
      <w:r w:rsidRPr="002F2828">
        <w:rPr>
          <w:rFonts w:asciiTheme="minorHAnsi" w:hAnsiTheme="minorHAnsi"/>
        </w:rPr>
        <w:t>.</w:t>
      </w:r>
      <w:proofErr w:type="gramEnd"/>
    </w:p>
    <w:p w:rsidR="00594A3C" w:rsidRPr="002F2828" w:rsidRDefault="00594A3C" w:rsidP="00594A3C">
      <w:pPr>
        <w:pStyle w:val="BodyText"/>
        <w:rPr>
          <w:rFonts w:asciiTheme="minorHAnsi" w:hAnsiTheme="minorHAnsi"/>
        </w:rPr>
      </w:pPr>
      <w:r w:rsidRPr="002F2828">
        <w:rPr>
          <w:rFonts w:asciiTheme="minorHAnsi" w:hAnsiTheme="minorHAnsi"/>
        </w:rPr>
        <w:t>COMMERCE COMMISSION</w:t>
      </w:r>
    </w:p>
    <w:p w:rsidR="00594A3C" w:rsidRPr="002F2828" w:rsidRDefault="00594A3C" w:rsidP="00594A3C">
      <w:pPr>
        <w:pStyle w:val="BodyText"/>
        <w:rPr>
          <w:rFonts w:asciiTheme="minorHAnsi" w:hAnsiTheme="minorHAnsi"/>
        </w:rPr>
      </w:pPr>
    </w:p>
    <w:p w:rsidR="00594A3C" w:rsidRPr="002F2828" w:rsidRDefault="00594A3C" w:rsidP="00594A3C">
      <w:pPr>
        <w:pStyle w:val="BodyText"/>
        <w:rPr>
          <w:rFonts w:asciiTheme="minorHAnsi" w:hAnsiTheme="minorHAnsi"/>
        </w:rPr>
        <w:sectPr w:rsidR="00594A3C" w:rsidRPr="002F2828" w:rsidSect="00223E26">
          <w:type w:val="continuous"/>
          <w:pgSz w:w="11907" w:h="16840" w:code="9"/>
          <w:pgMar w:top="1440" w:right="1440" w:bottom="1440" w:left="1440" w:header="1134" w:footer="431" w:gutter="0"/>
          <w:cols w:space="720"/>
          <w:titlePg/>
        </w:sectPr>
      </w:pPr>
    </w:p>
    <w:p w:rsidR="00594AAC" w:rsidRPr="002F2828" w:rsidRDefault="00594AAC" w:rsidP="00594AAC">
      <w:pPr>
        <w:pStyle w:val="Heading1"/>
        <w:spacing w:line="264" w:lineRule="auto"/>
        <w:ind w:left="2160" w:hanging="2160"/>
        <w:rPr>
          <w:rFonts w:asciiTheme="minorHAnsi" w:hAnsiTheme="minorHAnsi"/>
        </w:rPr>
      </w:pPr>
      <w:bookmarkStart w:id="202" w:name="_Toc329301634"/>
      <w:r w:rsidRPr="002F2828">
        <w:rPr>
          <w:rFonts w:asciiTheme="minorHAnsi" w:hAnsiTheme="minorHAnsi"/>
        </w:rPr>
        <w:t>APPENDIX A</w:t>
      </w:r>
      <w:r w:rsidRPr="002F2828">
        <w:rPr>
          <w:rFonts w:asciiTheme="minorHAnsi" w:hAnsiTheme="minorHAnsi"/>
        </w:rPr>
        <w:tab/>
        <w:t>ASSET MANAGEMENT PLANS</w:t>
      </w:r>
      <w:bookmarkEnd w:id="202"/>
    </w:p>
    <w:p w:rsidR="00594AAC" w:rsidRPr="002F2828" w:rsidRDefault="00594AAC" w:rsidP="00594AAC">
      <w:pPr>
        <w:pStyle w:val="UnnumberedL1"/>
        <w:ind w:left="0"/>
        <w:rPr>
          <w:rStyle w:val="Emphasis-Italics"/>
          <w:rFonts w:asciiTheme="minorHAnsi" w:hAnsiTheme="minorHAnsi"/>
        </w:rPr>
      </w:pPr>
      <w:bookmarkStart w:id="203" w:name="_Ref308427840"/>
      <w:r w:rsidRPr="002F2828">
        <w:rPr>
          <w:rStyle w:val="Emphasis-Italics"/>
          <w:rFonts w:asciiTheme="minorHAnsi" w:hAnsiTheme="minorHAnsi"/>
        </w:rPr>
        <w:t xml:space="preserve">This Appendix sets out the mandatory disclosure requirements with respect to </w:t>
      </w:r>
      <w:proofErr w:type="spellStart"/>
      <w:r w:rsidRPr="002F2828">
        <w:rPr>
          <w:rStyle w:val="Emphasis-Italics"/>
          <w:rFonts w:asciiTheme="minorHAnsi" w:hAnsiTheme="minorHAnsi"/>
          <w:b/>
        </w:rPr>
        <w:t>AMP</w:t>
      </w:r>
      <w:r w:rsidRPr="002F2828">
        <w:rPr>
          <w:rStyle w:val="Emphasis-Italics"/>
          <w:rFonts w:asciiTheme="minorHAnsi" w:hAnsiTheme="minorHAnsi"/>
        </w:rPr>
        <w:t>s</w:t>
      </w:r>
      <w:proofErr w:type="spellEnd"/>
      <w:r w:rsidR="0099003F">
        <w:rPr>
          <w:rStyle w:val="Emphasis-Italics"/>
          <w:rFonts w:asciiTheme="minorHAnsi" w:hAnsiTheme="minorHAnsi"/>
        </w:rPr>
        <w:t xml:space="preserve">. </w:t>
      </w:r>
      <w:r w:rsidRPr="002F2828">
        <w:rPr>
          <w:rStyle w:val="Emphasis-Italics"/>
          <w:rFonts w:asciiTheme="minorHAnsi" w:hAnsiTheme="minorHAnsi"/>
        </w:rPr>
        <w:t xml:space="preserve">The text in italics provides a commentary on those requirements. The purpose of the commentary is to provide guidance on the expected content of disclosed </w:t>
      </w:r>
      <w:proofErr w:type="spellStart"/>
      <w:r w:rsidRPr="002F2828">
        <w:rPr>
          <w:rStyle w:val="Emphasis-Italics"/>
          <w:rFonts w:asciiTheme="minorHAnsi" w:hAnsiTheme="minorHAnsi"/>
          <w:b/>
        </w:rPr>
        <w:t>AMP</w:t>
      </w:r>
      <w:r w:rsidRPr="002F2828">
        <w:rPr>
          <w:rStyle w:val="Emphasis-Italics"/>
          <w:rFonts w:asciiTheme="minorHAnsi" w:hAnsiTheme="minorHAnsi"/>
        </w:rPr>
        <w:t>s</w:t>
      </w:r>
      <w:proofErr w:type="spellEnd"/>
      <w:r w:rsidR="0099003F">
        <w:rPr>
          <w:rStyle w:val="Emphasis-Italics"/>
          <w:rFonts w:asciiTheme="minorHAnsi" w:hAnsiTheme="minorHAnsi"/>
        </w:rPr>
        <w:t xml:space="preserve">. </w:t>
      </w:r>
      <w:r w:rsidRPr="002F2828">
        <w:rPr>
          <w:rStyle w:val="Emphasis-Italics"/>
          <w:rFonts w:asciiTheme="minorHAnsi" w:hAnsiTheme="minorHAnsi"/>
        </w:rPr>
        <w:t xml:space="preserve">The commentary has been prepared on the basis that </w:t>
      </w:r>
      <w:proofErr w:type="spellStart"/>
      <w:r w:rsidR="00460F21" w:rsidRPr="002F2828">
        <w:rPr>
          <w:rStyle w:val="Emphasis-Italics"/>
          <w:rFonts w:asciiTheme="minorHAnsi" w:hAnsiTheme="minorHAnsi"/>
          <w:b/>
        </w:rPr>
        <w:t>GDB</w:t>
      </w:r>
      <w:r w:rsidR="00460F21" w:rsidRPr="002F2828">
        <w:rPr>
          <w:rStyle w:val="Emphasis-Italics"/>
          <w:rFonts w:asciiTheme="minorHAnsi" w:hAnsiTheme="minorHAnsi"/>
        </w:rPr>
        <w:t>s</w:t>
      </w:r>
      <w:proofErr w:type="spellEnd"/>
      <w:r w:rsidR="00460F21" w:rsidRPr="002F2828">
        <w:rPr>
          <w:rStyle w:val="Emphasis-Italics"/>
          <w:rFonts w:asciiTheme="minorHAnsi" w:hAnsiTheme="minorHAnsi"/>
        </w:rPr>
        <w:t xml:space="preserve"> </w:t>
      </w:r>
      <w:r w:rsidRPr="002F2828">
        <w:rPr>
          <w:rStyle w:val="Emphasis-Italics"/>
          <w:rFonts w:asciiTheme="minorHAnsi" w:hAnsiTheme="minorHAnsi"/>
        </w:rPr>
        <w:t>will implement best practice asset management processes.</w:t>
      </w:r>
    </w:p>
    <w:p w:rsidR="00EC17E2" w:rsidRPr="00EC17E2" w:rsidRDefault="009764C2" w:rsidP="00EC17E2">
      <w:pPr>
        <w:pStyle w:val="Heading2"/>
      </w:pPr>
      <w:bookmarkStart w:id="204" w:name="_Toc311198534"/>
      <w:r w:rsidRPr="009764C2">
        <w:t>AMP design</w:t>
      </w:r>
      <w:bookmarkEnd w:id="203"/>
      <w:bookmarkEnd w:id="204"/>
    </w:p>
    <w:p w:rsidR="00594AAC" w:rsidRPr="002F2828" w:rsidRDefault="00594AAC" w:rsidP="00F82684">
      <w:pPr>
        <w:pStyle w:val="Para1"/>
        <w:numPr>
          <w:ilvl w:val="0"/>
          <w:numId w:val="66"/>
        </w:numPr>
        <w:rPr>
          <w:rStyle w:val="Emphasis-Italics"/>
          <w:rFonts w:asciiTheme="minorHAnsi" w:hAnsiTheme="minorHAnsi"/>
          <w:i w:val="0"/>
        </w:rPr>
      </w:pPr>
      <w:bookmarkStart w:id="205" w:name="_Ref311190635"/>
      <w:r w:rsidRPr="002F2828">
        <w:rPr>
          <w:rStyle w:val="Emphasis-Italics"/>
          <w:rFonts w:asciiTheme="minorHAnsi" w:hAnsiTheme="minorHAnsi"/>
          <w:i w:val="0"/>
        </w:rPr>
        <w:t>The core elements of asset management</w:t>
      </w:r>
      <w:bookmarkEnd w:id="205"/>
      <w:r w:rsidR="00E911F8">
        <w:rPr>
          <w:rStyle w:val="Emphasis-Italics"/>
          <w:rFonts w:asciiTheme="minorHAnsi" w:hAnsiTheme="minorHAnsi"/>
          <w:i w:val="0"/>
        </w:rPr>
        <w:t>—</w:t>
      </w:r>
    </w:p>
    <w:p w:rsidR="00E911F8" w:rsidRDefault="003920F3" w:rsidP="00594AAC">
      <w:pPr>
        <w:pStyle w:val="Para2"/>
        <w:rPr>
          <w:rStyle w:val="Emphasis-Italics"/>
          <w:rFonts w:asciiTheme="minorHAnsi" w:hAnsiTheme="minorHAnsi"/>
          <w:i w:val="0"/>
        </w:rPr>
      </w:pPr>
      <w:r w:rsidRPr="002F2828">
        <w:rPr>
          <w:rStyle w:val="Emphasis-Italics"/>
          <w:rFonts w:asciiTheme="minorHAnsi" w:hAnsiTheme="minorHAnsi"/>
          <w:i w:val="0"/>
        </w:rPr>
        <w:t>A</w:t>
      </w:r>
      <w:r w:rsidR="00594AAC" w:rsidRPr="002F2828">
        <w:rPr>
          <w:rStyle w:val="Emphasis-Italics"/>
          <w:rFonts w:asciiTheme="minorHAnsi" w:hAnsiTheme="minorHAnsi"/>
          <w:i w:val="0"/>
        </w:rPr>
        <w:t xml:space="preserve"> focus on </w:t>
      </w:r>
      <w:r w:rsidR="00E911F8">
        <w:rPr>
          <w:rStyle w:val="Emphasis-Italics"/>
          <w:rFonts w:asciiTheme="minorHAnsi" w:hAnsiTheme="minorHAnsi"/>
          <w:i w:val="0"/>
        </w:rPr>
        <w:t xml:space="preserve">measuring network </w:t>
      </w:r>
      <w:r w:rsidR="00594AAC" w:rsidRPr="002F2828">
        <w:rPr>
          <w:rStyle w:val="Emphasis-Italics"/>
          <w:rFonts w:asciiTheme="minorHAnsi" w:hAnsiTheme="minorHAnsi"/>
          <w:i w:val="0"/>
        </w:rPr>
        <w:t>performance</w:t>
      </w:r>
      <w:r w:rsidR="00E911F8">
        <w:rPr>
          <w:rStyle w:val="Emphasis-Italics"/>
          <w:rFonts w:asciiTheme="minorHAnsi" w:hAnsiTheme="minorHAnsi"/>
          <w:i w:val="0"/>
        </w:rPr>
        <w:t>, and managing the assets to achieve performance targets;</w:t>
      </w:r>
    </w:p>
    <w:p w:rsidR="00594AAC" w:rsidRPr="002F2828" w:rsidRDefault="00E911F8" w:rsidP="00594AAC">
      <w:pPr>
        <w:pStyle w:val="Para2"/>
        <w:rPr>
          <w:rStyle w:val="Emphasis-Italics"/>
          <w:rFonts w:asciiTheme="minorHAnsi" w:hAnsiTheme="minorHAnsi"/>
          <w:i w:val="0"/>
        </w:rPr>
      </w:pPr>
      <w:r>
        <w:rPr>
          <w:rStyle w:val="Emphasis-Italics"/>
          <w:rFonts w:asciiTheme="minorHAnsi" w:hAnsiTheme="minorHAnsi"/>
          <w:i w:val="0"/>
        </w:rPr>
        <w:t>M</w:t>
      </w:r>
      <w:r w:rsidR="00594AAC" w:rsidRPr="002F2828">
        <w:rPr>
          <w:rStyle w:val="Emphasis-Italics"/>
          <w:rFonts w:asciiTheme="minorHAnsi" w:hAnsiTheme="minorHAnsi"/>
          <w:i w:val="0"/>
        </w:rPr>
        <w:t>onitoring and continuous</w:t>
      </w:r>
      <w:r>
        <w:rPr>
          <w:rStyle w:val="Emphasis-Italics"/>
          <w:rFonts w:asciiTheme="minorHAnsi" w:hAnsiTheme="minorHAnsi"/>
          <w:i w:val="0"/>
        </w:rPr>
        <w:t>ly</w:t>
      </w:r>
      <w:r w:rsidR="00594AAC" w:rsidRPr="002F2828">
        <w:rPr>
          <w:rStyle w:val="Emphasis-Italics"/>
          <w:rFonts w:asciiTheme="minorHAnsi" w:hAnsiTheme="minorHAnsi"/>
          <w:i w:val="0"/>
        </w:rPr>
        <w:t xml:space="preserve"> improv</w:t>
      </w:r>
      <w:r>
        <w:rPr>
          <w:rStyle w:val="Emphasis-Italics"/>
          <w:rFonts w:asciiTheme="minorHAnsi" w:hAnsiTheme="minorHAnsi"/>
          <w:i w:val="0"/>
        </w:rPr>
        <w:t>ing</w:t>
      </w:r>
      <w:r w:rsidR="00B56941" w:rsidRPr="002F2828">
        <w:rPr>
          <w:rStyle w:val="Emphasis-Italics"/>
          <w:rFonts w:asciiTheme="minorHAnsi" w:hAnsiTheme="minorHAnsi"/>
          <w:i w:val="0"/>
        </w:rPr>
        <w:t xml:space="preserve"> asset management practices</w:t>
      </w:r>
      <w:r>
        <w:rPr>
          <w:rStyle w:val="Emphasis-Italics"/>
          <w:rFonts w:asciiTheme="minorHAnsi" w:hAnsiTheme="minorHAnsi"/>
          <w:i w:val="0"/>
        </w:rPr>
        <w:t>;</w:t>
      </w:r>
    </w:p>
    <w:p w:rsidR="00594AAC" w:rsidRPr="002F2828" w:rsidRDefault="003920F3" w:rsidP="00594AAC">
      <w:pPr>
        <w:pStyle w:val="Para2"/>
        <w:rPr>
          <w:rStyle w:val="Emphasis-Italics"/>
          <w:rFonts w:asciiTheme="minorHAnsi" w:hAnsiTheme="minorHAnsi"/>
          <w:i w:val="0"/>
        </w:rPr>
      </w:pPr>
      <w:r w:rsidRPr="002F2828">
        <w:rPr>
          <w:rStyle w:val="Emphasis-Italics"/>
          <w:rFonts w:asciiTheme="minorHAnsi" w:hAnsiTheme="minorHAnsi"/>
          <w:i w:val="0"/>
        </w:rPr>
        <w:t>C</w:t>
      </w:r>
      <w:r w:rsidR="00594AAC" w:rsidRPr="002F2828">
        <w:rPr>
          <w:rStyle w:val="Emphasis-Italics"/>
          <w:rFonts w:asciiTheme="minorHAnsi" w:hAnsiTheme="minorHAnsi"/>
          <w:i w:val="0"/>
        </w:rPr>
        <w:t>lose alignment wit</w:t>
      </w:r>
      <w:r w:rsidR="00B56941" w:rsidRPr="002F2828">
        <w:rPr>
          <w:rStyle w:val="Emphasis-Italics"/>
          <w:rFonts w:asciiTheme="minorHAnsi" w:hAnsiTheme="minorHAnsi"/>
          <w:i w:val="0"/>
        </w:rPr>
        <w:t>h corporate vision and strategy</w:t>
      </w:r>
      <w:r w:rsidR="00E911F8">
        <w:rPr>
          <w:rStyle w:val="Emphasis-Italics"/>
          <w:rFonts w:asciiTheme="minorHAnsi" w:hAnsiTheme="minorHAnsi"/>
          <w:i w:val="0"/>
        </w:rPr>
        <w:t>;</w:t>
      </w:r>
    </w:p>
    <w:p w:rsidR="00594AAC" w:rsidRPr="002F2828" w:rsidRDefault="003920F3" w:rsidP="00594AAC">
      <w:pPr>
        <w:pStyle w:val="Para2"/>
        <w:rPr>
          <w:rStyle w:val="Emphasis-Italics"/>
          <w:rFonts w:asciiTheme="minorHAnsi" w:hAnsiTheme="minorHAnsi"/>
          <w:i w:val="0"/>
        </w:rPr>
      </w:pPr>
      <w:r w:rsidRPr="002F2828">
        <w:rPr>
          <w:rStyle w:val="Emphasis-Italics"/>
          <w:rFonts w:asciiTheme="minorHAnsi" w:hAnsiTheme="minorHAnsi"/>
          <w:i w:val="0"/>
        </w:rPr>
        <w:t>T</w:t>
      </w:r>
      <w:r w:rsidR="00594AAC" w:rsidRPr="002F2828">
        <w:rPr>
          <w:rStyle w:val="Emphasis-Italics"/>
          <w:rFonts w:asciiTheme="minorHAnsi" w:hAnsiTheme="minorHAnsi"/>
          <w:i w:val="0"/>
        </w:rPr>
        <w:t>hat asset management is driven by clearly defined strategies, business objec</w:t>
      </w:r>
      <w:r w:rsidR="00B56941" w:rsidRPr="002F2828">
        <w:rPr>
          <w:rStyle w:val="Emphasis-Italics"/>
          <w:rFonts w:asciiTheme="minorHAnsi" w:hAnsiTheme="minorHAnsi"/>
          <w:i w:val="0"/>
        </w:rPr>
        <w:t>tives and service level targets</w:t>
      </w:r>
      <w:r w:rsidR="00E911F8">
        <w:rPr>
          <w:rStyle w:val="Emphasis-Italics"/>
          <w:rFonts w:asciiTheme="minorHAnsi" w:hAnsiTheme="minorHAnsi"/>
          <w:i w:val="0"/>
        </w:rPr>
        <w:t>;</w:t>
      </w:r>
    </w:p>
    <w:p w:rsidR="00594AAC" w:rsidRPr="002F2828" w:rsidRDefault="003920F3" w:rsidP="00594AAC">
      <w:pPr>
        <w:pStyle w:val="Para2"/>
        <w:rPr>
          <w:rStyle w:val="Emphasis-Italics"/>
          <w:rFonts w:asciiTheme="minorHAnsi" w:hAnsiTheme="minorHAnsi"/>
          <w:i w:val="0"/>
        </w:rPr>
      </w:pPr>
      <w:r w:rsidRPr="002F2828">
        <w:rPr>
          <w:rStyle w:val="Emphasis-Italics"/>
          <w:rFonts w:asciiTheme="minorHAnsi" w:hAnsiTheme="minorHAnsi"/>
          <w:i w:val="0"/>
        </w:rPr>
        <w:t>T</w:t>
      </w:r>
      <w:r w:rsidR="00594AAC" w:rsidRPr="002F2828">
        <w:rPr>
          <w:rStyle w:val="Emphasis-Italics"/>
          <w:rFonts w:asciiTheme="minorHAnsi" w:hAnsiTheme="minorHAnsi"/>
          <w:i w:val="0"/>
        </w:rPr>
        <w:t>hat responsibilities and accountabilities for asset management are clearly assigned</w:t>
      </w:r>
      <w:r w:rsidR="00E911F8">
        <w:rPr>
          <w:rStyle w:val="Emphasis-Italics"/>
          <w:rFonts w:asciiTheme="minorHAnsi" w:hAnsiTheme="minorHAnsi"/>
          <w:i w:val="0"/>
        </w:rPr>
        <w:t>;</w:t>
      </w:r>
    </w:p>
    <w:p w:rsidR="00594AAC" w:rsidRPr="002F2828" w:rsidRDefault="003920F3" w:rsidP="00594AAC">
      <w:pPr>
        <w:pStyle w:val="Para2"/>
        <w:rPr>
          <w:rStyle w:val="Emphasis-Italics"/>
          <w:rFonts w:asciiTheme="minorHAnsi" w:hAnsiTheme="minorHAnsi"/>
          <w:i w:val="0"/>
        </w:rPr>
      </w:pPr>
      <w:r w:rsidRPr="002F2828">
        <w:rPr>
          <w:rStyle w:val="Emphasis-Italics"/>
          <w:rFonts w:asciiTheme="minorHAnsi" w:hAnsiTheme="minorHAnsi"/>
          <w:i w:val="0"/>
        </w:rPr>
        <w:t>A</w:t>
      </w:r>
      <w:r w:rsidR="00594AAC" w:rsidRPr="002F2828">
        <w:rPr>
          <w:rStyle w:val="Emphasis-Italics"/>
          <w:rFonts w:asciiTheme="minorHAnsi" w:hAnsiTheme="minorHAnsi"/>
          <w:i w:val="0"/>
        </w:rPr>
        <w:t xml:space="preserve">n emphasis on knowledge of what assets are owned and why, the location of the assets </w:t>
      </w:r>
      <w:r w:rsidR="00B56941" w:rsidRPr="002F2828">
        <w:rPr>
          <w:rStyle w:val="Emphasis-Italics"/>
          <w:rFonts w:asciiTheme="minorHAnsi" w:hAnsiTheme="minorHAnsi"/>
          <w:i w:val="0"/>
        </w:rPr>
        <w:t>and the condition of the assets</w:t>
      </w:r>
      <w:r w:rsidR="00E911F8">
        <w:rPr>
          <w:rStyle w:val="Emphasis-Italics"/>
          <w:rFonts w:asciiTheme="minorHAnsi" w:hAnsiTheme="minorHAnsi"/>
          <w:i w:val="0"/>
        </w:rPr>
        <w:t>;</w:t>
      </w:r>
    </w:p>
    <w:p w:rsidR="00594AAC" w:rsidRPr="002F2828" w:rsidRDefault="003920F3" w:rsidP="00594AAC">
      <w:pPr>
        <w:pStyle w:val="Para2"/>
        <w:rPr>
          <w:rStyle w:val="Emphasis-Italics"/>
          <w:rFonts w:asciiTheme="minorHAnsi" w:hAnsiTheme="minorHAnsi"/>
          <w:i w:val="0"/>
        </w:rPr>
      </w:pPr>
      <w:r w:rsidRPr="002F2828">
        <w:rPr>
          <w:rStyle w:val="Emphasis-Italics"/>
          <w:rFonts w:asciiTheme="minorHAnsi" w:hAnsiTheme="minorHAnsi"/>
          <w:i w:val="0"/>
        </w:rPr>
        <w:t>A</w:t>
      </w:r>
      <w:r w:rsidR="00594AAC" w:rsidRPr="002F2828">
        <w:rPr>
          <w:rStyle w:val="Emphasis-Italics"/>
          <w:rFonts w:asciiTheme="minorHAnsi" w:hAnsiTheme="minorHAnsi"/>
          <w:i w:val="0"/>
        </w:rPr>
        <w:t>n emphasis on optimising as</w:t>
      </w:r>
      <w:r w:rsidR="00B56941" w:rsidRPr="002F2828">
        <w:rPr>
          <w:rStyle w:val="Emphasis-Italics"/>
          <w:rFonts w:asciiTheme="minorHAnsi" w:hAnsiTheme="minorHAnsi"/>
          <w:i w:val="0"/>
        </w:rPr>
        <w:t>set utilisation and performance</w:t>
      </w:r>
      <w:r w:rsidR="00E911F8">
        <w:rPr>
          <w:rStyle w:val="Emphasis-Italics"/>
          <w:rFonts w:asciiTheme="minorHAnsi" w:hAnsiTheme="minorHAnsi"/>
          <w:i w:val="0"/>
        </w:rPr>
        <w:t>;</w:t>
      </w:r>
    </w:p>
    <w:p w:rsidR="00594AAC" w:rsidRPr="002F2828" w:rsidRDefault="003920F3" w:rsidP="00594AAC">
      <w:pPr>
        <w:pStyle w:val="Para2"/>
        <w:rPr>
          <w:rStyle w:val="Emphasis-Italics"/>
          <w:rFonts w:asciiTheme="minorHAnsi" w:hAnsiTheme="minorHAnsi"/>
          <w:i w:val="0"/>
        </w:rPr>
      </w:pPr>
      <w:r w:rsidRPr="002F2828">
        <w:rPr>
          <w:rStyle w:val="Emphasis-Italics"/>
          <w:rFonts w:asciiTheme="minorHAnsi" w:hAnsiTheme="minorHAnsi"/>
          <w:i w:val="0"/>
        </w:rPr>
        <w:t>T</w:t>
      </w:r>
      <w:r w:rsidR="00594AAC" w:rsidRPr="002F2828">
        <w:rPr>
          <w:rStyle w:val="Emphasis-Italics"/>
          <w:rFonts w:asciiTheme="minorHAnsi" w:hAnsiTheme="minorHAnsi"/>
          <w:i w:val="0"/>
        </w:rPr>
        <w:t xml:space="preserve">hat a total life cycle approach should be taken </w:t>
      </w:r>
      <w:r w:rsidR="00B56941" w:rsidRPr="002F2828">
        <w:rPr>
          <w:rStyle w:val="Emphasis-Italics"/>
          <w:rFonts w:asciiTheme="minorHAnsi" w:hAnsiTheme="minorHAnsi"/>
          <w:i w:val="0"/>
        </w:rPr>
        <w:t>to asset management</w:t>
      </w:r>
      <w:r w:rsidR="00E911F8">
        <w:rPr>
          <w:rStyle w:val="Emphasis-Italics"/>
          <w:rFonts w:asciiTheme="minorHAnsi" w:hAnsiTheme="minorHAnsi"/>
          <w:i w:val="0"/>
        </w:rPr>
        <w:t>;</w:t>
      </w:r>
    </w:p>
    <w:p w:rsidR="00594AAC" w:rsidRPr="002F2828" w:rsidRDefault="003920F3" w:rsidP="00594AAC">
      <w:pPr>
        <w:pStyle w:val="Para2"/>
        <w:rPr>
          <w:rStyle w:val="Emphasis-Italics"/>
          <w:rFonts w:asciiTheme="minorHAnsi" w:hAnsiTheme="minorHAnsi"/>
          <w:i w:val="0"/>
        </w:rPr>
      </w:pPr>
      <w:r w:rsidRPr="002F2828">
        <w:rPr>
          <w:rStyle w:val="Emphasis-Italics"/>
          <w:rFonts w:asciiTheme="minorHAnsi" w:hAnsiTheme="minorHAnsi"/>
          <w:i w:val="0"/>
        </w:rPr>
        <w:t>T</w:t>
      </w:r>
      <w:r w:rsidR="00594AAC" w:rsidRPr="002F2828">
        <w:rPr>
          <w:rStyle w:val="Emphasis-Italics"/>
          <w:rFonts w:asciiTheme="minorHAnsi" w:hAnsiTheme="minorHAnsi"/>
          <w:i w:val="0"/>
        </w:rPr>
        <w:t>hat the use of ‘non-network’ solutions and demand management techniques as alternatives to asset acquisition is considered.</w:t>
      </w:r>
    </w:p>
    <w:p w:rsidR="00594AAC" w:rsidRPr="002F2828" w:rsidRDefault="00594AAC" w:rsidP="00594AAC">
      <w:pPr>
        <w:pStyle w:val="Para1"/>
        <w:rPr>
          <w:rStyle w:val="Emphasis-Italics"/>
          <w:rFonts w:asciiTheme="minorHAnsi" w:hAnsiTheme="minorHAnsi"/>
          <w:i w:val="0"/>
        </w:rPr>
      </w:pPr>
      <w:r w:rsidRPr="002F2828">
        <w:rPr>
          <w:rStyle w:val="Emphasis-Italics"/>
          <w:rFonts w:asciiTheme="minorHAnsi" w:hAnsiTheme="minorHAnsi"/>
          <w:i w:val="0"/>
        </w:rPr>
        <w:t xml:space="preserve">The disclosure requirements are designed to produce </w:t>
      </w:r>
      <w:proofErr w:type="spellStart"/>
      <w:r w:rsidRPr="002F2828">
        <w:rPr>
          <w:rStyle w:val="Emphasis-Italics"/>
          <w:rFonts w:asciiTheme="minorHAnsi" w:hAnsiTheme="minorHAnsi"/>
          <w:b/>
          <w:i w:val="0"/>
        </w:rPr>
        <w:t>AMP</w:t>
      </w:r>
      <w:r w:rsidR="00B56941" w:rsidRPr="002F2828">
        <w:rPr>
          <w:rStyle w:val="Emphasis-Italics"/>
          <w:rFonts w:asciiTheme="minorHAnsi" w:hAnsiTheme="minorHAnsi"/>
          <w:i w:val="0"/>
        </w:rPr>
        <w:t>s</w:t>
      </w:r>
      <w:proofErr w:type="spellEnd"/>
      <w:r w:rsidR="00B56941" w:rsidRPr="002F2828">
        <w:rPr>
          <w:rStyle w:val="Emphasis-Italics"/>
          <w:rFonts w:asciiTheme="minorHAnsi" w:hAnsiTheme="minorHAnsi"/>
          <w:i w:val="0"/>
        </w:rPr>
        <w:t xml:space="preserve"> that:</w:t>
      </w:r>
    </w:p>
    <w:p w:rsidR="00594AAC" w:rsidRPr="002F2828" w:rsidRDefault="003920F3" w:rsidP="00594AAC">
      <w:pPr>
        <w:pStyle w:val="Para2"/>
        <w:rPr>
          <w:rStyle w:val="Emphasis-Italics"/>
          <w:rFonts w:asciiTheme="minorHAnsi" w:hAnsiTheme="minorHAnsi"/>
          <w:i w:val="0"/>
        </w:rPr>
      </w:pPr>
      <w:r w:rsidRPr="002F2828">
        <w:rPr>
          <w:rStyle w:val="Emphasis-Italics"/>
          <w:rFonts w:asciiTheme="minorHAnsi" w:hAnsiTheme="minorHAnsi"/>
          <w:i w:val="0"/>
        </w:rPr>
        <w:t>A</w:t>
      </w:r>
      <w:r w:rsidR="00594AAC" w:rsidRPr="002F2828">
        <w:rPr>
          <w:rStyle w:val="Emphasis-Italics"/>
          <w:rFonts w:asciiTheme="minorHAnsi" w:hAnsiTheme="minorHAnsi"/>
          <w:i w:val="0"/>
        </w:rPr>
        <w:t>re based on, but are not limited to, the core elements of asset management identified in clause 1</w:t>
      </w:r>
      <w:r w:rsidRPr="002F2828">
        <w:rPr>
          <w:rStyle w:val="Emphasis-Italics"/>
          <w:rFonts w:asciiTheme="minorHAnsi" w:hAnsiTheme="minorHAnsi"/>
          <w:i w:val="0"/>
        </w:rPr>
        <w:t xml:space="preserve"> </w:t>
      </w:r>
      <w:r w:rsidR="00222031">
        <w:rPr>
          <w:rStyle w:val="Emphasis-Italics"/>
          <w:rFonts w:asciiTheme="minorHAnsi" w:hAnsiTheme="minorHAnsi"/>
          <w:i w:val="0"/>
        </w:rPr>
        <w:t>above</w:t>
      </w:r>
      <w:r w:rsidR="00E911F8">
        <w:rPr>
          <w:rStyle w:val="Emphasis-Italics"/>
          <w:rFonts w:asciiTheme="minorHAnsi" w:hAnsiTheme="minorHAnsi"/>
          <w:i w:val="0"/>
        </w:rPr>
        <w:t>;</w:t>
      </w:r>
    </w:p>
    <w:p w:rsidR="00594AAC" w:rsidRPr="002F2828" w:rsidRDefault="003920F3" w:rsidP="00594AAC">
      <w:pPr>
        <w:pStyle w:val="Para2"/>
        <w:rPr>
          <w:rStyle w:val="Emphasis-Italics"/>
          <w:rFonts w:asciiTheme="minorHAnsi" w:hAnsiTheme="minorHAnsi"/>
          <w:i w:val="0"/>
        </w:rPr>
      </w:pPr>
      <w:r w:rsidRPr="002F2828">
        <w:rPr>
          <w:rStyle w:val="Emphasis-Italics"/>
          <w:rFonts w:asciiTheme="minorHAnsi" w:hAnsiTheme="minorHAnsi"/>
          <w:i w:val="0"/>
        </w:rPr>
        <w:t>A</w:t>
      </w:r>
      <w:r w:rsidR="00594AAC" w:rsidRPr="002F2828">
        <w:rPr>
          <w:rStyle w:val="Emphasis-Italics"/>
          <w:rFonts w:asciiTheme="minorHAnsi" w:hAnsiTheme="minorHAnsi"/>
          <w:i w:val="0"/>
        </w:rPr>
        <w:t xml:space="preserve">re clearly documented and </w:t>
      </w:r>
      <w:r w:rsidR="00222031">
        <w:rPr>
          <w:rStyle w:val="Emphasis-Italics"/>
          <w:rFonts w:asciiTheme="minorHAnsi" w:hAnsiTheme="minorHAnsi"/>
          <w:i w:val="0"/>
        </w:rPr>
        <w:t>made available</w:t>
      </w:r>
      <w:r w:rsidR="00222031" w:rsidRPr="002F2828">
        <w:rPr>
          <w:rStyle w:val="Emphasis-Italics"/>
          <w:rFonts w:asciiTheme="minorHAnsi" w:hAnsiTheme="minorHAnsi"/>
          <w:i w:val="0"/>
        </w:rPr>
        <w:t xml:space="preserve"> </w:t>
      </w:r>
      <w:r w:rsidR="00B56941" w:rsidRPr="002F2828">
        <w:rPr>
          <w:rStyle w:val="Emphasis-Italics"/>
          <w:rFonts w:asciiTheme="minorHAnsi" w:hAnsiTheme="minorHAnsi"/>
          <w:i w:val="0"/>
        </w:rPr>
        <w:t>to all stakeholders</w:t>
      </w:r>
      <w:r w:rsidR="00E911F8">
        <w:rPr>
          <w:rStyle w:val="Emphasis-Italics"/>
          <w:rFonts w:asciiTheme="minorHAnsi" w:hAnsiTheme="minorHAnsi"/>
          <w:i w:val="0"/>
        </w:rPr>
        <w:t>;</w:t>
      </w:r>
    </w:p>
    <w:p w:rsidR="00594AAC" w:rsidRPr="002F2828" w:rsidRDefault="003920F3" w:rsidP="00594AAC">
      <w:pPr>
        <w:pStyle w:val="Para2"/>
        <w:rPr>
          <w:rStyle w:val="Emphasis-Italics"/>
          <w:rFonts w:asciiTheme="minorHAnsi" w:hAnsiTheme="minorHAnsi"/>
          <w:i w:val="0"/>
        </w:rPr>
      </w:pPr>
      <w:r w:rsidRPr="002F2828">
        <w:rPr>
          <w:rStyle w:val="Emphasis-Italics"/>
          <w:rFonts w:asciiTheme="minorHAnsi" w:hAnsiTheme="minorHAnsi"/>
          <w:i w:val="0"/>
        </w:rPr>
        <w:t>C</w:t>
      </w:r>
      <w:r w:rsidR="00594AAC" w:rsidRPr="002F2828">
        <w:rPr>
          <w:rStyle w:val="Emphasis-Italics"/>
          <w:rFonts w:asciiTheme="minorHAnsi" w:hAnsiTheme="minorHAnsi"/>
          <w:i w:val="0"/>
        </w:rPr>
        <w:t xml:space="preserve">ontain sufficient information to allow interested persons to make an informed judgement about the extent to which the </w:t>
      </w:r>
      <w:proofErr w:type="spellStart"/>
      <w:r w:rsidR="008E15E2" w:rsidRPr="002F2828">
        <w:rPr>
          <w:rStyle w:val="Emphasis-Italics"/>
          <w:rFonts w:asciiTheme="minorHAnsi" w:hAnsiTheme="minorHAnsi"/>
          <w:b/>
          <w:i w:val="0"/>
        </w:rPr>
        <w:t>GDB</w:t>
      </w:r>
      <w:r w:rsidR="00594AAC" w:rsidRPr="002F2828">
        <w:rPr>
          <w:rStyle w:val="Emphasis-Italics"/>
          <w:rFonts w:asciiTheme="minorHAnsi" w:hAnsiTheme="minorHAnsi"/>
          <w:i w:val="0"/>
        </w:rPr>
        <w:t>’s</w:t>
      </w:r>
      <w:proofErr w:type="spellEnd"/>
      <w:r w:rsidR="00594AAC" w:rsidRPr="002F2828">
        <w:rPr>
          <w:rStyle w:val="Emphasis-Italics"/>
          <w:rFonts w:asciiTheme="minorHAnsi" w:hAnsiTheme="minorHAnsi"/>
          <w:i w:val="0"/>
        </w:rPr>
        <w:t xml:space="preserve"> asset management processes meet best practice criteria</w:t>
      </w:r>
      <w:r w:rsidR="008E15E2" w:rsidRPr="002F2828">
        <w:rPr>
          <w:rStyle w:val="Emphasis-Italics"/>
          <w:rFonts w:asciiTheme="minorHAnsi" w:hAnsiTheme="minorHAnsi"/>
          <w:i w:val="0"/>
        </w:rPr>
        <w:t xml:space="preserve"> </w:t>
      </w:r>
      <w:r w:rsidR="00222031">
        <w:rPr>
          <w:rStyle w:val="Emphasis-Italics"/>
          <w:rFonts w:asciiTheme="minorHAnsi" w:hAnsiTheme="minorHAnsi"/>
          <w:i w:val="0"/>
        </w:rPr>
        <w:t xml:space="preserve">and outcomes are </w:t>
      </w:r>
      <w:r w:rsidR="008E15E2" w:rsidRPr="002F2828">
        <w:rPr>
          <w:rStyle w:val="Emphasis-Italics"/>
          <w:rFonts w:asciiTheme="minorHAnsi" w:hAnsiTheme="minorHAnsi"/>
          <w:i w:val="0"/>
        </w:rPr>
        <w:t>consistent with outcomes produced in competitive markets</w:t>
      </w:r>
      <w:r w:rsidR="00E911F8">
        <w:rPr>
          <w:rStyle w:val="Emphasis-Italics"/>
          <w:rFonts w:asciiTheme="minorHAnsi" w:hAnsiTheme="minorHAnsi"/>
          <w:i w:val="0"/>
        </w:rPr>
        <w:t>;</w:t>
      </w:r>
    </w:p>
    <w:p w:rsidR="00594AAC" w:rsidRPr="002F2828" w:rsidRDefault="003920F3" w:rsidP="00594AAC">
      <w:pPr>
        <w:pStyle w:val="Para2"/>
        <w:rPr>
          <w:rStyle w:val="Emphasis-Italics"/>
          <w:rFonts w:asciiTheme="minorHAnsi" w:hAnsiTheme="minorHAnsi"/>
          <w:i w:val="0"/>
        </w:rPr>
      </w:pPr>
      <w:r w:rsidRPr="002F2828">
        <w:rPr>
          <w:rStyle w:val="Emphasis-Italics"/>
          <w:rFonts w:asciiTheme="minorHAnsi" w:hAnsiTheme="minorHAnsi"/>
          <w:i w:val="0"/>
        </w:rPr>
        <w:t>S</w:t>
      </w:r>
      <w:r w:rsidR="00594AAC" w:rsidRPr="002F2828">
        <w:rPr>
          <w:rStyle w:val="Emphasis-Italics"/>
          <w:rFonts w:asciiTheme="minorHAnsi" w:hAnsiTheme="minorHAnsi"/>
          <w:i w:val="0"/>
        </w:rPr>
        <w:t xml:space="preserve">pecifically support the achievement of </w:t>
      </w:r>
      <w:r w:rsidR="00B56941" w:rsidRPr="002F2828">
        <w:rPr>
          <w:rStyle w:val="Emphasis-Italics"/>
          <w:rFonts w:asciiTheme="minorHAnsi" w:hAnsiTheme="minorHAnsi"/>
          <w:i w:val="0"/>
        </w:rPr>
        <w:t>disclosed service level targets</w:t>
      </w:r>
      <w:r w:rsidR="00E911F8">
        <w:rPr>
          <w:rStyle w:val="Emphasis-Italics"/>
          <w:rFonts w:asciiTheme="minorHAnsi" w:hAnsiTheme="minorHAnsi"/>
          <w:i w:val="0"/>
        </w:rPr>
        <w:t>;</w:t>
      </w:r>
    </w:p>
    <w:p w:rsidR="00594AAC" w:rsidRPr="002F2828" w:rsidRDefault="003920F3" w:rsidP="00594AAC">
      <w:pPr>
        <w:pStyle w:val="Para2"/>
        <w:rPr>
          <w:rStyle w:val="Emphasis-Italics"/>
          <w:rFonts w:asciiTheme="minorHAnsi" w:hAnsiTheme="minorHAnsi"/>
          <w:i w:val="0"/>
        </w:rPr>
      </w:pPr>
      <w:r w:rsidRPr="002F2828">
        <w:rPr>
          <w:rStyle w:val="Emphasis-Italics"/>
          <w:rFonts w:asciiTheme="minorHAnsi" w:hAnsiTheme="minorHAnsi"/>
          <w:i w:val="0"/>
        </w:rPr>
        <w:t>E</w:t>
      </w:r>
      <w:r w:rsidR="00594AAC" w:rsidRPr="002F2828">
        <w:rPr>
          <w:rStyle w:val="Emphasis-Italics"/>
          <w:rFonts w:asciiTheme="minorHAnsi" w:hAnsiTheme="minorHAnsi"/>
          <w:i w:val="0"/>
        </w:rPr>
        <w:t>mphasise knowledge of the performance and risks of assets and identify opportunities to improve performance and provide a sound ba</w:t>
      </w:r>
      <w:r w:rsidR="00B56941" w:rsidRPr="002F2828">
        <w:rPr>
          <w:rStyle w:val="Emphasis-Italics"/>
          <w:rFonts w:asciiTheme="minorHAnsi" w:hAnsiTheme="minorHAnsi"/>
          <w:i w:val="0"/>
        </w:rPr>
        <w:t>sis for ongoing risk assessment</w:t>
      </w:r>
      <w:r w:rsidR="00E911F8">
        <w:rPr>
          <w:rStyle w:val="Emphasis-Italics"/>
          <w:rFonts w:asciiTheme="minorHAnsi" w:hAnsiTheme="minorHAnsi"/>
          <w:i w:val="0"/>
        </w:rPr>
        <w:t>;</w:t>
      </w:r>
    </w:p>
    <w:p w:rsidR="00594AAC" w:rsidRPr="002F2828" w:rsidRDefault="003920F3" w:rsidP="00594AAC">
      <w:pPr>
        <w:pStyle w:val="Para2"/>
        <w:rPr>
          <w:rStyle w:val="Emphasis-Italics"/>
          <w:rFonts w:asciiTheme="minorHAnsi" w:hAnsiTheme="minorHAnsi"/>
          <w:i w:val="0"/>
        </w:rPr>
      </w:pPr>
      <w:r w:rsidRPr="002F2828">
        <w:rPr>
          <w:rStyle w:val="Emphasis-Italics"/>
          <w:rFonts w:asciiTheme="minorHAnsi" w:hAnsiTheme="minorHAnsi"/>
          <w:i w:val="0"/>
        </w:rPr>
        <w:t>C</w:t>
      </w:r>
      <w:r w:rsidR="00594AAC" w:rsidRPr="002F2828">
        <w:rPr>
          <w:rStyle w:val="Emphasis-Italics"/>
          <w:rFonts w:asciiTheme="minorHAnsi" w:hAnsiTheme="minorHAnsi"/>
          <w:i w:val="0"/>
        </w:rPr>
        <w:t>onsider the mechanics o</w:t>
      </w:r>
      <w:r w:rsidR="00B56941" w:rsidRPr="002F2828">
        <w:rPr>
          <w:rStyle w:val="Emphasis-Italics"/>
          <w:rFonts w:asciiTheme="minorHAnsi" w:hAnsiTheme="minorHAnsi"/>
          <w:i w:val="0"/>
        </w:rPr>
        <w:t xml:space="preserve">f delivery including </w:t>
      </w:r>
      <w:proofErr w:type="spellStart"/>
      <w:r w:rsidR="00B56941" w:rsidRPr="002F2828">
        <w:rPr>
          <w:rStyle w:val="Emphasis-Italics"/>
          <w:rFonts w:asciiTheme="minorHAnsi" w:hAnsiTheme="minorHAnsi"/>
          <w:i w:val="0"/>
        </w:rPr>
        <w:t>resourcing</w:t>
      </w:r>
      <w:proofErr w:type="spellEnd"/>
      <w:r w:rsidR="00E911F8">
        <w:rPr>
          <w:rStyle w:val="Emphasis-Italics"/>
          <w:rFonts w:asciiTheme="minorHAnsi" w:hAnsiTheme="minorHAnsi"/>
          <w:i w:val="0"/>
        </w:rPr>
        <w:t>;</w:t>
      </w:r>
    </w:p>
    <w:p w:rsidR="00594AAC" w:rsidRPr="00E911F8" w:rsidRDefault="003920F3" w:rsidP="00594AAC">
      <w:pPr>
        <w:pStyle w:val="Para2"/>
        <w:rPr>
          <w:rStyle w:val="Emphasis-Italics"/>
          <w:rFonts w:asciiTheme="minorHAnsi" w:hAnsiTheme="minorHAnsi"/>
          <w:i w:val="0"/>
        </w:rPr>
      </w:pPr>
      <w:r w:rsidRPr="002F2828">
        <w:rPr>
          <w:rStyle w:val="Emphasis-Italics"/>
          <w:rFonts w:asciiTheme="minorHAnsi" w:hAnsiTheme="minorHAnsi"/>
          <w:i w:val="0"/>
        </w:rPr>
        <w:t>C</w:t>
      </w:r>
      <w:r w:rsidR="00594AAC" w:rsidRPr="002F2828">
        <w:rPr>
          <w:rStyle w:val="Emphasis-Italics"/>
          <w:rFonts w:asciiTheme="minorHAnsi" w:hAnsiTheme="minorHAnsi"/>
          <w:i w:val="0"/>
        </w:rPr>
        <w:t xml:space="preserve">onsider the organisational structure and capability necessary to deliver the </w:t>
      </w:r>
      <w:r w:rsidRPr="002F2828">
        <w:rPr>
          <w:rStyle w:val="Emphasis-Italics"/>
          <w:rFonts w:asciiTheme="minorHAnsi" w:hAnsiTheme="minorHAnsi"/>
          <w:b/>
          <w:i w:val="0"/>
        </w:rPr>
        <w:t>AMP</w:t>
      </w:r>
      <w:r w:rsidR="00E911F8" w:rsidRPr="00E911F8">
        <w:rPr>
          <w:rStyle w:val="Emphasis-Italics"/>
          <w:rFonts w:asciiTheme="minorHAnsi" w:hAnsiTheme="minorHAnsi"/>
          <w:i w:val="0"/>
        </w:rPr>
        <w:t>;</w:t>
      </w:r>
    </w:p>
    <w:p w:rsidR="00594AAC" w:rsidRPr="002F2828" w:rsidRDefault="003920F3" w:rsidP="00594AAC">
      <w:pPr>
        <w:pStyle w:val="Para2"/>
        <w:rPr>
          <w:rStyle w:val="Emphasis-Italics"/>
          <w:rFonts w:asciiTheme="minorHAnsi" w:hAnsiTheme="minorHAnsi"/>
          <w:i w:val="0"/>
        </w:rPr>
      </w:pPr>
      <w:r w:rsidRPr="002F2828">
        <w:rPr>
          <w:rStyle w:val="Emphasis-Italics"/>
          <w:rFonts w:asciiTheme="minorHAnsi" w:hAnsiTheme="minorHAnsi"/>
          <w:i w:val="0"/>
        </w:rPr>
        <w:t>C</w:t>
      </w:r>
      <w:r w:rsidR="00594AAC" w:rsidRPr="002F2828">
        <w:rPr>
          <w:rStyle w:val="Emphasis-Italics"/>
          <w:rFonts w:asciiTheme="minorHAnsi" w:hAnsiTheme="minorHAnsi"/>
          <w:i w:val="0"/>
        </w:rPr>
        <w:t>onsider the organisational and contractor competencies and any training req</w:t>
      </w:r>
      <w:r w:rsidR="00B56941" w:rsidRPr="002F2828">
        <w:rPr>
          <w:rStyle w:val="Emphasis-Italics"/>
          <w:rFonts w:asciiTheme="minorHAnsi" w:hAnsiTheme="minorHAnsi"/>
          <w:i w:val="0"/>
        </w:rPr>
        <w:t>uirements</w:t>
      </w:r>
      <w:r w:rsidR="00E911F8">
        <w:rPr>
          <w:rStyle w:val="Emphasis-Italics"/>
          <w:rFonts w:asciiTheme="minorHAnsi" w:hAnsiTheme="minorHAnsi"/>
          <w:i w:val="0"/>
        </w:rPr>
        <w:t>;</w:t>
      </w:r>
    </w:p>
    <w:p w:rsidR="00594AAC" w:rsidRPr="002F2828" w:rsidRDefault="003920F3" w:rsidP="00594AAC">
      <w:pPr>
        <w:pStyle w:val="Para2"/>
        <w:rPr>
          <w:rStyle w:val="Emphasis-Italics"/>
          <w:rFonts w:asciiTheme="minorHAnsi" w:hAnsiTheme="minorHAnsi"/>
          <w:i w:val="0"/>
        </w:rPr>
      </w:pPr>
      <w:r w:rsidRPr="002F2828">
        <w:rPr>
          <w:rStyle w:val="Emphasis-Italics"/>
          <w:rFonts w:asciiTheme="minorHAnsi" w:hAnsiTheme="minorHAnsi"/>
          <w:i w:val="0"/>
        </w:rPr>
        <w:t>C</w:t>
      </w:r>
      <w:r w:rsidR="00594AAC" w:rsidRPr="002F2828">
        <w:rPr>
          <w:rStyle w:val="Emphasis-Italics"/>
          <w:rFonts w:asciiTheme="minorHAnsi" w:hAnsiTheme="minorHAnsi"/>
          <w:i w:val="0"/>
        </w:rPr>
        <w:t>onsider the systems, integration and information management</w:t>
      </w:r>
      <w:r w:rsidR="00B56941" w:rsidRPr="002F2828">
        <w:rPr>
          <w:rStyle w:val="Emphasis-Italics"/>
          <w:rFonts w:asciiTheme="minorHAnsi" w:hAnsiTheme="minorHAnsi"/>
          <w:i w:val="0"/>
        </w:rPr>
        <w:t xml:space="preserve"> necessary to deliver the plans</w:t>
      </w:r>
      <w:r w:rsidR="00E911F8">
        <w:rPr>
          <w:rStyle w:val="Emphasis-Italics"/>
          <w:rFonts w:asciiTheme="minorHAnsi" w:hAnsiTheme="minorHAnsi"/>
          <w:i w:val="0"/>
        </w:rPr>
        <w:t>;</w:t>
      </w:r>
    </w:p>
    <w:p w:rsidR="00594AAC" w:rsidRPr="002F2828" w:rsidRDefault="003920F3" w:rsidP="00594AAC">
      <w:pPr>
        <w:pStyle w:val="Para2"/>
        <w:rPr>
          <w:rStyle w:val="Emphasis-Italics"/>
          <w:rFonts w:asciiTheme="minorHAnsi" w:hAnsiTheme="minorHAnsi"/>
          <w:i w:val="0"/>
        </w:rPr>
      </w:pPr>
      <w:r w:rsidRPr="002F2828">
        <w:rPr>
          <w:rStyle w:val="Emphasis-Italics"/>
          <w:rFonts w:asciiTheme="minorHAnsi" w:hAnsiTheme="minorHAnsi"/>
          <w:i w:val="0"/>
        </w:rPr>
        <w:t>U</w:t>
      </w:r>
      <w:r w:rsidR="00594AAC" w:rsidRPr="002F2828">
        <w:rPr>
          <w:rStyle w:val="Emphasis-Italics"/>
          <w:rFonts w:asciiTheme="minorHAnsi" w:hAnsiTheme="minorHAnsi"/>
          <w:i w:val="0"/>
        </w:rPr>
        <w:t xml:space="preserve">se unambiguous and consistent definitions of asset management processes </w:t>
      </w:r>
      <w:r w:rsidR="00222031">
        <w:rPr>
          <w:rStyle w:val="Emphasis-Italics"/>
          <w:rFonts w:asciiTheme="minorHAnsi" w:hAnsiTheme="minorHAnsi"/>
          <w:i w:val="0"/>
        </w:rPr>
        <w:t xml:space="preserve">and terminology consistent with the terms used in this appendix </w:t>
      </w:r>
      <w:r w:rsidR="00594AAC" w:rsidRPr="002F2828">
        <w:rPr>
          <w:rStyle w:val="Emphasis-Italics"/>
          <w:rFonts w:asciiTheme="minorHAnsi" w:hAnsiTheme="minorHAnsi"/>
          <w:i w:val="0"/>
        </w:rPr>
        <w:t xml:space="preserve">to enhance comparability of asset management practices over time and between </w:t>
      </w:r>
      <w:proofErr w:type="spellStart"/>
      <w:r w:rsidR="005B0AF9" w:rsidRPr="002F2828">
        <w:rPr>
          <w:rStyle w:val="Emphasis-Italics"/>
          <w:rFonts w:asciiTheme="minorHAnsi" w:hAnsiTheme="minorHAnsi"/>
          <w:b/>
          <w:i w:val="0"/>
        </w:rPr>
        <w:t>GDB</w:t>
      </w:r>
      <w:r w:rsidR="005B0AF9" w:rsidRPr="002F2828">
        <w:rPr>
          <w:rStyle w:val="Emphasis-Italics"/>
          <w:rFonts w:asciiTheme="minorHAnsi" w:hAnsiTheme="minorHAnsi"/>
          <w:i w:val="0"/>
        </w:rPr>
        <w:t>s</w:t>
      </w:r>
      <w:proofErr w:type="spellEnd"/>
      <w:r w:rsidR="00E911F8" w:rsidRPr="00E911F8">
        <w:rPr>
          <w:rStyle w:val="Emphasis-Italics"/>
          <w:rFonts w:asciiTheme="minorHAnsi" w:hAnsiTheme="minorHAnsi"/>
          <w:i w:val="0"/>
        </w:rPr>
        <w:t>;</w:t>
      </w:r>
    </w:p>
    <w:p w:rsidR="00594AAC" w:rsidRPr="002F2828" w:rsidRDefault="003920F3" w:rsidP="00594AAC">
      <w:pPr>
        <w:pStyle w:val="Para2"/>
        <w:rPr>
          <w:rStyle w:val="Emphasis-Italics"/>
          <w:rFonts w:asciiTheme="minorHAnsi" w:hAnsiTheme="minorHAnsi"/>
          <w:i w:val="0"/>
        </w:rPr>
      </w:pPr>
      <w:r w:rsidRPr="002F2828">
        <w:rPr>
          <w:rStyle w:val="Emphasis-Italics"/>
          <w:rFonts w:asciiTheme="minorHAnsi" w:hAnsiTheme="minorHAnsi"/>
          <w:i w:val="0"/>
        </w:rPr>
        <w:t>P</w:t>
      </w:r>
      <w:r w:rsidR="00594AAC" w:rsidRPr="002F2828">
        <w:rPr>
          <w:rStyle w:val="Emphasis-Italics"/>
          <w:rFonts w:asciiTheme="minorHAnsi" w:hAnsiTheme="minorHAnsi"/>
          <w:i w:val="0"/>
        </w:rPr>
        <w:t>romote continual improvements to asset management practices.</w:t>
      </w:r>
    </w:p>
    <w:p w:rsidR="00594AAC" w:rsidRPr="002F2828" w:rsidRDefault="00594AAC" w:rsidP="00594AAC">
      <w:pPr>
        <w:pStyle w:val="UnnumberedL2"/>
        <w:ind w:left="709"/>
        <w:rPr>
          <w:rStyle w:val="Emphasis-Italics"/>
          <w:rFonts w:asciiTheme="minorHAnsi" w:hAnsiTheme="minorHAnsi"/>
          <w:i w:val="0"/>
        </w:rPr>
      </w:pPr>
      <w:r w:rsidRPr="002F2828">
        <w:rPr>
          <w:rStyle w:val="Emphasis-Italics"/>
          <w:rFonts w:asciiTheme="minorHAnsi" w:hAnsiTheme="minorHAnsi"/>
        </w:rPr>
        <w:t xml:space="preserve">Disclosing an </w:t>
      </w:r>
      <w:r w:rsidRPr="002F2828">
        <w:rPr>
          <w:rStyle w:val="Emphasis-Italics"/>
          <w:rFonts w:asciiTheme="minorHAnsi" w:hAnsiTheme="minorHAnsi"/>
          <w:b/>
        </w:rPr>
        <w:t>AMP</w:t>
      </w:r>
      <w:r w:rsidRPr="002F2828">
        <w:rPr>
          <w:rStyle w:val="Emphasis-Italics"/>
          <w:rFonts w:asciiTheme="minorHAnsi" w:hAnsiTheme="minorHAnsi"/>
        </w:rPr>
        <w:t xml:space="preserve"> does not constrain a </w:t>
      </w:r>
      <w:r w:rsidR="008E15E2" w:rsidRPr="002F2828">
        <w:rPr>
          <w:rStyle w:val="Emphasis-Italics"/>
          <w:rFonts w:asciiTheme="minorHAnsi" w:hAnsiTheme="minorHAnsi"/>
          <w:b/>
        </w:rPr>
        <w:t>GDB</w:t>
      </w:r>
      <w:r w:rsidRPr="002F2828">
        <w:rPr>
          <w:rStyle w:val="Emphasis-Italics"/>
          <w:rFonts w:asciiTheme="minorHAnsi" w:hAnsiTheme="minorHAnsi"/>
        </w:rPr>
        <w:t xml:space="preserve"> from managing </w:t>
      </w:r>
      <w:r w:rsidR="003920F3" w:rsidRPr="002F2828">
        <w:rPr>
          <w:rStyle w:val="Emphasis-Italics"/>
          <w:rFonts w:asciiTheme="minorHAnsi" w:hAnsiTheme="minorHAnsi"/>
        </w:rPr>
        <w:t xml:space="preserve">its </w:t>
      </w:r>
      <w:r w:rsidRPr="002F2828">
        <w:rPr>
          <w:rStyle w:val="Emphasis-Italics"/>
          <w:rFonts w:asciiTheme="minorHAnsi" w:hAnsiTheme="minorHAnsi"/>
        </w:rPr>
        <w:t xml:space="preserve">assets in a way that differs from the </w:t>
      </w:r>
      <w:r w:rsidRPr="002F2828">
        <w:rPr>
          <w:rStyle w:val="Emphasis-Italics"/>
          <w:rFonts w:asciiTheme="minorHAnsi" w:hAnsiTheme="minorHAnsi"/>
          <w:b/>
        </w:rPr>
        <w:t>AMP</w:t>
      </w:r>
      <w:r w:rsidRPr="002F2828">
        <w:rPr>
          <w:rStyle w:val="Emphasis-Italics"/>
          <w:rFonts w:asciiTheme="minorHAnsi" w:hAnsiTheme="minorHAnsi"/>
        </w:rPr>
        <w:t xml:space="preserve"> if </w:t>
      </w:r>
      <w:r w:rsidR="00E911F8">
        <w:rPr>
          <w:rStyle w:val="Emphasis-Italics"/>
          <w:rFonts w:asciiTheme="minorHAnsi" w:hAnsiTheme="minorHAnsi"/>
        </w:rPr>
        <w:t xml:space="preserve">its </w:t>
      </w:r>
      <w:r w:rsidRPr="002F2828">
        <w:rPr>
          <w:rStyle w:val="Emphasis-Italics"/>
          <w:rFonts w:asciiTheme="minorHAnsi" w:hAnsiTheme="minorHAnsi"/>
        </w:rPr>
        <w:t xml:space="preserve">circumstances change after preparing the plan or if the </w:t>
      </w:r>
      <w:r w:rsidR="008E15E2" w:rsidRPr="002F2828">
        <w:rPr>
          <w:rStyle w:val="Emphasis-Italics"/>
          <w:rFonts w:asciiTheme="minorHAnsi" w:hAnsiTheme="minorHAnsi"/>
          <w:b/>
        </w:rPr>
        <w:t>GDB</w:t>
      </w:r>
      <w:r w:rsidRPr="002F2828">
        <w:rPr>
          <w:rStyle w:val="Emphasis-Italics"/>
          <w:rFonts w:asciiTheme="minorHAnsi" w:hAnsiTheme="minorHAnsi"/>
        </w:rPr>
        <w:t xml:space="preserve"> adopts improved asset management practices.</w:t>
      </w:r>
    </w:p>
    <w:p w:rsidR="00F56F86" w:rsidRDefault="005D0135">
      <w:pPr>
        <w:pStyle w:val="Heading2"/>
      </w:pPr>
      <w:bookmarkStart w:id="206" w:name="_Toc311198535"/>
      <w:r w:rsidRPr="006345F6">
        <w:t>Contents of the AMP</w:t>
      </w:r>
      <w:bookmarkEnd w:id="206"/>
    </w:p>
    <w:p w:rsidR="00594AAC" w:rsidRPr="002F2828" w:rsidRDefault="00594AAC" w:rsidP="00594AAC">
      <w:pPr>
        <w:pStyle w:val="Para1"/>
        <w:rPr>
          <w:rFonts w:asciiTheme="minorHAnsi" w:hAnsiTheme="minorHAnsi"/>
        </w:rPr>
      </w:pPr>
      <w:bookmarkStart w:id="207" w:name="_Toc307315457"/>
      <w:r w:rsidRPr="002F2828">
        <w:rPr>
          <w:rFonts w:asciiTheme="minorHAnsi" w:hAnsiTheme="minorHAnsi"/>
        </w:rPr>
        <w:t xml:space="preserve">The </w:t>
      </w:r>
      <w:r w:rsidRPr="002F2828">
        <w:rPr>
          <w:rFonts w:asciiTheme="minorHAnsi" w:hAnsiTheme="minorHAnsi"/>
          <w:b/>
        </w:rPr>
        <w:t>AMP</w:t>
      </w:r>
      <w:r w:rsidRPr="002F2828">
        <w:rPr>
          <w:rFonts w:asciiTheme="minorHAnsi" w:hAnsiTheme="minorHAnsi"/>
        </w:rPr>
        <w:t xml:space="preserve"> must include the following:</w:t>
      </w:r>
    </w:p>
    <w:p w:rsidR="00594AAC" w:rsidRPr="002F2828" w:rsidRDefault="003920F3" w:rsidP="00594AAC">
      <w:pPr>
        <w:pStyle w:val="Para2"/>
        <w:rPr>
          <w:rFonts w:asciiTheme="minorHAnsi" w:hAnsiTheme="minorHAnsi"/>
        </w:rPr>
      </w:pPr>
      <w:r w:rsidRPr="002F2828">
        <w:rPr>
          <w:rFonts w:asciiTheme="minorHAnsi" w:hAnsiTheme="minorHAnsi"/>
        </w:rPr>
        <w:t>A</w:t>
      </w:r>
      <w:r w:rsidR="00594AAC" w:rsidRPr="002F2828">
        <w:rPr>
          <w:rFonts w:asciiTheme="minorHAnsi" w:hAnsiTheme="minorHAnsi"/>
        </w:rPr>
        <w:t xml:space="preserve"> summary that provides a brief overview of the contents and highlights information that the </w:t>
      </w:r>
      <w:r w:rsidR="00460F21" w:rsidRPr="002F2828">
        <w:rPr>
          <w:rFonts w:asciiTheme="minorHAnsi" w:hAnsiTheme="minorHAnsi"/>
          <w:b/>
        </w:rPr>
        <w:t>GDB</w:t>
      </w:r>
      <w:r w:rsidR="00594AAC" w:rsidRPr="002F2828">
        <w:rPr>
          <w:rFonts w:asciiTheme="minorHAnsi" w:hAnsiTheme="minorHAnsi"/>
        </w:rPr>
        <w:t xml:space="preserve"> considers significant</w:t>
      </w:r>
      <w:bookmarkEnd w:id="207"/>
    </w:p>
    <w:p w:rsidR="00594AAC" w:rsidRPr="002F2828" w:rsidRDefault="003920F3" w:rsidP="00594AAC">
      <w:pPr>
        <w:pStyle w:val="Para2"/>
        <w:rPr>
          <w:rFonts w:asciiTheme="minorHAnsi" w:hAnsiTheme="minorHAnsi"/>
        </w:rPr>
      </w:pPr>
      <w:bookmarkStart w:id="208" w:name="_Toc307315458"/>
      <w:r w:rsidRPr="002F2828">
        <w:rPr>
          <w:rFonts w:asciiTheme="minorHAnsi" w:hAnsiTheme="minorHAnsi"/>
        </w:rPr>
        <w:t>D</w:t>
      </w:r>
      <w:r w:rsidR="00594AAC" w:rsidRPr="002F2828">
        <w:rPr>
          <w:rFonts w:asciiTheme="minorHAnsi" w:hAnsiTheme="minorHAnsi"/>
        </w:rPr>
        <w:t xml:space="preserve">etails of the background and objectives of the </w:t>
      </w:r>
      <w:proofErr w:type="spellStart"/>
      <w:r w:rsidR="00460F21" w:rsidRPr="002F2828">
        <w:rPr>
          <w:rFonts w:asciiTheme="minorHAnsi" w:hAnsiTheme="minorHAnsi"/>
          <w:b/>
        </w:rPr>
        <w:t>GDB</w:t>
      </w:r>
      <w:r w:rsidR="00594AAC" w:rsidRPr="002F2828">
        <w:rPr>
          <w:rFonts w:asciiTheme="minorHAnsi" w:hAnsiTheme="minorHAnsi"/>
        </w:rPr>
        <w:t>’s</w:t>
      </w:r>
      <w:proofErr w:type="spellEnd"/>
      <w:r w:rsidR="00594AAC" w:rsidRPr="002F2828">
        <w:rPr>
          <w:rFonts w:asciiTheme="minorHAnsi" w:hAnsiTheme="minorHAnsi"/>
        </w:rPr>
        <w:t xml:space="preserve"> asset management and planning processes</w:t>
      </w:r>
      <w:bookmarkEnd w:id="208"/>
    </w:p>
    <w:p w:rsidR="00594AAC" w:rsidRPr="002F2828" w:rsidRDefault="00E911F8" w:rsidP="00594AAC">
      <w:pPr>
        <w:pStyle w:val="Para2"/>
        <w:rPr>
          <w:rFonts w:asciiTheme="minorHAnsi" w:hAnsiTheme="minorHAnsi"/>
        </w:rPr>
      </w:pPr>
      <w:r>
        <w:rPr>
          <w:rFonts w:asciiTheme="minorHAnsi" w:hAnsiTheme="minorHAnsi"/>
        </w:rPr>
        <w:t>A</w:t>
      </w:r>
      <w:r w:rsidRPr="002F2828">
        <w:rPr>
          <w:rFonts w:asciiTheme="minorHAnsi" w:hAnsiTheme="minorHAnsi"/>
        </w:rPr>
        <w:t xml:space="preserve"> </w:t>
      </w:r>
      <w:r w:rsidR="00B56941" w:rsidRPr="002F2828">
        <w:rPr>
          <w:rFonts w:asciiTheme="minorHAnsi" w:hAnsiTheme="minorHAnsi"/>
        </w:rPr>
        <w:t xml:space="preserve">purpose statement </w:t>
      </w:r>
      <w:r>
        <w:rPr>
          <w:rFonts w:asciiTheme="minorHAnsi" w:hAnsiTheme="minorHAnsi"/>
        </w:rPr>
        <w:t>which</w:t>
      </w:r>
      <w:r w:rsidR="00B56941" w:rsidRPr="002F2828">
        <w:rPr>
          <w:rFonts w:asciiTheme="minorHAnsi" w:hAnsiTheme="minorHAnsi"/>
        </w:rPr>
        <w:t>:</w:t>
      </w:r>
    </w:p>
    <w:p w:rsidR="00594AAC" w:rsidRPr="002F2828" w:rsidRDefault="00B56941" w:rsidP="00594AAC">
      <w:pPr>
        <w:pStyle w:val="Para3"/>
        <w:rPr>
          <w:rFonts w:asciiTheme="minorHAnsi" w:hAnsiTheme="minorHAnsi"/>
        </w:rPr>
      </w:pPr>
      <w:proofErr w:type="gramStart"/>
      <w:r w:rsidRPr="002F2828">
        <w:rPr>
          <w:rFonts w:asciiTheme="minorHAnsi" w:hAnsiTheme="minorHAnsi"/>
        </w:rPr>
        <w:t>make</w:t>
      </w:r>
      <w:r w:rsidR="00E911F8">
        <w:rPr>
          <w:rFonts w:asciiTheme="minorHAnsi" w:hAnsiTheme="minorHAnsi"/>
        </w:rPr>
        <w:t>s</w:t>
      </w:r>
      <w:proofErr w:type="gramEnd"/>
      <w:r w:rsidR="00594AAC" w:rsidRPr="002F2828">
        <w:rPr>
          <w:rFonts w:asciiTheme="minorHAnsi" w:hAnsiTheme="minorHAnsi"/>
        </w:rPr>
        <w:t xml:space="preserve"> clear the purpose and status of the </w:t>
      </w:r>
      <w:r w:rsidR="00594AAC" w:rsidRPr="002F2828">
        <w:rPr>
          <w:rFonts w:asciiTheme="minorHAnsi" w:hAnsiTheme="minorHAnsi"/>
          <w:b/>
        </w:rPr>
        <w:t>AMP</w:t>
      </w:r>
      <w:r w:rsidR="00594AAC" w:rsidRPr="002F2828">
        <w:rPr>
          <w:rFonts w:asciiTheme="minorHAnsi" w:hAnsiTheme="minorHAnsi"/>
        </w:rPr>
        <w:t xml:space="preserve"> in the </w:t>
      </w:r>
      <w:proofErr w:type="spellStart"/>
      <w:r w:rsidR="00460F21" w:rsidRPr="002F2828">
        <w:rPr>
          <w:rFonts w:asciiTheme="minorHAnsi" w:hAnsiTheme="minorHAnsi"/>
          <w:b/>
        </w:rPr>
        <w:t>GDB</w:t>
      </w:r>
      <w:r w:rsidR="00594AAC" w:rsidRPr="002F2828">
        <w:rPr>
          <w:rFonts w:asciiTheme="minorHAnsi" w:hAnsiTheme="minorHAnsi"/>
        </w:rPr>
        <w:t>’s</w:t>
      </w:r>
      <w:proofErr w:type="spellEnd"/>
      <w:r w:rsidR="00594AAC" w:rsidRPr="002F2828">
        <w:rPr>
          <w:rFonts w:asciiTheme="minorHAnsi" w:hAnsiTheme="minorHAnsi"/>
        </w:rPr>
        <w:t xml:space="preserve"> asset management practices. The purpose statement must also include a statement of the objectives of the asset management an</w:t>
      </w:r>
      <w:r w:rsidRPr="002F2828">
        <w:rPr>
          <w:rFonts w:asciiTheme="minorHAnsi" w:hAnsiTheme="minorHAnsi"/>
        </w:rPr>
        <w:t>d planning processes</w:t>
      </w:r>
    </w:p>
    <w:p w:rsidR="00594AAC" w:rsidRPr="002F2828" w:rsidRDefault="00B56941" w:rsidP="00594AAC">
      <w:pPr>
        <w:pStyle w:val="Para3"/>
        <w:rPr>
          <w:rFonts w:asciiTheme="minorHAnsi" w:hAnsiTheme="minorHAnsi"/>
        </w:rPr>
      </w:pPr>
      <w:r w:rsidRPr="002F2828">
        <w:rPr>
          <w:rFonts w:asciiTheme="minorHAnsi" w:hAnsiTheme="minorHAnsi"/>
        </w:rPr>
        <w:t>state</w:t>
      </w:r>
      <w:r w:rsidR="00E911F8">
        <w:rPr>
          <w:rFonts w:asciiTheme="minorHAnsi" w:hAnsiTheme="minorHAnsi"/>
        </w:rPr>
        <w:t>s</w:t>
      </w:r>
      <w:r w:rsidR="00594AAC" w:rsidRPr="002F2828">
        <w:rPr>
          <w:rFonts w:asciiTheme="minorHAnsi" w:hAnsiTheme="minorHAnsi"/>
        </w:rPr>
        <w:t xml:space="preserve"> the corporate mission or vision as</w:t>
      </w:r>
      <w:r w:rsidRPr="002F2828">
        <w:rPr>
          <w:rFonts w:asciiTheme="minorHAnsi" w:hAnsiTheme="minorHAnsi"/>
        </w:rPr>
        <w:t xml:space="preserve"> it relates to asset management</w:t>
      </w:r>
    </w:p>
    <w:p w:rsidR="00594AAC" w:rsidRPr="002F2828" w:rsidRDefault="00E911F8" w:rsidP="00594AAC">
      <w:pPr>
        <w:pStyle w:val="Para3"/>
        <w:rPr>
          <w:rFonts w:asciiTheme="minorHAnsi" w:hAnsiTheme="minorHAnsi"/>
        </w:rPr>
      </w:pPr>
      <w:r w:rsidRPr="002F2828">
        <w:rPr>
          <w:rFonts w:asciiTheme="minorHAnsi" w:hAnsiTheme="minorHAnsi"/>
        </w:rPr>
        <w:t>identif</w:t>
      </w:r>
      <w:r>
        <w:rPr>
          <w:rFonts w:asciiTheme="minorHAnsi" w:hAnsiTheme="minorHAnsi"/>
        </w:rPr>
        <w:t>ies</w:t>
      </w:r>
      <w:r w:rsidRPr="002F2828">
        <w:rPr>
          <w:rFonts w:asciiTheme="minorHAnsi" w:hAnsiTheme="minorHAnsi"/>
        </w:rPr>
        <w:t xml:space="preserve"> </w:t>
      </w:r>
      <w:r w:rsidR="00594AAC" w:rsidRPr="002F2828">
        <w:rPr>
          <w:rFonts w:asciiTheme="minorHAnsi" w:hAnsiTheme="minorHAnsi"/>
        </w:rPr>
        <w:t xml:space="preserve">the documented plans produced as outputs of the annual business planning process adopted by the </w:t>
      </w:r>
      <w:r w:rsidR="00460F21" w:rsidRPr="002F2828">
        <w:rPr>
          <w:rFonts w:asciiTheme="minorHAnsi" w:hAnsiTheme="minorHAnsi"/>
          <w:b/>
        </w:rPr>
        <w:t>GDB</w:t>
      </w:r>
    </w:p>
    <w:p w:rsidR="00594AAC" w:rsidRPr="002F2828" w:rsidRDefault="00B56941" w:rsidP="00594AAC">
      <w:pPr>
        <w:pStyle w:val="Para3"/>
        <w:rPr>
          <w:rFonts w:asciiTheme="minorHAnsi" w:hAnsiTheme="minorHAnsi"/>
        </w:rPr>
      </w:pPr>
      <w:r w:rsidRPr="002F2828">
        <w:rPr>
          <w:rFonts w:asciiTheme="minorHAnsi" w:hAnsiTheme="minorHAnsi"/>
        </w:rPr>
        <w:t>state</w:t>
      </w:r>
      <w:r w:rsidR="00E911F8">
        <w:rPr>
          <w:rFonts w:asciiTheme="minorHAnsi" w:hAnsiTheme="minorHAnsi"/>
        </w:rPr>
        <w:t>s</w:t>
      </w:r>
      <w:r w:rsidR="00594AAC" w:rsidRPr="002F2828">
        <w:rPr>
          <w:rFonts w:asciiTheme="minorHAnsi" w:hAnsiTheme="minorHAnsi"/>
        </w:rPr>
        <w:t xml:space="preserve"> how the different documented plans relate to one another, with particular reference to any plans specificall</w:t>
      </w:r>
      <w:r w:rsidRPr="002F2828">
        <w:rPr>
          <w:rFonts w:asciiTheme="minorHAnsi" w:hAnsiTheme="minorHAnsi"/>
        </w:rPr>
        <w:t>y dealing with asset management</w:t>
      </w:r>
    </w:p>
    <w:p w:rsidR="00594AAC" w:rsidRPr="002F2828" w:rsidRDefault="00B56941" w:rsidP="00594AAC">
      <w:pPr>
        <w:pStyle w:val="Para3"/>
        <w:rPr>
          <w:rFonts w:asciiTheme="minorHAnsi" w:hAnsiTheme="minorHAnsi"/>
        </w:rPr>
      </w:pPr>
      <w:proofErr w:type="gramStart"/>
      <w:r w:rsidRPr="002F2828">
        <w:rPr>
          <w:rFonts w:asciiTheme="minorHAnsi" w:hAnsiTheme="minorHAnsi"/>
        </w:rPr>
        <w:t>include</w:t>
      </w:r>
      <w:r w:rsidR="00E911F8">
        <w:rPr>
          <w:rFonts w:asciiTheme="minorHAnsi" w:hAnsiTheme="minorHAnsi"/>
        </w:rPr>
        <w:t>s</w:t>
      </w:r>
      <w:proofErr w:type="gramEnd"/>
      <w:r w:rsidR="00594AAC" w:rsidRPr="002F2828">
        <w:rPr>
          <w:rFonts w:asciiTheme="minorHAnsi" w:hAnsiTheme="minorHAnsi"/>
        </w:rPr>
        <w:t xml:space="preserve"> a description of the interaction between the objectives of the </w:t>
      </w:r>
      <w:r w:rsidR="00594AAC" w:rsidRPr="002F2828">
        <w:rPr>
          <w:rFonts w:asciiTheme="minorHAnsi" w:hAnsiTheme="minorHAnsi"/>
          <w:b/>
        </w:rPr>
        <w:t xml:space="preserve">AMP </w:t>
      </w:r>
      <w:r w:rsidR="00594AAC" w:rsidRPr="002F2828">
        <w:rPr>
          <w:rFonts w:asciiTheme="minorHAnsi" w:hAnsiTheme="minorHAnsi"/>
        </w:rPr>
        <w:t>and other corporate goals, busines</w:t>
      </w:r>
      <w:r w:rsidRPr="002F2828">
        <w:rPr>
          <w:rFonts w:asciiTheme="minorHAnsi" w:hAnsiTheme="minorHAnsi"/>
        </w:rPr>
        <w:t>s planning processes and plans.</w:t>
      </w:r>
    </w:p>
    <w:p w:rsidR="00594AAC" w:rsidRPr="002F2828" w:rsidRDefault="00594AAC" w:rsidP="00594AAC">
      <w:pPr>
        <w:pStyle w:val="UnnumberedL3"/>
        <w:ind w:left="2127"/>
        <w:rPr>
          <w:rStyle w:val="Emphasis-Italics"/>
          <w:rFonts w:asciiTheme="minorHAnsi" w:hAnsiTheme="minorHAnsi"/>
        </w:rPr>
      </w:pPr>
      <w:r w:rsidRPr="002F2828">
        <w:rPr>
          <w:rStyle w:val="Emphasis-Italics"/>
          <w:rFonts w:asciiTheme="minorHAnsi" w:hAnsiTheme="minorHAnsi"/>
        </w:rPr>
        <w:t xml:space="preserve">The purpose statement should be consistent with the </w:t>
      </w:r>
      <w:proofErr w:type="spellStart"/>
      <w:r w:rsidR="008E15E2" w:rsidRPr="002F2828">
        <w:rPr>
          <w:rStyle w:val="Emphasis-Italics"/>
          <w:rFonts w:asciiTheme="minorHAnsi" w:hAnsiTheme="minorHAnsi"/>
          <w:b/>
        </w:rPr>
        <w:t>GDB</w:t>
      </w:r>
      <w:r w:rsidRPr="002F2828">
        <w:rPr>
          <w:rStyle w:val="Emphasis-Italics"/>
          <w:rFonts w:asciiTheme="minorHAnsi" w:hAnsiTheme="minorHAnsi"/>
        </w:rPr>
        <w:t>’s</w:t>
      </w:r>
      <w:proofErr w:type="spellEnd"/>
      <w:r w:rsidRPr="002F2828">
        <w:rPr>
          <w:rStyle w:val="Emphasis-Italics"/>
          <w:rFonts w:asciiTheme="minorHAnsi" w:hAnsiTheme="minorHAnsi"/>
        </w:rPr>
        <w:t xml:space="preserve"> vision and mission statements, and show a clear recognition of stakeholder interest.</w:t>
      </w:r>
    </w:p>
    <w:p w:rsidR="00594AAC" w:rsidRPr="002F2828" w:rsidRDefault="003920F3" w:rsidP="00594AAC">
      <w:pPr>
        <w:pStyle w:val="Para2"/>
        <w:rPr>
          <w:rFonts w:asciiTheme="minorHAnsi" w:hAnsiTheme="minorHAnsi"/>
        </w:rPr>
      </w:pPr>
      <w:bookmarkStart w:id="209" w:name="_Ref310523393"/>
      <w:bookmarkStart w:id="210" w:name="_Ref329164450"/>
      <w:r w:rsidRPr="002F2828">
        <w:rPr>
          <w:rFonts w:asciiTheme="minorHAnsi" w:hAnsiTheme="minorHAnsi"/>
        </w:rPr>
        <w:t>D</w:t>
      </w:r>
      <w:r w:rsidR="00594AAC" w:rsidRPr="002F2828">
        <w:rPr>
          <w:rFonts w:asciiTheme="minorHAnsi" w:hAnsiTheme="minorHAnsi"/>
        </w:rPr>
        <w:t xml:space="preserve">etails of the </w:t>
      </w:r>
      <w:r w:rsidR="00594AAC" w:rsidRPr="002F2828">
        <w:rPr>
          <w:rFonts w:asciiTheme="minorHAnsi" w:hAnsiTheme="minorHAnsi"/>
          <w:b/>
        </w:rPr>
        <w:t>AMP planning period</w:t>
      </w:r>
      <w:r w:rsidR="00594AAC" w:rsidRPr="002F2828">
        <w:rPr>
          <w:rFonts w:asciiTheme="minorHAnsi" w:hAnsiTheme="minorHAnsi"/>
        </w:rPr>
        <w:t xml:space="preserve">, which </w:t>
      </w:r>
      <w:bookmarkStart w:id="211" w:name="_Ref310845231"/>
      <w:bookmarkEnd w:id="209"/>
      <w:r w:rsidR="00594AAC" w:rsidRPr="002F2828">
        <w:rPr>
          <w:rFonts w:asciiTheme="minorHAnsi" w:hAnsiTheme="minorHAnsi"/>
        </w:rPr>
        <w:t xml:space="preserve">must cover at least a projected </w:t>
      </w:r>
      <w:r w:rsidR="008E15E2" w:rsidRPr="002F2828">
        <w:rPr>
          <w:rFonts w:asciiTheme="minorHAnsi" w:hAnsiTheme="minorHAnsi"/>
        </w:rPr>
        <w:t>period of 10</w:t>
      </w:r>
      <w:r w:rsidR="00594AAC" w:rsidRPr="002F2828">
        <w:rPr>
          <w:rFonts w:asciiTheme="minorHAnsi" w:hAnsiTheme="minorHAnsi"/>
        </w:rPr>
        <w:t xml:space="preserve"> year</w:t>
      </w:r>
      <w:r w:rsidR="008E15E2" w:rsidRPr="002F2828">
        <w:rPr>
          <w:rFonts w:asciiTheme="minorHAnsi" w:hAnsiTheme="minorHAnsi"/>
        </w:rPr>
        <w:t>s</w:t>
      </w:r>
      <w:r w:rsidR="00594AAC" w:rsidRPr="002F2828">
        <w:rPr>
          <w:rFonts w:asciiTheme="minorHAnsi" w:hAnsiTheme="minorHAnsi"/>
        </w:rPr>
        <w:t xml:space="preserve"> commencing with the </w:t>
      </w:r>
      <w:r w:rsidR="00594AAC" w:rsidRPr="002F2828">
        <w:rPr>
          <w:rFonts w:asciiTheme="minorHAnsi" w:hAnsiTheme="minorHAnsi"/>
          <w:b/>
        </w:rPr>
        <w:t>disclosure year</w:t>
      </w:r>
      <w:r w:rsidR="00594AAC" w:rsidRPr="002F2828">
        <w:rPr>
          <w:rFonts w:asciiTheme="minorHAnsi" w:hAnsiTheme="minorHAnsi"/>
        </w:rPr>
        <w:t xml:space="preserve"> following the date on which the </w:t>
      </w:r>
      <w:r w:rsidR="00594AAC" w:rsidRPr="002F2828">
        <w:rPr>
          <w:rFonts w:asciiTheme="minorHAnsi" w:hAnsiTheme="minorHAnsi"/>
          <w:b/>
        </w:rPr>
        <w:t xml:space="preserve">AMP </w:t>
      </w:r>
      <w:r w:rsidR="00594AAC" w:rsidRPr="002F2828">
        <w:rPr>
          <w:rFonts w:asciiTheme="minorHAnsi" w:hAnsiTheme="minorHAnsi"/>
        </w:rPr>
        <w:t>is disclosed</w:t>
      </w:r>
      <w:bookmarkEnd w:id="210"/>
      <w:bookmarkEnd w:id="211"/>
    </w:p>
    <w:p w:rsidR="00594AAC" w:rsidRPr="002F2828" w:rsidRDefault="00594AAC" w:rsidP="00594AAC">
      <w:pPr>
        <w:pStyle w:val="UnnumberedL3"/>
        <w:ind w:left="1418"/>
        <w:rPr>
          <w:rStyle w:val="Emphasis-Italics"/>
          <w:rFonts w:asciiTheme="minorHAnsi" w:hAnsiTheme="minorHAnsi"/>
        </w:rPr>
      </w:pPr>
      <w:r w:rsidRPr="002F2828">
        <w:rPr>
          <w:rStyle w:val="Emphasis-Italics"/>
          <w:rFonts w:asciiTheme="minorHAnsi" w:hAnsiTheme="minorHAnsi"/>
        </w:rPr>
        <w:t xml:space="preserve">Good asset management practice recognises the greater accuracy of short-to-medium term planning, and will allow for this in the </w:t>
      </w:r>
      <w:r w:rsidRPr="002F2828">
        <w:rPr>
          <w:rStyle w:val="Emphasis-Italics"/>
          <w:rFonts w:asciiTheme="minorHAnsi" w:hAnsiTheme="minorHAnsi"/>
          <w:b/>
        </w:rPr>
        <w:t>AMP</w:t>
      </w:r>
      <w:r w:rsidR="0099003F">
        <w:rPr>
          <w:rStyle w:val="Emphasis-Italics"/>
          <w:rFonts w:asciiTheme="minorHAnsi" w:hAnsiTheme="minorHAnsi"/>
        </w:rPr>
        <w:t xml:space="preserve">. </w:t>
      </w:r>
      <w:r w:rsidRPr="002F2828">
        <w:rPr>
          <w:rStyle w:val="Emphasis-Italics"/>
          <w:rFonts w:asciiTheme="minorHAnsi" w:hAnsiTheme="minorHAnsi"/>
        </w:rPr>
        <w:t xml:space="preserve">The </w:t>
      </w:r>
      <w:proofErr w:type="spellStart"/>
      <w:r w:rsidRPr="002F2828">
        <w:rPr>
          <w:rStyle w:val="Emphasis-Italics"/>
          <w:rFonts w:asciiTheme="minorHAnsi" w:hAnsiTheme="minorHAnsi"/>
          <w:b/>
        </w:rPr>
        <w:t>AMP</w:t>
      </w:r>
      <w:r w:rsidRPr="002F2828">
        <w:rPr>
          <w:rStyle w:val="Emphasis-Italics"/>
          <w:rFonts w:asciiTheme="minorHAnsi" w:hAnsiTheme="minorHAnsi"/>
        </w:rPr>
        <w:t>s</w:t>
      </w:r>
      <w:proofErr w:type="spellEnd"/>
      <w:r w:rsidRPr="002F2828">
        <w:rPr>
          <w:rStyle w:val="Emphasis-Italics"/>
          <w:rFonts w:asciiTheme="minorHAnsi" w:hAnsiTheme="minorHAnsi"/>
        </w:rPr>
        <w:t xml:space="preserve"> for the second </w:t>
      </w:r>
      <w:r w:rsidR="008E15E2" w:rsidRPr="002F2828">
        <w:rPr>
          <w:rStyle w:val="Emphasis-Italics"/>
          <w:rFonts w:asciiTheme="minorHAnsi" w:hAnsiTheme="minorHAnsi"/>
        </w:rPr>
        <w:t>5</w:t>
      </w:r>
      <w:r w:rsidRPr="002F2828">
        <w:rPr>
          <w:rStyle w:val="Emphasis-Italics"/>
          <w:rFonts w:asciiTheme="minorHAnsi" w:hAnsiTheme="minorHAnsi"/>
        </w:rPr>
        <w:t xml:space="preserve"> years of the </w:t>
      </w:r>
      <w:r w:rsidR="008E15E2" w:rsidRPr="002F2828">
        <w:rPr>
          <w:rStyle w:val="Emphasis-Italics"/>
          <w:rFonts w:asciiTheme="minorHAnsi" w:hAnsiTheme="minorHAnsi"/>
          <w:b/>
        </w:rPr>
        <w:t>AMP</w:t>
      </w:r>
      <w:r w:rsidRPr="002F2828">
        <w:rPr>
          <w:rStyle w:val="Emphasis-Italics"/>
          <w:rFonts w:asciiTheme="minorHAnsi" w:hAnsiTheme="minorHAnsi"/>
          <w:b/>
        </w:rPr>
        <w:t xml:space="preserve"> planning period</w:t>
      </w:r>
      <w:r w:rsidRPr="002F2828">
        <w:rPr>
          <w:rStyle w:val="Emphasis-Italics"/>
          <w:rFonts w:asciiTheme="minorHAnsi" w:hAnsiTheme="minorHAnsi"/>
        </w:rPr>
        <w:t xml:space="preserve"> need not be presented in the same detail as the first </w:t>
      </w:r>
      <w:r w:rsidR="008E15E2" w:rsidRPr="002F2828">
        <w:rPr>
          <w:rStyle w:val="Emphasis-Italics"/>
          <w:rFonts w:asciiTheme="minorHAnsi" w:hAnsiTheme="minorHAnsi"/>
        </w:rPr>
        <w:t>5</w:t>
      </w:r>
      <w:r w:rsidRPr="002F2828">
        <w:rPr>
          <w:rStyle w:val="Emphasis-Italics"/>
          <w:rFonts w:asciiTheme="minorHAnsi" w:hAnsiTheme="minorHAnsi"/>
        </w:rPr>
        <w:t xml:space="preserve"> years.</w:t>
      </w:r>
    </w:p>
    <w:p w:rsidR="00594AAC" w:rsidRPr="002F2828" w:rsidRDefault="003920F3" w:rsidP="00594AAC">
      <w:pPr>
        <w:pStyle w:val="Para2"/>
        <w:rPr>
          <w:rFonts w:asciiTheme="minorHAnsi" w:hAnsiTheme="minorHAnsi"/>
        </w:rPr>
      </w:pPr>
      <w:r w:rsidRPr="002F2828">
        <w:rPr>
          <w:rFonts w:asciiTheme="minorHAnsi" w:hAnsiTheme="minorHAnsi"/>
        </w:rPr>
        <w:t>T</w:t>
      </w:r>
      <w:r w:rsidR="00594AAC" w:rsidRPr="002F2828">
        <w:rPr>
          <w:rFonts w:asciiTheme="minorHAnsi" w:hAnsiTheme="minorHAnsi"/>
        </w:rPr>
        <w:t xml:space="preserve">he date that it was approved by the </w:t>
      </w:r>
      <w:r w:rsidR="00594AAC" w:rsidRPr="002F2828">
        <w:rPr>
          <w:rFonts w:asciiTheme="minorHAnsi" w:hAnsiTheme="minorHAnsi"/>
          <w:b/>
        </w:rPr>
        <w:t>directors</w:t>
      </w:r>
    </w:p>
    <w:p w:rsidR="00594AAC" w:rsidRPr="002F2828" w:rsidRDefault="003920F3" w:rsidP="00594AAC">
      <w:pPr>
        <w:pStyle w:val="Para2"/>
        <w:rPr>
          <w:rFonts w:asciiTheme="minorHAnsi" w:hAnsiTheme="minorHAnsi"/>
        </w:rPr>
      </w:pPr>
      <w:r w:rsidRPr="002F2828">
        <w:rPr>
          <w:rFonts w:asciiTheme="minorHAnsi" w:hAnsiTheme="minorHAnsi"/>
        </w:rPr>
        <w:t>A</w:t>
      </w:r>
      <w:r w:rsidR="00594AAC" w:rsidRPr="002F2828">
        <w:rPr>
          <w:rFonts w:asciiTheme="minorHAnsi" w:hAnsiTheme="minorHAnsi"/>
        </w:rPr>
        <w:t xml:space="preserve"> description of stakeholder interests (owners, </w:t>
      </w:r>
      <w:r w:rsidR="00594AAC" w:rsidRPr="002F2828">
        <w:rPr>
          <w:rFonts w:asciiTheme="minorHAnsi" w:hAnsiTheme="minorHAnsi"/>
          <w:b/>
        </w:rPr>
        <w:t>consumers</w:t>
      </w:r>
      <w:r w:rsidR="00460F21" w:rsidRPr="002F2828">
        <w:rPr>
          <w:rFonts w:asciiTheme="minorHAnsi" w:hAnsiTheme="minorHAnsi"/>
        </w:rPr>
        <w:t xml:space="preserve">, </w:t>
      </w:r>
      <w:r w:rsidR="00E911F8">
        <w:rPr>
          <w:rFonts w:asciiTheme="minorHAnsi" w:hAnsiTheme="minorHAnsi"/>
        </w:rPr>
        <w:t xml:space="preserve">etc) </w:t>
      </w:r>
      <w:r w:rsidR="00594AAC" w:rsidRPr="002F2828">
        <w:rPr>
          <w:rFonts w:asciiTheme="minorHAnsi" w:hAnsiTheme="minorHAnsi"/>
        </w:rPr>
        <w:t>which identifies important stakeholders and indicates:</w:t>
      </w:r>
    </w:p>
    <w:p w:rsidR="00594AAC" w:rsidRPr="002F2828" w:rsidRDefault="00594AAC" w:rsidP="00594AAC">
      <w:pPr>
        <w:pStyle w:val="Para3"/>
        <w:rPr>
          <w:rFonts w:asciiTheme="minorHAnsi" w:hAnsiTheme="minorHAnsi"/>
        </w:rPr>
      </w:pPr>
      <w:r w:rsidRPr="002F2828">
        <w:rPr>
          <w:rFonts w:asciiTheme="minorHAnsi" w:hAnsiTheme="minorHAnsi"/>
        </w:rPr>
        <w:t>how the interests of s</w:t>
      </w:r>
      <w:r w:rsidR="00B56941" w:rsidRPr="002F2828">
        <w:rPr>
          <w:rFonts w:asciiTheme="minorHAnsi" w:hAnsiTheme="minorHAnsi"/>
        </w:rPr>
        <w:t>takeholders are identified</w:t>
      </w:r>
    </w:p>
    <w:p w:rsidR="00594AAC" w:rsidRPr="002F2828" w:rsidRDefault="00B56941" w:rsidP="00594AAC">
      <w:pPr>
        <w:pStyle w:val="Para3"/>
        <w:rPr>
          <w:rFonts w:asciiTheme="minorHAnsi" w:hAnsiTheme="minorHAnsi"/>
        </w:rPr>
      </w:pPr>
      <w:r w:rsidRPr="002F2828">
        <w:rPr>
          <w:rFonts w:asciiTheme="minorHAnsi" w:hAnsiTheme="minorHAnsi"/>
        </w:rPr>
        <w:t>what these interests are</w:t>
      </w:r>
    </w:p>
    <w:p w:rsidR="00594AAC" w:rsidRPr="002F2828" w:rsidRDefault="00594AAC" w:rsidP="00594AAC">
      <w:pPr>
        <w:pStyle w:val="Para3"/>
        <w:rPr>
          <w:rFonts w:asciiTheme="minorHAnsi" w:hAnsiTheme="minorHAnsi"/>
        </w:rPr>
      </w:pPr>
      <w:r w:rsidRPr="002F2828">
        <w:rPr>
          <w:rFonts w:asciiTheme="minorHAnsi" w:hAnsiTheme="minorHAnsi"/>
        </w:rPr>
        <w:t>how these interests are accommodated in</w:t>
      </w:r>
      <w:r w:rsidR="00B56941" w:rsidRPr="002F2828">
        <w:rPr>
          <w:rFonts w:asciiTheme="minorHAnsi" w:hAnsiTheme="minorHAnsi"/>
        </w:rPr>
        <w:t xml:space="preserve"> asset management practices</w:t>
      </w:r>
    </w:p>
    <w:p w:rsidR="00594AAC" w:rsidRPr="002F2828" w:rsidRDefault="00594AAC" w:rsidP="00594AAC">
      <w:pPr>
        <w:pStyle w:val="Para3"/>
        <w:rPr>
          <w:rFonts w:asciiTheme="minorHAnsi" w:hAnsiTheme="minorHAnsi"/>
        </w:rPr>
      </w:pPr>
      <w:r w:rsidRPr="002F2828">
        <w:rPr>
          <w:rFonts w:asciiTheme="minorHAnsi" w:hAnsiTheme="minorHAnsi"/>
        </w:rPr>
        <w:t>how conflicting interests are managed</w:t>
      </w:r>
    </w:p>
    <w:p w:rsidR="00594AAC" w:rsidRPr="002F2828" w:rsidRDefault="003920F3" w:rsidP="00594AAC">
      <w:pPr>
        <w:pStyle w:val="Para2"/>
        <w:rPr>
          <w:rFonts w:asciiTheme="minorHAnsi" w:hAnsiTheme="minorHAnsi"/>
        </w:rPr>
      </w:pPr>
      <w:r w:rsidRPr="002F2828">
        <w:rPr>
          <w:rFonts w:asciiTheme="minorHAnsi" w:hAnsiTheme="minorHAnsi"/>
        </w:rPr>
        <w:t>A</w:t>
      </w:r>
      <w:r w:rsidR="00594AAC" w:rsidRPr="002F2828">
        <w:rPr>
          <w:rFonts w:asciiTheme="minorHAnsi" w:hAnsiTheme="minorHAnsi"/>
        </w:rPr>
        <w:t xml:space="preserve"> description of the accountabilities and responsibilities for asset management on at least </w:t>
      </w:r>
      <w:r w:rsidR="008E15E2" w:rsidRPr="002F2828">
        <w:rPr>
          <w:rFonts w:asciiTheme="minorHAnsi" w:hAnsiTheme="minorHAnsi"/>
        </w:rPr>
        <w:t>3</w:t>
      </w:r>
      <w:r w:rsidR="00594AAC" w:rsidRPr="002F2828">
        <w:rPr>
          <w:rFonts w:asciiTheme="minorHAnsi" w:hAnsiTheme="minorHAnsi"/>
        </w:rPr>
        <w:t xml:space="preserve"> levels, including:</w:t>
      </w:r>
    </w:p>
    <w:p w:rsidR="00594AAC" w:rsidRPr="002F2828" w:rsidRDefault="00594AAC" w:rsidP="00594AAC">
      <w:pPr>
        <w:pStyle w:val="Para3"/>
        <w:rPr>
          <w:rFonts w:asciiTheme="minorHAnsi" w:hAnsiTheme="minorHAnsi"/>
        </w:rPr>
      </w:pPr>
      <w:r w:rsidRPr="002F2828">
        <w:rPr>
          <w:rFonts w:asciiTheme="minorHAnsi" w:hAnsiTheme="minorHAnsi"/>
        </w:rPr>
        <w:t xml:space="preserve">governance—a description of the extent of </w:t>
      </w:r>
      <w:r w:rsidRPr="002F2828">
        <w:rPr>
          <w:rFonts w:asciiTheme="minorHAnsi" w:hAnsiTheme="minorHAnsi"/>
          <w:b/>
        </w:rPr>
        <w:t xml:space="preserve">director </w:t>
      </w:r>
      <w:r w:rsidRPr="002F2828">
        <w:rPr>
          <w:rFonts w:asciiTheme="minorHAnsi" w:hAnsiTheme="minorHAnsi"/>
        </w:rPr>
        <w:t xml:space="preserve">approval required for key asset management decisions and the extent to which asset management outcomes are regularly reported to </w:t>
      </w:r>
      <w:r w:rsidRPr="002F2828">
        <w:rPr>
          <w:rFonts w:asciiTheme="minorHAnsi" w:hAnsiTheme="minorHAnsi"/>
          <w:b/>
        </w:rPr>
        <w:t>directors</w:t>
      </w:r>
    </w:p>
    <w:p w:rsidR="00594AAC" w:rsidRPr="002F2828" w:rsidRDefault="00594AAC" w:rsidP="00594AAC">
      <w:pPr>
        <w:pStyle w:val="Para3"/>
        <w:rPr>
          <w:rFonts w:asciiTheme="minorHAnsi" w:hAnsiTheme="minorHAnsi"/>
        </w:rPr>
      </w:pPr>
      <w:r w:rsidRPr="002F2828">
        <w:rPr>
          <w:rFonts w:asciiTheme="minorHAnsi" w:hAnsiTheme="minorHAnsi"/>
        </w:rPr>
        <w:t>executive—an indication of how the in-house asset management and planning</w:t>
      </w:r>
      <w:r w:rsidR="00B56941" w:rsidRPr="002F2828">
        <w:rPr>
          <w:rFonts w:asciiTheme="minorHAnsi" w:hAnsiTheme="minorHAnsi"/>
        </w:rPr>
        <w:t xml:space="preserve"> organisation is structured</w:t>
      </w:r>
    </w:p>
    <w:p w:rsidR="00594AAC" w:rsidRPr="002F2828" w:rsidRDefault="00594AAC" w:rsidP="00594AAC">
      <w:pPr>
        <w:pStyle w:val="Para3"/>
        <w:rPr>
          <w:rFonts w:asciiTheme="minorHAnsi" w:hAnsiTheme="minorHAnsi"/>
        </w:rPr>
      </w:pPr>
      <w:r w:rsidRPr="002F2828">
        <w:rPr>
          <w:rFonts w:asciiTheme="minorHAnsi" w:hAnsiTheme="minorHAnsi"/>
        </w:rPr>
        <w:t>field operations—an overview of how field operations are managed, including a description of the extent to which field work is undertaken in-house and the areas where outsourced contractors are used.</w:t>
      </w:r>
    </w:p>
    <w:p w:rsidR="0099003F" w:rsidRDefault="003920F3" w:rsidP="00594AAC">
      <w:pPr>
        <w:pStyle w:val="Para2"/>
        <w:rPr>
          <w:rFonts w:asciiTheme="minorHAnsi" w:hAnsiTheme="minorHAnsi"/>
        </w:rPr>
      </w:pPr>
      <w:r w:rsidRPr="002F2828">
        <w:rPr>
          <w:rFonts w:asciiTheme="minorHAnsi" w:hAnsiTheme="minorHAnsi"/>
        </w:rPr>
        <w:t>A</w:t>
      </w:r>
      <w:r w:rsidR="00594AAC" w:rsidRPr="002F2828">
        <w:rPr>
          <w:rFonts w:asciiTheme="minorHAnsi" w:hAnsiTheme="minorHAnsi"/>
        </w:rPr>
        <w:t>ll significant assumptions</w:t>
      </w:r>
    </w:p>
    <w:p w:rsidR="00594AAC" w:rsidRPr="002F2828" w:rsidRDefault="00B56941" w:rsidP="00594AAC">
      <w:pPr>
        <w:pStyle w:val="Para3"/>
        <w:rPr>
          <w:rFonts w:asciiTheme="minorHAnsi" w:hAnsiTheme="minorHAnsi"/>
        </w:rPr>
      </w:pPr>
      <w:r w:rsidRPr="002F2828">
        <w:rPr>
          <w:rFonts w:asciiTheme="minorHAnsi" w:hAnsiTheme="minorHAnsi"/>
        </w:rPr>
        <w:t>quantified where possible</w:t>
      </w:r>
    </w:p>
    <w:p w:rsidR="00594AAC" w:rsidRPr="002F2828" w:rsidRDefault="00594AAC" w:rsidP="00594AAC">
      <w:pPr>
        <w:pStyle w:val="Para3"/>
        <w:rPr>
          <w:rFonts w:asciiTheme="minorHAnsi" w:hAnsiTheme="minorHAnsi"/>
        </w:rPr>
      </w:pPr>
      <w:r w:rsidRPr="002F2828">
        <w:rPr>
          <w:rFonts w:asciiTheme="minorHAnsi" w:hAnsiTheme="minorHAnsi"/>
        </w:rPr>
        <w:t>clearly identified in a manner that makes their significance under</w:t>
      </w:r>
      <w:r w:rsidR="00B56941" w:rsidRPr="002F2828">
        <w:rPr>
          <w:rFonts w:asciiTheme="minorHAnsi" w:hAnsiTheme="minorHAnsi"/>
        </w:rPr>
        <w:t>standable to interested persons</w:t>
      </w:r>
      <w:r w:rsidR="00222031">
        <w:rPr>
          <w:rFonts w:asciiTheme="minorHAnsi" w:hAnsiTheme="minorHAnsi"/>
        </w:rPr>
        <w:t>, including</w:t>
      </w:r>
    </w:p>
    <w:p w:rsidR="00F56F86" w:rsidRDefault="003920F3">
      <w:pPr>
        <w:pStyle w:val="Para3"/>
        <w:rPr>
          <w:rFonts w:asciiTheme="minorHAnsi" w:hAnsiTheme="minorHAnsi"/>
        </w:rPr>
      </w:pPr>
      <w:r w:rsidRPr="002F2828">
        <w:rPr>
          <w:rFonts w:asciiTheme="minorHAnsi" w:hAnsiTheme="minorHAnsi"/>
        </w:rPr>
        <w:t>A</w:t>
      </w:r>
      <w:r w:rsidR="00594AAC" w:rsidRPr="002F2828">
        <w:rPr>
          <w:rFonts w:asciiTheme="minorHAnsi" w:hAnsiTheme="minorHAnsi"/>
        </w:rPr>
        <w:t xml:space="preserve"> description of changes proposed where the information is not based on the </w:t>
      </w:r>
      <w:proofErr w:type="spellStart"/>
      <w:r w:rsidR="008E15E2" w:rsidRPr="00222031">
        <w:rPr>
          <w:rFonts w:asciiTheme="minorHAnsi" w:hAnsiTheme="minorHAnsi"/>
          <w:b/>
        </w:rPr>
        <w:t>GDB</w:t>
      </w:r>
      <w:r w:rsidR="00594AAC" w:rsidRPr="002F2828">
        <w:rPr>
          <w:rFonts w:asciiTheme="minorHAnsi" w:hAnsiTheme="minorHAnsi"/>
        </w:rPr>
        <w:t>’s</w:t>
      </w:r>
      <w:proofErr w:type="spellEnd"/>
      <w:r w:rsidR="00594AAC" w:rsidRPr="002F2828">
        <w:rPr>
          <w:rFonts w:asciiTheme="minorHAnsi" w:hAnsiTheme="minorHAnsi"/>
        </w:rPr>
        <w:t xml:space="preserve"> existing bu</w:t>
      </w:r>
      <w:r w:rsidR="00B56941" w:rsidRPr="002F2828">
        <w:rPr>
          <w:rFonts w:asciiTheme="minorHAnsi" w:hAnsiTheme="minorHAnsi"/>
        </w:rPr>
        <w:t>siness</w:t>
      </w:r>
    </w:p>
    <w:p w:rsidR="00F56F86" w:rsidRDefault="00594AAC">
      <w:pPr>
        <w:pStyle w:val="Para3"/>
        <w:rPr>
          <w:rFonts w:asciiTheme="minorHAnsi" w:hAnsiTheme="minorHAnsi"/>
        </w:rPr>
      </w:pPr>
      <w:r w:rsidRPr="002F2828">
        <w:rPr>
          <w:rFonts w:asciiTheme="minorHAnsi" w:hAnsiTheme="minorHAnsi"/>
        </w:rPr>
        <w:t>the sources of uncertainty and the potential effect of the uncertainty</w:t>
      </w:r>
      <w:r w:rsidR="00B56941" w:rsidRPr="002F2828">
        <w:rPr>
          <w:rFonts w:asciiTheme="minorHAnsi" w:hAnsiTheme="minorHAnsi"/>
        </w:rPr>
        <w:t xml:space="preserve"> on the prospective information</w:t>
      </w:r>
    </w:p>
    <w:p w:rsidR="00F56F86" w:rsidRDefault="00222031">
      <w:pPr>
        <w:pStyle w:val="Para3"/>
        <w:rPr>
          <w:rFonts w:asciiTheme="minorHAnsi" w:hAnsiTheme="minorHAnsi"/>
        </w:rPr>
      </w:pPr>
      <w:proofErr w:type="gramStart"/>
      <w:r>
        <w:rPr>
          <w:rFonts w:asciiTheme="minorHAnsi" w:hAnsiTheme="minorHAnsi"/>
        </w:rPr>
        <w:t>t</w:t>
      </w:r>
      <w:r w:rsidR="00594AAC" w:rsidRPr="002F2828">
        <w:rPr>
          <w:rFonts w:asciiTheme="minorHAnsi" w:hAnsiTheme="minorHAnsi"/>
        </w:rPr>
        <w:t>he</w:t>
      </w:r>
      <w:proofErr w:type="gramEnd"/>
      <w:r w:rsidR="00594AAC" w:rsidRPr="002F2828">
        <w:rPr>
          <w:rFonts w:asciiTheme="minorHAnsi" w:hAnsiTheme="minorHAnsi"/>
        </w:rPr>
        <w:t xml:space="preserve"> price inflator assumptions used to prepare the financial information disclosed in </w:t>
      </w:r>
      <w:r w:rsidR="00594AAC" w:rsidRPr="00222031">
        <w:rPr>
          <w:rFonts w:asciiTheme="minorHAnsi" w:hAnsiTheme="minorHAnsi"/>
          <w:b/>
        </w:rPr>
        <w:t>nominal New Zealand dollars</w:t>
      </w:r>
      <w:r w:rsidR="00594AAC" w:rsidRPr="002F2828">
        <w:rPr>
          <w:rFonts w:asciiTheme="minorHAnsi" w:hAnsiTheme="minorHAnsi"/>
        </w:rPr>
        <w:t xml:space="preserve"> in the Report </w:t>
      </w:r>
      <w:r w:rsidR="00537A85">
        <w:rPr>
          <w:rFonts w:asciiTheme="minorHAnsi" w:hAnsiTheme="minorHAnsi"/>
        </w:rPr>
        <w:t xml:space="preserve">on Forecast Capital Expenditure </w:t>
      </w:r>
      <w:r w:rsidR="00594AAC" w:rsidRPr="002F2828">
        <w:rPr>
          <w:rFonts w:asciiTheme="minorHAnsi" w:hAnsiTheme="minorHAnsi"/>
        </w:rPr>
        <w:t>set out in Schedule 1</w:t>
      </w:r>
      <w:r w:rsidR="00537A85">
        <w:rPr>
          <w:rFonts w:asciiTheme="minorHAnsi" w:hAnsiTheme="minorHAnsi"/>
        </w:rPr>
        <w:t>1a and the Report on Forecast Operational Expenditure set out in Schedule 11b</w:t>
      </w:r>
      <w:r>
        <w:rPr>
          <w:rFonts w:asciiTheme="minorHAnsi" w:hAnsiTheme="minorHAnsi"/>
        </w:rPr>
        <w:t>.</w:t>
      </w:r>
    </w:p>
    <w:p w:rsidR="00594AAC" w:rsidRPr="002F2828" w:rsidRDefault="003920F3" w:rsidP="00594AAC">
      <w:pPr>
        <w:pStyle w:val="Para2"/>
        <w:rPr>
          <w:rFonts w:asciiTheme="minorHAnsi" w:hAnsiTheme="minorHAnsi"/>
        </w:rPr>
      </w:pPr>
      <w:r w:rsidRPr="002F2828">
        <w:rPr>
          <w:rFonts w:asciiTheme="minorHAnsi" w:hAnsiTheme="minorHAnsi"/>
        </w:rPr>
        <w:t>A</w:t>
      </w:r>
      <w:r w:rsidR="00594AAC" w:rsidRPr="002F2828">
        <w:rPr>
          <w:rFonts w:asciiTheme="minorHAnsi" w:hAnsiTheme="minorHAnsi"/>
        </w:rPr>
        <w:t xml:space="preserve"> description of the factors that may lead to a material difference between the prospective information disclosed and the corresponding actual information</w:t>
      </w:r>
      <w:r w:rsidR="00B56941" w:rsidRPr="002F2828">
        <w:rPr>
          <w:rFonts w:asciiTheme="minorHAnsi" w:hAnsiTheme="minorHAnsi"/>
        </w:rPr>
        <w:t xml:space="preserve"> recorded in future disclosures</w:t>
      </w:r>
    </w:p>
    <w:p w:rsidR="00594AAC" w:rsidRPr="002F2828" w:rsidRDefault="003920F3" w:rsidP="00594AAC">
      <w:pPr>
        <w:pStyle w:val="Para2"/>
        <w:rPr>
          <w:rFonts w:asciiTheme="minorHAnsi" w:hAnsiTheme="minorHAnsi"/>
        </w:rPr>
      </w:pPr>
      <w:r w:rsidRPr="002F2828">
        <w:rPr>
          <w:rFonts w:asciiTheme="minorHAnsi" w:hAnsiTheme="minorHAnsi"/>
        </w:rPr>
        <w:t>A</w:t>
      </w:r>
      <w:r w:rsidR="00594AAC" w:rsidRPr="002F2828">
        <w:rPr>
          <w:rFonts w:asciiTheme="minorHAnsi" w:hAnsiTheme="minorHAnsi"/>
        </w:rPr>
        <w:t>n overview of asset managemen</w:t>
      </w:r>
      <w:r w:rsidR="00B56941" w:rsidRPr="002F2828">
        <w:rPr>
          <w:rFonts w:asciiTheme="minorHAnsi" w:hAnsiTheme="minorHAnsi"/>
        </w:rPr>
        <w:t>t strategy and delivery</w:t>
      </w:r>
    </w:p>
    <w:p w:rsidR="00594AAC" w:rsidRPr="002F2828" w:rsidRDefault="00594AAC" w:rsidP="00594AAC">
      <w:pPr>
        <w:pStyle w:val="UnnumberedL3"/>
        <w:ind w:left="1418"/>
        <w:rPr>
          <w:rStyle w:val="Emphasis-Italics"/>
          <w:rFonts w:asciiTheme="minorHAnsi" w:hAnsiTheme="minorHAnsi"/>
        </w:rPr>
      </w:pPr>
      <w:r w:rsidRPr="002F2828">
        <w:rPr>
          <w:rStyle w:val="Emphasis-Italics"/>
          <w:rFonts w:asciiTheme="minorHAnsi" w:hAnsiTheme="minorHAnsi"/>
        </w:rPr>
        <w:t xml:space="preserve">To support the AMMAT disclosure and assist interested persons to assess the maturity of asset management strategy and delivery, the </w:t>
      </w:r>
      <w:r w:rsidRPr="002F2828">
        <w:rPr>
          <w:rStyle w:val="Emphasis-Italics"/>
          <w:rFonts w:asciiTheme="minorHAnsi" w:hAnsiTheme="minorHAnsi"/>
          <w:b/>
        </w:rPr>
        <w:t>AMP</w:t>
      </w:r>
      <w:r w:rsidRPr="002F2828">
        <w:rPr>
          <w:rStyle w:val="Emphasis-Italics"/>
          <w:rFonts w:asciiTheme="minorHAnsi" w:hAnsiTheme="minorHAnsi"/>
        </w:rPr>
        <w:t xml:space="preserve"> should identify:</w:t>
      </w:r>
    </w:p>
    <w:p w:rsidR="00594AAC" w:rsidRPr="002F2828" w:rsidRDefault="00594AAC" w:rsidP="00F82684">
      <w:pPr>
        <w:pStyle w:val="Para3"/>
        <w:numPr>
          <w:ilvl w:val="2"/>
          <w:numId w:val="64"/>
        </w:numPr>
        <w:rPr>
          <w:rFonts w:asciiTheme="minorHAnsi" w:hAnsiTheme="minorHAnsi"/>
          <w:i/>
        </w:rPr>
      </w:pPr>
      <w:r w:rsidRPr="002F2828">
        <w:rPr>
          <w:rFonts w:asciiTheme="minorHAnsi" w:hAnsiTheme="minorHAnsi"/>
          <w:i/>
        </w:rPr>
        <w:t xml:space="preserve">how the asset management strategy is consistent with the </w:t>
      </w:r>
      <w:proofErr w:type="spellStart"/>
      <w:r w:rsidR="008E15E2" w:rsidRPr="002F2828">
        <w:rPr>
          <w:rFonts w:asciiTheme="minorHAnsi" w:hAnsiTheme="minorHAnsi"/>
          <w:b/>
          <w:i/>
        </w:rPr>
        <w:t>GDB</w:t>
      </w:r>
      <w:r w:rsidRPr="002F2828">
        <w:rPr>
          <w:rFonts w:asciiTheme="minorHAnsi" w:hAnsiTheme="minorHAnsi"/>
          <w:i/>
        </w:rPr>
        <w:t>’s</w:t>
      </w:r>
      <w:proofErr w:type="spellEnd"/>
      <w:r w:rsidRPr="002F2828">
        <w:rPr>
          <w:rFonts w:asciiTheme="minorHAnsi" w:hAnsiTheme="minorHAnsi"/>
          <w:i/>
        </w:rPr>
        <w:t xml:space="preserve"> other strategy and policies;</w:t>
      </w:r>
    </w:p>
    <w:p w:rsidR="00594AAC" w:rsidRPr="002F2828" w:rsidRDefault="00594AAC" w:rsidP="00F82684">
      <w:pPr>
        <w:pStyle w:val="Para3"/>
        <w:numPr>
          <w:ilvl w:val="2"/>
          <w:numId w:val="64"/>
        </w:numPr>
        <w:rPr>
          <w:rFonts w:asciiTheme="minorHAnsi" w:hAnsiTheme="minorHAnsi"/>
          <w:i/>
        </w:rPr>
      </w:pPr>
      <w:r w:rsidRPr="002F2828">
        <w:rPr>
          <w:rFonts w:asciiTheme="minorHAnsi" w:hAnsiTheme="minorHAnsi"/>
          <w:i/>
        </w:rPr>
        <w:t>how the asset strategy takes into account the life cycle of the assets;</w:t>
      </w:r>
    </w:p>
    <w:p w:rsidR="00594AAC" w:rsidRPr="002F2828" w:rsidRDefault="00594AAC" w:rsidP="00F82684">
      <w:pPr>
        <w:pStyle w:val="Para3"/>
        <w:numPr>
          <w:ilvl w:val="2"/>
          <w:numId w:val="64"/>
        </w:numPr>
        <w:rPr>
          <w:rFonts w:asciiTheme="minorHAnsi" w:hAnsiTheme="minorHAnsi"/>
          <w:i/>
        </w:rPr>
      </w:pPr>
      <w:r w:rsidRPr="002F2828">
        <w:rPr>
          <w:rFonts w:asciiTheme="minorHAnsi" w:hAnsiTheme="minorHAnsi"/>
          <w:i/>
        </w:rPr>
        <w:t xml:space="preserve">the link between the asset management strategy and the </w:t>
      </w:r>
      <w:r w:rsidRPr="002F2828">
        <w:rPr>
          <w:rFonts w:asciiTheme="minorHAnsi" w:hAnsiTheme="minorHAnsi"/>
          <w:b/>
          <w:i/>
        </w:rPr>
        <w:t>AMP</w:t>
      </w:r>
      <w:r w:rsidRPr="002F2828">
        <w:rPr>
          <w:rFonts w:asciiTheme="minorHAnsi" w:hAnsiTheme="minorHAnsi"/>
          <w:i/>
        </w:rPr>
        <w:t>;</w:t>
      </w:r>
    </w:p>
    <w:p w:rsidR="00594AAC" w:rsidRPr="002F2828" w:rsidRDefault="00594AAC" w:rsidP="00F82684">
      <w:pPr>
        <w:pStyle w:val="Para3"/>
        <w:numPr>
          <w:ilvl w:val="2"/>
          <w:numId w:val="64"/>
        </w:numPr>
        <w:rPr>
          <w:rFonts w:asciiTheme="minorHAnsi" w:hAnsiTheme="minorHAnsi"/>
          <w:i/>
        </w:rPr>
      </w:pPr>
      <w:proofErr w:type="gramStart"/>
      <w:r w:rsidRPr="002F2828">
        <w:rPr>
          <w:rFonts w:asciiTheme="minorHAnsi" w:hAnsiTheme="minorHAnsi"/>
          <w:i/>
        </w:rPr>
        <w:t>processes</w:t>
      </w:r>
      <w:proofErr w:type="gramEnd"/>
      <w:r w:rsidRPr="002F2828">
        <w:rPr>
          <w:rFonts w:asciiTheme="minorHAnsi" w:hAnsiTheme="minorHAnsi"/>
          <w:i/>
        </w:rPr>
        <w:t xml:space="preserve"> that ensure costs, risks and system performance will be  effectively controlled when the </w:t>
      </w:r>
      <w:r w:rsidRPr="002F2828">
        <w:rPr>
          <w:rFonts w:asciiTheme="minorHAnsi" w:hAnsiTheme="minorHAnsi"/>
          <w:b/>
          <w:i/>
        </w:rPr>
        <w:t>AMP</w:t>
      </w:r>
      <w:r w:rsidRPr="002F2828">
        <w:rPr>
          <w:rFonts w:asciiTheme="minorHAnsi" w:hAnsiTheme="minorHAnsi"/>
          <w:i/>
        </w:rPr>
        <w:t xml:space="preserve"> is implemented.</w:t>
      </w:r>
    </w:p>
    <w:p w:rsidR="00594AAC" w:rsidRPr="002F2828" w:rsidRDefault="003920F3" w:rsidP="00594AAC">
      <w:pPr>
        <w:pStyle w:val="Para2"/>
        <w:rPr>
          <w:rFonts w:asciiTheme="minorHAnsi" w:hAnsiTheme="minorHAnsi"/>
        </w:rPr>
      </w:pPr>
      <w:r w:rsidRPr="002F2828">
        <w:rPr>
          <w:rFonts w:asciiTheme="minorHAnsi" w:hAnsiTheme="minorHAnsi"/>
        </w:rPr>
        <w:t>A</w:t>
      </w:r>
      <w:r w:rsidR="00594AAC" w:rsidRPr="002F2828">
        <w:rPr>
          <w:rFonts w:asciiTheme="minorHAnsi" w:hAnsiTheme="minorHAnsi"/>
        </w:rPr>
        <w:t xml:space="preserve">n overview of systems </w:t>
      </w:r>
      <w:r w:rsidR="00B56941" w:rsidRPr="002F2828">
        <w:rPr>
          <w:rFonts w:asciiTheme="minorHAnsi" w:hAnsiTheme="minorHAnsi"/>
        </w:rPr>
        <w:t>and information management data</w:t>
      </w:r>
    </w:p>
    <w:p w:rsidR="00594AAC" w:rsidRPr="002F2828" w:rsidRDefault="00594AAC" w:rsidP="00594AAC">
      <w:pPr>
        <w:pStyle w:val="UnnumberedL3"/>
        <w:ind w:left="1418"/>
        <w:rPr>
          <w:rStyle w:val="Emphasis-Italics"/>
          <w:rFonts w:asciiTheme="minorHAnsi" w:hAnsiTheme="minorHAnsi"/>
        </w:rPr>
      </w:pPr>
      <w:r w:rsidRPr="002F2828">
        <w:rPr>
          <w:rStyle w:val="Emphasis-Italics"/>
          <w:rFonts w:asciiTheme="minorHAnsi" w:hAnsiTheme="minorHAnsi"/>
        </w:rPr>
        <w:t xml:space="preserve">To support the AMMAT disclosure and assist interested persons to assess the maturity of systems and information management, the </w:t>
      </w:r>
      <w:r w:rsidRPr="002F2828">
        <w:rPr>
          <w:rStyle w:val="Emphasis-Italics"/>
          <w:rFonts w:asciiTheme="minorHAnsi" w:hAnsiTheme="minorHAnsi"/>
          <w:b/>
        </w:rPr>
        <w:t>AMP</w:t>
      </w:r>
      <w:r w:rsidRPr="002F2828">
        <w:rPr>
          <w:rStyle w:val="Emphasis-Italics"/>
          <w:rFonts w:asciiTheme="minorHAnsi" w:hAnsiTheme="minorHAnsi"/>
        </w:rPr>
        <w:t xml:space="preserve"> should describe:</w:t>
      </w:r>
    </w:p>
    <w:p w:rsidR="00594AAC" w:rsidRPr="002F2828" w:rsidRDefault="00594AAC" w:rsidP="00F82684">
      <w:pPr>
        <w:pStyle w:val="Para3"/>
        <w:numPr>
          <w:ilvl w:val="2"/>
          <w:numId w:val="65"/>
        </w:numPr>
        <w:rPr>
          <w:rFonts w:asciiTheme="minorHAnsi" w:hAnsiTheme="minorHAnsi"/>
          <w:i/>
        </w:rPr>
      </w:pPr>
      <w:bookmarkStart w:id="212" w:name="_Ref310882453"/>
      <w:r w:rsidRPr="002F2828">
        <w:rPr>
          <w:rFonts w:asciiTheme="minorHAnsi" w:hAnsiTheme="minorHAnsi"/>
          <w:i/>
        </w:rPr>
        <w:t>the processes used to identify asset management data requirements that cover the whole of life cycle of the assets;</w:t>
      </w:r>
      <w:bookmarkEnd w:id="212"/>
    </w:p>
    <w:p w:rsidR="00594AAC" w:rsidRPr="002F2828" w:rsidRDefault="00594AAC" w:rsidP="00F82684">
      <w:pPr>
        <w:pStyle w:val="Para3"/>
        <w:numPr>
          <w:ilvl w:val="2"/>
          <w:numId w:val="65"/>
        </w:numPr>
        <w:rPr>
          <w:rFonts w:asciiTheme="minorHAnsi" w:hAnsiTheme="minorHAnsi"/>
          <w:i/>
        </w:rPr>
      </w:pPr>
      <w:bookmarkStart w:id="213" w:name="_Ref310512489"/>
      <w:r w:rsidRPr="002F2828">
        <w:rPr>
          <w:rFonts w:asciiTheme="minorHAnsi" w:hAnsiTheme="minorHAnsi"/>
          <w:i/>
        </w:rPr>
        <w:t>the systems used to manage asset data and where the data is used, including</w:t>
      </w:r>
      <w:bookmarkStart w:id="214" w:name="_Ref310512494"/>
      <w:bookmarkEnd w:id="213"/>
      <w:r w:rsidRPr="002F2828">
        <w:rPr>
          <w:rFonts w:asciiTheme="minorHAnsi" w:hAnsiTheme="minorHAnsi"/>
          <w:i/>
        </w:rPr>
        <w:t xml:space="preserve"> an overview of the systems to record asset conditions and operation capacity and to monitor the performance of assets;</w:t>
      </w:r>
      <w:bookmarkEnd w:id="214"/>
    </w:p>
    <w:p w:rsidR="00594AAC" w:rsidRPr="002F2828" w:rsidRDefault="00594AAC" w:rsidP="00F82684">
      <w:pPr>
        <w:pStyle w:val="Para3"/>
        <w:numPr>
          <w:ilvl w:val="2"/>
          <w:numId w:val="65"/>
        </w:numPr>
        <w:rPr>
          <w:rFonts w:asciiTheme="minorHAnsi" w:hAnsiTheme="minorHAnsi"/>
          <w:i/>
        </w:rPr>
      </w:pPr>
      <w:bookmarkStart w:id="215" w:name="_Ref310512498"/>
      <w:r w:rsidRPr="002F2828">
        <w:rPr>
          <w:rFonts w:asciiTheme="minorHAnsi" w:hAnsiTheme="minorHAnsi"/>
          <w:i/>
        </w:rPr>
        <w:t>the systems and controls to ensure the quality and accuracy of asset management information;</w:t>
      </w:r>
      <w:bookmarkStart w:id="216" w:name="_Ref310512500"/>
      <w:bookmarkEnd w:id="215"/>
      <w:r w:rsidRPr="002F2828">
        <w:rPr>
          <w:rFonts w:asciiTheme="minorHAnsi" w:hAnsiTheme="minorHAnsi"/>
          <w:i/>
        </w:rPr>
        <w:t xml:space="preserve"> and</w:t>
      </w:r>
      <w:bookmarkEnd w:id="216"/>
    </w:p>
    <w:p w:rsidR="00594AAC" w:rsidRPr="002F2828" w:rsidRDefault="00594AAC" w:rsidP="00F82684">
      <w:pPr>
        <w:pStyle w:val="Para3"/>
        <w:numPr>
          <w:ilvl w:val="2"/>
          <w:numId w:val="65"/>
        </w:numPr>
        <w:rPr>
          <w:rFonts w:asciiTheme="minorHAnsi" w:hAnsiTheme="minorHAnsi"/>
          <w:i/>
        </w:rPr>
      </w:pPr>
      <w:proofErr w:type="gramStart"/>
      <w:r w:rsidRPr="002F2828">
        <w:rPr>
          <w:rFonts w:asciiTheme="minorHAnsi" w:hAnsiTheme="minorHAnsi"/>
          <w:i/>
        </w:rPr>
        <w:t>the</w:t>
      </w:r>
      <w:proofErr w:type="gramEnd"/>
      <w:r w:rsidRPr="002F2828">
        <w:rPr>
          <w:rFonts w:asciiTheme="minorHAnsi" w:hAnsiTheme="minorHAnsi"/>
          <w:i/>
        </w:rPr>
        <w:t xml:space="preserve"> extent to which the systems</w:t>
      </w:r>
      <w:r w:rsidR="008E15E2" w:rsidRPr="002F2828">
        <w:rPr>
          <w:rFonts w:asciiTheme="minorHAnsi" w:hAnsiTheme="minorHAnsi"/>
          <w:i/>
        </w:rPr>
        <w:t xml:space="preserve">, processes and controls are </w:t>
      </w:r>
      <w:r w:rsidRPr="002F2828">
        <w:rPr>
          <w:rFonts w:asciiTheme="minorHAnsi" w:hAnsiTheme="minorHAnsi"/>
          <w:i/>
        </w:rPr>
        <w:t>integrated.</w:t>
      </w:r>
    </w:p>
    <w:p w:rsidR="00594AAC" w:rsidRPr="002F2828" w:rsidRDefault="003920F3" w:rsidP="00594AAC">
      <w:pPr>
        <w:pStyle w:val="Para2"/>
        <w:rPr>
          <w:rFonts w:asciiTheme="minorHAnsi" w:hAnsiTheme="minorHAnsi"/>
        </w:rPr>
      </w:pPr>
      <w:r w:rsidRPr="002F2828">
        <w:rPr>
          <w:rFonts w:asciiTheme="minorHAnsi" w:hAnsiTheme="minorHAnsi"/>
        </w:rPr>
        <w:t>A</w:t>
      </w:r>
      <w:r w:rsidR="00460F21" w:rsidRPr="002F2828">
        <w:rPr>
          <w:rFonts w:asciiTheme="minorHAnsi" w:hAnsiTheme="minorHAnsi"/>
        </w:rPr>
        <w:t xml:space="preserve"> statement covering any </w:t>
      </w:r>
      <w:r w:rsidR="00594AAC" w:rsidRPr="002F2828">
        <w:rPr>
          <w:rFonts w:asciiTheme="minorHAnsi" w:hAnsiTheme="minorHAnsi"/>
        </w:rPr>
        <w:t>limitations in the availability or completeness of as</w:t>
      </w:r>
      <w:r w:rsidR="005208D1" w:rsidRPr="002F2828">
        <w:rPr>
          <w:rFonts w:asciiTheme="minorHAnsi" w:hAnsiTheme="minorHAnsi"/>
        </w:rPr>
        <w:t xml:space="preserve">set management data and disclose </w:t>
      </w:r>
      <w:r w:rsidR="00594AAC" w:rsidRPr="002F2828">
        <w:rPr>
          <w:rFonts w:asciiTheme="minorHAnsi" w:hAnsiTheme="minorHAnsi"/>
        </w:rPr>
        <w:t>any initiatives intended to i</w:t>
      </w:r>
      <w:r w:rsidR="00B56941" w:rsidRPr="002F2828">
        <w:rPr>
          <w:rFonts w:asciiTheme="minorHAnsi" w:hAnsiTheme="minorHAnsi"/>
        </w:rPr>
        <w:t>mprove the quality of this data</w:t>
      </w:r>
    </w:p>
    <w:p w:rsidR="00594AAC" w:rsidRPr="002F2828" w:rsidRDefault="00594AAC" w:rsidP="00594AAC">
      <w:pPr>
        <w:pStyle w:val="UnnumberedL3"/>
        <w:ind w:left="1418"/>
        <w:rPr>
          <w:rStyle w:val="Emphasis-Italics"/>
          <w:rFonts w:asciiTheme="minorHAnsi" w:hAnsiTheme="minorHAnsi"/>
        </w:rPr>
      </w:pPr>
      <w:r w:rsidRPr="002F2828">
        <w:rPr>
          <w:rStyle w:val="Emphasis-Italics"/>
          <w:rFonts w:asciiTheme="minorHAnsi" w:hAnsiTheme="minorHAnsi"/>
        </w:rPr>
        <w:t xml:space="preserve">Discussion of the limitations of asset management data is intended to enhance the transparency of the </w:t>
      </w:r>
      <w:r w:rsidRPr="002F2828">
        <w:rPr>
          <w:rStyle w:val="Emphasis-Italics"/>
          <w:rFonts w:asciiTheme="minorHAnsi" w:hAnsiTheme="minorHAnsi"/>
          <w:b/>
        </w:rPr>
        <w:t>AMP</w:t>
      </w:r>
      <w:r w:rsidRPr="002F2828">
        <w:rPr>
          <w:rStyle w:val="Emphasis-Italics"/>
          <w:rFonts w:asciiTheme="minorHAnsi" w:hAnsiTheme="minorHAnsi"/>
        </w:rPr>
        <w:t xml:space="preserve"> and identify gaps in the asset management system.</w:t>
      </w:r>
    </w:p>
    <w:p w:rsidR="00594AAC" w:rsidRPr="002F2828" w:rsidRDefault="003920F3" w:rsidP="00594AAC">
      <w:pPr>
        <w:pStyle w:val="Para2"/>
        <w:rPr>
          <w:rFonts w:asciiTheme="minorHAnsi" w:hAnsiTheme="minorHAnsi"/>
        </w:rPr>
      </w:pPr>
      <w:r w:rsidRPr="002F2828">
        <w:rPr>
          <w:rFonts w:asciiTheme="minorHAnsi" w:hAnsiTheme="minorHAnsi"/>
        </w:rPr>
        <w:t>A</w:t>
      </w:r>
      <w:r w:rsidR="00594AAC" w:rsidRPr="002F2828">
        <w:rPr>
          <w:rFonts w:asciiTheme="minorHAnsi" w:hAnsiTheme="minorHAnsi"/>
        </w:rPr>
        <w:t xml:space="preserve"> description of the processes used within the </w:t>
      </w:r>
      <w:r w:rsidR="00460F21" w:rsidRPr="002F2828">
        <w:rPr>
          <w:rFonts w:asciiTheme="minorHAnsi" w:hAnsiTheme="minorHAnsi"/>
          <w:b/>
        </w:rPr>
        <w:t>GDB</w:t>
      </w:r>
      <w:r w:rsidR="00594AAC" w:rsidRPr="002F2828">
        <w:rPr>
          <w:rFonts w:asciiTheme="minorHAnsi" w:hAnsiTheme="minorHAnsi"/>
        </w:rPr>
        <w:t xml:space="preserve"> for:</w:t>
      </w:r>
    </w:p>
    <w:p w:rsidR="00594AAC" w:rsidRPr="002F2828" w:rsidRDefault="00594AAC" w:rsidP="00594AAC">
      <w:pPr>
        <w:pStyle w:val="Para3"/>
        <w:rPr>
          <w:rFonts w:asciiTheme="minorHAnsi" w:hAnsiTheme="minorHAnsi"/>
        </w:rPr>
      </w:pPr>
      <w:r w:rsidRPr="002F2828">
        <w:rPr>
          <w:rFonts w:asciiTheme="minorHAnsi" w:hAnsiTheme="minorHAnsi"/>
        </w:rPr>
        <w:t xml:space="preserve">managing routine asset inspections and </w:t>
      </w:r>
      <w:r w:rsidRPr="002F2828">
        <w:rPr>
          <w:rFonts w:asciiTheme="minorHAnsi" w:hAnsiTheme="minorHAnsi"/>
          <w:b/>
        </w:rPr>
        <w:t>network</w:t>
      </w:r>
      <w:r w:rsidRPr="002F2828">
        <w:rPr>
          <w:rFonts w:asciiTheme="minorHAnsi" w:hAnsiTheme="minorHAnsi"/>
        </w:rPr>
        <w:t xml:space="preserve"> maintenance</w:t>
      </w:r>
    </w:p>
    <w:p w:rsidR="00594AAC" w:rsidRPr="002F2828" w:rsidRDefault="00594AAC" w:rsidP="00594AAC">
      <w:pPr>
        <w:pStyle w:val="Para3"/>
        <w:rPr>
          <w:rFonts w:asciiTheme="minorHAnsi" w:hAnsiTheme="minorHAnsi"/>
        </w:rPr>
      </w:pPr>
      <w:r w:rsidRPr="002F2828">
        <w:rPr>
          <w:rFonts w:asciiTheme="minorHAnsi" w:hAnsiTheme="minorHAnsi"/>
        </w:rPr>
        <w:t xml:space="preserve">planning and implementing </w:t>
      </w:r>
      <w:r w:rsidRPr="002F2828">
        <w:rPr>
          <w:rFonts w:asciiTheme="minorHAnsi" w:hAnsiTheme="minorHAnsi"/>
          <w:b/>
        </w:rPr>
        <w:t>network</w:t>
      </w:r>
      <w:r w:rsidRPr="002F2828">
        <w:rPr>
          <w:rFonts w:asciiTheme="minorHAnsi" w:hAnsiTheme="minorHAnsi"/>
        </w:rPr>
        <w:t xml:space="preserve"> development projects</w:t>
      </w:r>
    </w:p>
    <w:p w:rsidR="00594AAC" w:rsidRPr="002F2828" w:rsidRDefault="00594AAC" w:rsidP="00594AAC">
      <w:pPr>
        <w:pStyle w:val="Para3"/>
        <w:rPr>
          <w:rFonts w:asciiTheme="minorHAnsi" w:hAnsiTheme="minorHAnsi"/>
        </w:rPr>
      </w:pPr>
      <w:proofErr w:type="gramStart"/>
      <w:r w:rsidRPr="002F2828">
        <w:rPr>
          <w:rFonts w:asciiTheme="minorHAnsi" w:hAnsiTheme="minorHAnsi"/>
        </w:rPr>
        <w:t>measuring</w:t>
      </w:r>
      <w:proofErr w:type="gramEnd"/>
      <w:r w:rsidRPr="002F2828">
        <w:rPr>
          <w:rFonts w:asciiTheme="minorHAnsi" w:hAnsiTheme="minorHAnsi"/>
        </w:rPr>
        <w:t xml:space="preserve"> </w:t>
      </w:r>
      <w:r w:rsidRPr="002F2828">
        <w:rPr>
          <w:rFonts w:asciiTheme="minorHAnsi" w:hAnsiTheme="minorHAnsi"/>
          <w:b/>
        </w:rPr>
        <w:t>network</w:t>
      </w:r>
      <w:r w:rsidRPr="002F2828">
        <w:rPr>
          <w:rFonts w:asciiTheme="minorHAnsi" w:hAnsiTheme="minorHAnsi"/>
        </w:rPr>
        <w:t xml:space="preserve"> performance.</w:t>
      </w:r>
    </w:p>
    <w:p w:rsidR="00594AAC" w:rsidRPr="002F2828" w:rsidRDefault="003920F3" w:rsidP="00594AAC">
      <w:pPr>
        <w:pStyle w:val="Para2"/>
        <w:rPr>
          <w:rFonts w:asciiTheme="minorHAnsi" w:hAnsiTheme="minorHAnsi"/>
        </w:rPr>
      </w:pPr>
      <w:r w:rsidRPr="002F2828">
        <w:rPr>
          <w:rFonts w:asciiTheme="minorHAnsi" w:hAnsiTheme="minorHAnsi"/>
        </w:rPr>
        <w:t>A</w:t>
      </w:r>
      <w:r w:rsidR="00594AAC" w:rsidRPr="002F2828">
        <w:rPr>
          <w:rFonts w:asciiTheme="minorHAnsi" w:hAnsiTheme="minorHAnsi"/>
        </w:rPr>
        <w:t>n overview of asset management documentation</w:t>
      </w:r>
      <w:r w:rsidR="00B56941" w:rsidRPr="002F2828">
        <w:rPr>
          <w:rFonts w:asciiTheme="minorHAnsi" w:hAnsiTheme="minorHAnsi"/>
        </w:rPr>
        <w:t>, controls and review processes</w:t>
      </w:r>
    </w:p>
    <w:p w:rsidR="00594AAC" w:rsidRPr="002F2828" w:rsidDel="002577A3" w:rsidRDefault="00594AAC" w:rsidP="00594AAC">
      <w:pPr>
        <w:pStyle w:val="UnnumberedL3"/>
        <w:ind w:left="1418"/>
        <w:rPr>
          <w:rStyle w:val="Emphasis-Italics"/>
          <w:rFonts w:asciiTheme="minorHAnsi" w:hAnsiTheme="minorHAnsi"/>
        </w:rPr>
      </w:pPr>
      <w:r w:rsidRPr="002F2828">
        <w:rPr>
          <w:rStyle w:val="Emphasis-Italics"/>
          <w:rFonts w:asciiTheme="minorHAnsi" w:hAnsiTheme="minorHAnsi"/>
        </w:rPr>
        <w:t xml:space="preserve">To support the AMMAT disclosure and assist interested persons to assess the maturity of asset management documentation, controls and review processes, the </w:t>
      </w:r>
      <w:r w:rsidRPr="002F2828">
        <w:rPr>
          <w:rStyle w:val="Emphasis-Italics"/>
          <w:rFonts w:asciiTheme="minorHAnsi" w:hAnsiTheme="minorHAnsi"/>
          <w:b/>
        </w:rPr>
        <w:t>AMP</w:t>
      </w:r>
      <w:r w:rsidRPr="002F2828">
        <w:rPr>
          <w:rStyle w:val="Emphasis-Italics"/>
          <w:rFonts w:asciiTheme="minorHAnsi" w:hAnsiTheme="minorHAnsi"/>
        </w:rPr>
        <w:t xml:space="preserve"> should:</w:t>
      </w:r>
    </w:p>
    <w:p w:rsidR="00594AAC" w:rsidRPr="002F2828" w:rsidDel="002577A3" w:rsidRDefault="00594AAC" w:rsidP="00F82684">
      <w:pPr>
        <w:pStyle w:val="HeadingH7ClausesubtextL3"/>
        <w:numPr>
          <w:ilvl w:val="0"/>
          <w:numId w:val="63"/>
        </w:numPr>
        <w:ind w:left="1843" w:hanging="425"/>
        <w:rPr>
          <w:rStyle w:val="Emphasis-Italics"/>
          <w:rFonts w:asciiTheme="minorHAnsi" w:hAnsiTheme="minorHAnsi"/>
        </w:rPr>
      </w:pPr>
      <w:r w:rsidRPr="002F2828">
        <w:rPr>
          <w:rStyle w:val="Emphasis-Italics"/>
          <w:rFonts w:asciiTheme="minorHAnsi" w:hAnsiTheme="minorHAnsi"/>
        </w:rPr>
        <w:t>identify the documentation that describes the key components of the asset management system and the links between the key components;</w:t>
      </w:r>
    </w:p>
    <w:p w:rsidR="00594AAC" w:rsidRPr="002F2828" w:rsidDel="002577A3" w:rsidRDefault="00594AAC" w:rsidP="00F82684">
      <w:pPr>
        <w:pStyle w:val="HeadingH7ClausesubtextL3"/>
        <w:numPr>
          <w:ilvl w:val="0"/>
          <w:numId w:val="63"/>
        </w:numPr>
        <w:ind w:left="1843" w:hanging="425"/>
        <w:rPr>
          <w:rStyle w:val="Emphasis-Italics"/>
          <w:rFonts w:asciiTheme="minorHAnsi" w:hAnsiTheme="minorHAnsi"/>
        </w:rPr>
      </w:pPr>
      <w:r w:rsidRPr="002F2828">
        <w:rPr>
          <w:rStyle w:val="Emphasis-Italics"/>
          <w:rFonts w:asciiTheme="minorHAnsi" w:hAnsiTheme="minorHAnsi"/>
        </w:rPr>
        <w:t>describe the processes developed around documentation, control and review of key components of the asset management system;</w:t>
      </w:r>
    </w:p>
    <w:p w:rsidR="00594AAC" w:rsidRPr="002F2828" w:rsidDel="002577A3" w:rsidRDefault="00594AAC" w:rsidP="00F82684">
      <w:pPr>
        <w:pStyle w:val="HeadingH7ClausesubtextL3"/>
        <w:numPr>
          <w:ilvl w:val="0"/>
          <w:numId w:val="63"/>
        </w:numPr>
        <w:ind w:left="1843" w:hanging="425"/>
        <w:rPr>
          <w:rStyle w:val="Emphasis-Italics"/>
          <w:rFonts w:asciiTheme="minorHAnsi" w:hAnsiTheme="minorHAnsi"/>
        </w:rPr>
      </w:pPr>
      <w:r w:rsidRPr="002F2828">
        <w:rPr>
          <w:rStyle w:val="Emphasis-Italics"/>
          <w:rFonts w:asciiTheme="minorHAnsi" w:hAnsiTheme="minorHAnsi"/>
        </w:rPr>
        <w:t xml:space="preserve">where the </w:t>
      </w:r>
      <w:r w:rsidR="005B0AF9" w:rsidRPr="002F2828">
        <w:rPr>
          <w:rStyle w:val="Emphasis-Italics"/>
          <w:rFonts w:asciiTheme="minorHAnsi" w:hAnsiTheme="minorHAnsi"/>
          <w:b/>
        </w:rPr>
        <w:t>GDB</w:t>
      </w:r>
      <w:r w:rsidRPr="002F2828">
        <w:rPr>
          <w:rStyle w:val="Emphasis-Italics"/>
          <w:rFonts w:asciiTheme="minorHAnsi" w:hAnsiTheme="minorHAnsi"/>
        </w:rPr>
        <w:t xml:space="preserve"> </w:t>
      </w:r>
      <w:proofErr w:type="spellStart"/>
      <w:r w:rsidRPr="002F2828">
        <w:rPr>
          <w:rStyle w:val="Emphasis-Italics"/>
          <w:rFonts w:asciiTheme="minorHAnsi" w:hAnsiTheme="minorHAnsi"/>
        </w:rPr>
        <w:t>outsources</w:t>
      </w:r>
      <w:proofErr w:type="spellEnd"/>
      <w:r w:rsidRPr="002F2828">
        <w:rPr>
          <w:rStyle w:val="Emphasis-Italics"/>
          <w:rFonts w:asciiTheme="minorHAnsi" w:hAnsiTheme="minorHAnsi"/>
        </w:rPr>
        <w:t xml:space="preserve"> components of the asset management system, the processes and controls that the </w:t>
      </w:r>
      <w:r w:rsidR="003C21B6" w:rsidRPr="002F2828">
        <w:rPr>
          <w:rStyle w:val="Emphasis-Italics"/>
          <w:rFonts w:asciiTheme="minorHAnsi" w:hAnsiTheme="minorHAnsi"/>
          <w:b/>
        </w:rPr>
        <w:t>GDB</w:t>
      </w:r>
      <w:r w:rsidRPr="002F2828">
        <w:rPr>
          <w:rStyle w:val="Emphasis-Italics"/>
          <w:rFonts w:asciiTheme="minorHAnsi" w:hAnsiTheme="minorHAnsi"/>
        </w:rPr>
        <w:t xml:space="preserve"> uses to ensure efficient and cost effective delivery of its asset management strategy;</w:t>
      </w:r>
    </w:p>
    <w:p w:rsidR="00594AAC" w:rsidRPr="002F2828" w:rsidDel="002577A3" w:rsidRDefault="00594AAC" w:rsidP="00F82684">
      <w:pPr>
        <w:pStyle w:val="HeadingH7ClausesubtextL3"/>
        <w:numPr>
          <w:ilvl w:val="0"/>
          <w:numId w:val="63"/>
        </w:numPr>
        <w:ind w:left="1843" w:hanging="425"/>
        <w:rPr>
          <w:rStyle w:val="Emphasis-Italics"/>
          <w:rFonts w:asciiTheme="minorHAnsi" w:hAnsiTheme="minorHAnsi"/>
        </w:rPr>
      </w:pPr>
      <w:r w:rsidRPr="002F2828">
        <w:rPr>
          <w:rStyle w:val="Emphasis-Italics"/>
          <w:rFonts w:asciiTheme="minorHAnsi" w:hAnsiTheme="minorHAnsi"/>
        </w:rPr>
        <w:t xml:space="preserve">where the </w:t>
      </w:r>
      <w:r w:rsidR="005208D1" w:rsidRPr="002F2828">
        <w:rPr>
          <w:rStyle w:val="Emphasis-Italics"/>
          <w:rFonts w:asciiTheme="minorHAnsi" w:hAnsiTheme="minorHAnsi"/>
          <w:b/>
        </w:rPr>
        <w:t>GDB</w:t>
      </w:r>
      <w:r w:rsidRPr="002F2828">
        <w:rPr>
          <w:rStyle w:val="Emphasis-Italics"/>
          <w:rFonts w:asciiTheme="minorHAnsi" w:hAnsiTheme="minorHAnsi"/>
        </w:rPr>
        <w:t xml:space="preserve"> </w:t>
      </w:r>
      <w:proofErr w:type="spellStart"/>
      <w:r w:rsidRPr="002F2828">
        <w:rPr>
          <w:rStyle w:val="Emphasis-Italics"/>
          <w:rFonts w:asciiTheme="minorHAnsi" w:hAnsiTheme="minorHAnsi"/>
        </w:rPr>
        <w:t>outsources</w:t>
      </w:r>
      <w:proofErr w:type="spellEnd"/>
      <w:r w:rsidRPr="002F2828">
        <w:rPr>
          <w:rStyle w:val="Emphasis-Italics"/>
          <w:rFonts w:asciiTheme="minorHAnsi" w:hAnsiTheme="minorHAnsi"/>
        </w:rPr>
        <w:t xml:space="preserve"> components of the asset management system, the systems it uses to retain core asset knowledge in-house; and</w:t>
      </w:r>
    </w:p>
    <w:p w:rsidR="00594AAC" w:rsidRPr="002F2828" w:rsidDel="002577A3" w:rsidRDefault="00594AAC" w:rsidP="00F82684">
      <w:pPr>
        <w:pStyle w:val="HeadingH7ClausesubtextL3"/>
        <w:numPr>
          <w:ilvl w:val="0"/>
          <w:numId w:val="63"/>
        </w:numPr>
        <w:ind w:left="1843" w:hanging="425"/>
        <w:rPr>
          <w:rStyle w:val="Emphasis-Italics"/>
          <w:rFonts w:asciiTheme="minorHAnsi" w:hAnsiTheme="minorHAnsi"/>
        </w:rPr>
      </w:pPr>
      <w:proofErr w:type="gramStart"/>
      <w:r w:rsidRPr="002F2828">
        <w:rPr>
          <w:rStyle w:val="Emphasis-Italics"/>
          <w:rFonts w:asciiTheme="minorHAnsi" w:hAnsiTheme="minorHAnsi"/>
        </w:rPr>
        <w:t>audit</w:t>
      </w:r>
      <w:proofErr w:type="gramEnd"/>
      <w:r w:rsidRPr="002F2828">
        <w:rPr>
          <w:rStyle w:val="Emphasis-Italics"/>
          <w:rFonts w:asciiTheme="minorHAnsi" w:hAnsiTheme="minorHAnsi"/>
        </w:rPr>
        <w:t xml:space="preserve"> or review procedures undertaken in respect of the asset management system.</w:t>
      </w:r>
    </w:p>
    <w:p w:rsidR="00594AAC" w:rsidRPr="002F2828" w:rsidDel="002577A3" w:rsidRDefault="00594AAC" w:rsidP="00594AAC">
      <w:pPr>
        <w:pStyle w:val="Para2"/>
        <w:rPr>
          <w:rFonts w:asciiTheme="minorHAnsi" w:hAnsiTheme="minorHAnsi"/>
        </w:rPr>
      </w:pPr>
      <w:r w:rsidRPr="002F2828">
        <w:rPr>
          <w:rFonts w:asciiTheme="minorHAnsi" w:hAnsiTheme="minorHAnsi"/>
        </w:rPr>
        <w:t>An overview of communicat</w:t>
      </w:r>
      <w:r w:rsidR="00B56941" w:rsidRPr="002F2828">
        <w:rPr>
          <w:rFonts w:asciiTheme="minorHAnsi" w:hAnsiTheme="minorHAnsi"/>
        </w:rPr>
        <w:t>ion and participation processes</w:t>
      </w:r>
    </w:p>
    <w:p w:rsidR="00594AAC" w:rsidRPr="002F2828" w:rsidDel="002577A3" w:rsidRDefault="00594AAC" w:rsidP="00594AAC">
      <w:pPr>
        <w:pStyle w:val="UnnumberedL3"/>
        <w:ind w:left="1418"/>
        <w:rPr>
          <w:rStyle w:val="Emphasis-Italics"/>
          <w:rFonts w:asciiTheme="minorHAnsi" w:hAnsiTheme="minorHAnsi"/>
        </w:rPr>
      </w:pPr>
      <w:r w:rsidRPr="002F2828">
        <w:rPr>
          <w:rStyle w:val="Emphasis-Italics"/>
          <w:rFonts w:asciiTheme="minorHAnsi" w:hAnsiTheme="minorHAnsi"/>
        </w:rPr>
        <w:t xml:space="preserve">To support the AMMAT disclosure and assist interested persons to assess the maturity of asset management documentation, controls and review processes, the </w:t>
      </w:r>
      <w:r w:rsidRPr="002F2828">
        <w:rPr>
          <w:rStyle w:val="Emphasis-Italics"/>
          <w:rFonts w:asciiTheme="minorHAnsi" w:hAnsiTheme="minorHAnsi"/>
          <w:b/>
        </w:rPr>
        <w:t>AMP</w:t>
      </w:r>
      <w:r w:rsidRPr="002F2828">
        <w:rPr>
          <w:rStyle w:val="Emphasis-Italics"/>
          <w:rFonts w:asciiTheme="minorHAnsi" w:hAnsiTheme="minorHAnsi"/>
        </w:rPr>
        <w:t xml:space="preserve"> should:</w:t>
      </w:r>
    </w:p>
    <w:p w:rsidR="00594AAC" w:rsidRPr="002F2828" w:rsidDel="002577A3" w:rsidRDefault="00594AAC" w:rsidP="00F82684">
      <w:pPr>
        <w:pStyle w:val="HeadingH7ClausesubtextL3"/>
        <w:numPr>
          <w:ilvl w:val="0"/>
          <w:numId w:val="63"/>
        </w:numPr>
        <w:ind w:left="1843" w:hanging="425"/>
        <w:rPr>
          <w:rStyle w:val="Emphasis-Italics"/>
          <w:rFonts w:asciiTheme="minorHAnsi" w:hAnsiTheme="minorHAnsi"/>
        </w:rPr>
      </w:pPr>
      <w:r w:rsidRPr="002F2828">
        <w:rPr>
          <w:rStyle w:val="Emphasis-Italics"/>
          <w:rFonts w:asciiTheme="minorHAnsi" w:hAnsiTheme="minorHAnsi"/>
        </w:rPr>
        <w:t>communicate asset management strategies, objectives, policies and plans to stakeholders involved in the delivery of the asset management requirements, including contractors and consultants;</w:t>
      </w:r>
    </w:p>
    <w:p w:rsidR="00594AAC" w:rsidRPr="002F2828" w:rsidDel="002577A3" w:rsidRDefault="00222031" w:rsidP="00F82684">
      <w:pPr>
        <w:pStyle w:val="HeadingH7ClausesubtextL3"/>
        <w:numPr>
          <w:ilvl w:val="0"/>
          <w:numId w:val="63"/>
        </w:numPr>
        <w:ind w:left="1843" w:hanging="425"/>
        <w:rPr>
          <w:rStyle w:val="Emphasis-Italics"/>
          <w:rFonts w:asciiTheme="minorHAnsi" w:hAnsiTheme="minorHAnsi"/>
        </w:rPr>
      </w:pPr>
      <w:proofErr w:type="gramStart"/>
      <w:r>
        <w:rPr>
          <w:rStyle w:val="Emphasis-Italics"/>
          <w:rFonts w:asciiTheme="minorHAnsi" w:hAnsiTheme="minorHAnsi"/>
        </w:rPr>
        <w:t>demonstrate</w:t>
      </w:r>
      <w:proofErr w:type="gramEnd"/>
      <w:r w:rsidRPr="00604256">
        <w:rPr>
          <w:rStyle w:val="Emphasis-Italics"/>
          <w:rFonts w:asciiTheme="minorHAnsi" w:hAnsiTheme="minorHAnsi"/>
        </w:rPr>
        <w:t xml:space="preserve"> </w:t>
      </w:r>
      <w:r w:rsidR="00594AAC" w:rsidRPr="002F2828">
        <w:rPr>
          <w:rStyle w:val="Emphasis-Italics"/>
          <w:rFonts w:asciiTheme="minorHAnsi" w:hAnsiTheme="minorHAnsi"/>
        </w:rPr>
        <w:t>staff engagement in the efficient and cost effective delivery of the asset management requirements.</w:t>
      </w:r>
    </w:p>
    <w:p w:rsidR="00F56F86" w:rsidRDefault="00594AAC">
      <w:pPr>
        <w:pStyle w:val="Para2"/>
        <w:rPr>
          <w:rFonts w:asciiTheme="minorHAnsi" w:hAnsiTheme="minorHAnsi"/>
        </w:rPr>
      </w:pPr>
      <w:bookmarkStart w:id="217" w:name="_Toc307315459"/>
      <w:r w:rsidRPr="002F2828">
        <w:rPr>
          <w:rFonts w:asciiTheme="minorHAnsi" w:hAnsiTheme="minorHAnsi"/>
        </w:rPr>
        <w:t xml:space="preserve">The </w:t>
      </w:r>
      <w:r w:rsidRPr="00222031">
        <w:rPr>
          <w:rFonts w:asciiTheme="minorHAnsi" w:hAnsiTheme="minorHAnsi"/>
          <w:b/>
        </w:rPr>
        <w:t xml:space="preserve">AMP </w:t>
      </w:r>
      <w:r w:rsidRPr="002F2828">
        <w:rPr>
          <w:rFonts w:asciiTheme="minorHAnsi" w:hAnsiTheme="minorHAnsi"/>
        </w:rPr>
        <w:t xml:space="preserve">must present all financial values in </w:t>
      </w:r>
      <w:r w:rsidR="00222031" w:rsidRPr="007B47B9">
        <w:rPr>
          <w:rFonts w:asciiTheme="minorHAnsi" w:hAnsiTheme="minorHAnsi"/>
          <w:b/>
        </w:rPr>
        <w:t>real</w:t>
      </w:r>
      <w:r w:rsidR="00537A85">
        <w:rPr>
          <w:rFonts w:asciiTheme="minorHAnsi" w:hAnsiTheme="minorHAnsi"/>
          <w:b/>
        </w:rPr>
        <w:t xml:space="preserve"> </w:t>
      </w:r>
      <w:r w:rsidR="009764C2" w:rsidRPr="009764C2">
        <w:rPr>
          <w:rFonts w:asciiTheme="minorHAnsi" w:hAnsiTheme="minorHAnsi"/>
          <w:b/>
        </w:rPr>
        <w:t>New Zealand dollars</w:t>
      </w:r>
      <w:r w:rsidR="009764C2" w:rsidRPr="009764C2">
        <w:rPr>
          <w:rFonts w:asciiTheme="minorHAnsi" w:hAnsiTheme="minorHAnsi"/>
        </w:rPr>
        <w:t xml:space="preserve"> except where specified otherwise</w:t>
      </w:r>
      <w:r w:rsidRPr="002F2828">
        <w:rPr>
          <w:rFonts w:asciiTheme="minorHAnsi" w:hAnsiTheme="minorHAnsi"/>
        </w:rPr>
        <w:t>;</w:t>
      </w:r>
    </w:p>
    <w:p w:rsidR="00F56F86" w:rsidRDefault="00594AAC">
      <w:pPr>
        <w:pStyle w:val="Para2"/>
        <w:rPr>
          <w:rFonts w:asciiTheme="minorHAnsi" w:hAnsiTheme="minorHAnsi"/>
        </w:rPr>
      </w:pPr>
      <w:r w:rsidRPr="002F2828">
        <w:rPr>
          <w:rFonts w:asciiTheme="minorHAnsi" w:hAnsiTheme="minorHAnsi"/>
        </w:rPr>
        <w:t xml:space="preserve">The </w:t>
      </w:r>
      <w:r w:rsidRPr="00222031">
        <w:rPr>
          <w:rFonts w:asciiTheme="minorHAnsi" w:hAnsiTheme="minorHAnsi"/>
          <w:b/>
        </w:rPr>
        <w:t xml:space="preserve">AMP </w:t>
      </w:r>
      <w:r w:rsidRPr="002F2828">
        <w:rPr>
          <w:rFonts w:asciiTheme="minorHAnsi" w:hAnsiTheme="minorHAnsi"/>
        </w:rPr>
        <w:t xml:space="preserve">must be structured and presented in a way that the </w:t>
      </w:r>
      <w:r w:rsidR="00460F21" w:rsidRPr="00222031">
        <w:rPr>
          <w:rFonts w:asciiTheme="minorHAnsi" w:hAnsiTheme="minorHAnsi"/>
          <w:b/>
        </w:rPr>
        <w:t>GDB</w:t>
      </w:r>
      <w:r w:rsidR="00460F21" w:rsidRPr="002F2828">
        <w:rPr>
          <w:rFonts w:asciiTheme="minorHAnsi" w:hAnsiTheme="minorHAnsi"/>
        </w:rPr>
        <w:t xml:space="preserve"> </w:t>
      </w:r>
      <w:r w:rsidRPr="002F2828">
        <w:rPr>
          <w:rFonts w:asciiTheme="minorHAnsi" w:hAnsiTheme="minorHAnsi"/>
        </w:rPr>
        <w:t xml:space="preserve">considers will support the purposes of </w:t>
      </w:r>
      <w:r w:rsidRPr="00222031">
        <w:rPr>
          <w:rFonts w:asciiTheme="minorHAnsi" w:hAnsiTheme="minorHAnsi"/>
          <w:b/>
        </w:rPr>
        <w:t xml:space="preserve">AMP </w:t>
      </w:r>
      <w:r w:rsidRPr="002F2828">
        <w:rPr>
          <w:rFonts w:asciiTheme="minorHAnsi" w:hAnsiTheme="minorHAnsi"/>
        </w:rPr>
        <w:t xml:space="preserve">disclosure set out in clause </w:t>
      </w:r>
      <w:r w:rsidR="00004445">
        <w:rPr>
          <w:rFonts w:asciiTheme="minorHAnsi" w:hAnsiTheme="minorHAnsi"/>
        </w:rPr>
        <w:fldChar w:fldCharType="begin"/>
      </w:r>
      <w:r w:rsidR="00B140D9">
        <w:rPr>
          <w:rFonts w:asciiTheme="minorHAnsi" w:hAnsiTheme="minorHAnsi"/>
        </w:rPr>
        <w:instrText xml:space="preserve"> REF _Ref313456371 \r \h </w:instrText>
      </w:r>
      <w:r w:rsidR="00004445">
        <w:rPr>
          <w:rFonts w:asciiTheme="minorHAnsi" w:hAnsiTheme="minorHAnsi"/>
        </w:rPr>
      </w:r>
      <w:r w:rsidR="00004445">
        <w:rPr>
          <w:rFonts w:asciiTheme="minorHAnsi" w:hAnsiTheme="minorHAnsi"/>
        </w:rPr>
        <w:fldChar w:fldCharType="separate"/>
      </w:r>
      <w:r w:rsidR="00A84D28">
        <w:rPr>
          <w:rFonts w:asciiTheme="minorHAnsi" w:hAnsiTheme="minorHAnsi"/>
        </w:rPr>
        <w:t>2.6.2</w:t>
      </w:r>
      <w:r w:rsidR="00004445">
        <w:rPr>
          <w:rFonts w:asciiTheme="minorHAnsi" w:hAnsiTheme="minorHAnsi"/>
        </w:rPr>
        <w:fldChar w:fldCharType="end"/>
      </w:r>
      <w:r w:rsidRPr="002F2828">
        <w:rPr>
          <w:rFonts w:asciiTheme="minorHAnsi" w:hAnsiTheme="minorHAnsi"/>
        </w:rPr>
        <w:t xml:space="preserve"> </w:t>
      </w:r>
      <w:r w:rsidR="00B56941" w:rsidRPr="002F2828">
        <w:rPr>
          <w:rFonts w:asciiTheme="minorHAnsi" w:hAnsiTheme="minorHAnsi"/>
        </w:rPr>
        <w:t>of th</w:t>
      </w:r>
      <w:r w:rsidR="00B140D9">
        <w:rPr>
          <w:rFonts w:asciiTheme="minorHAnsi" w:hAnsiTheme="minorHAnsi"/>
        </w:rPr>
        <w:t>e determination</w:t>
      </w:r>
      <w:r w:rsidRPr="002F2828">
        <w:rPr>
          <w:rFonts w:asciiTheme="minorHAnsi" w:hAnsiTheme="minorHAnsi"/>
        </w:rPr>
        <w:t>.</w:t>
      </w:r>
    </w:p>
    <w:p w:rsidR="00F56F86" w:rsidRDefault="00594AAC">
      <w:pPr>
        <w:pStyle w:val="Heading2"/>
      </w:pPr>
      <w:r w:rsidRPr="002F2828">
        <w:t>Assets covered</w:t>
      </w:r>
    </w:p>
    <w:p w:rsidR="00594AAC" w:rsidRPr="002F2828" w:rsidRDefault="00594AAC" w:rsidP="00594AAC">
      <w:pPr>
        <w:pStyle w:val="Para1"/>
        <w:rPr>
          <w:rFonts w:asciiTheme="minorHAnsi" w:hAnsiTheme="minorHAnsi"/>
        </w:rPr>
      </w:pPr>
      <w:r w:rsidRPr="002F2828">
        <w:rPr>
          <w:rFonts w:asciiTheme="minorHAnsi" w:hAnsiTheme="minorHAnsi"/>
        </w:rPr>
        <w:t xml:space="preserve">The </w:t>
      </w:r>
      <w:r w:rsidRPr="002F2828">
        <w:rPr>
          <w:rFonts w:asciiTheme="minorHAnsi" w:hAnsiTheme="minorHAnsi"/>
          <w:b/>
        </w:rPr>
        <w:t>AMP</w:t>
      </w:r>
      <w:r w:rsidRPr="002F2828">
        <w:rPr>
          <w:rFonts w:asciiTheme="minorHAnsi" w:hAnsiTheme="minorHAnsi"/>
        </w:rPr>
        <w:t xml:space="preserve"> must provide details of the assets covered, including</w:t>
      </w:r>
      <w:bookmarkEnd w:id="217"/>
      <w:r w:rsidRPr="002F2828">
        <w:rPr>
          <w:rFonts w:asciiTheme="minorHAnsi" w:hAnsiTheme="minorHAnsi"/>
        </w:rPr>
        <w:t>:</w:t>
      </w:r>
    </w:p>
    <w:p w:rsidR="00594AAC" w:rsidRPr="002F2828" w:rsidRDefault="003920F3" w:rsidP="00594AAC">
      <w:pPr>
        <w:pStyle w:val="Para2"/>
        <w:rPr>
          <w:rFonts w:asciiTheme="minorHAnsi" w:hAnsiTheme="minorHAnsi"/>
        </w:rPr>
      </w:pPr>
      <w:r w:rsidRPr="002F2828">
        <w:rPr>
          <w:rFonts w:asciiTheme="minorHAnsi" w:hAnsiTheme="minorHAnsi"/>
        </w:rPr>
        <w:t>A</w:t>
      </w:r>
      <w:r w:rsidR="00594AAC" w:rsidRPr="002F2828">
        <w:rPr>
          <w:rFonts w:asciiTheme="minorHAnsi" w:hAnsiTheme="minorHAnsi"/>
        </w:rPr>
        <w:t xml:space="preserve"> high-level description of the service areas covered by the </w:t>
      </w:r>
      <w:r w:rsidR="00460F21" w:rsidRPr="002F2828">
        <w:rPr>
          <w:rFonts w:asciiTheme="minorHAnsi" w:hAnsiTheme="minorHAnsi"/>
          <w:b/>
        </w:rPr>
        <w:t>GDB</w:t>
      </w:r>
      <w:r w:rsidR="00460F21" w:rsidRPr="002F2828">
        <w:rPr>
          <w:rFonts w:asciiTheme="minorHAnsi" w:hAnsiTheme="minorHAnsi"/>
        </w:rPr>
        <w:t xml:space="preserve"> </w:t>
      </w:r>
      <w:r w:rsidR="00594AAC" w:rsidRPr="002F2828">
        <w:rPr>
          <w:rFonts w:asciiTheme="minorHAnsi" w:hAnsiTheme="minorHAnsi"/>
        </w:rPr>
        <w:t>and the degree to which these are interlinked, including:</w:t>
      </w:r>
    </w:p>
    <w:p w:rsidR="00594AAC" w:rsidRPr="002F2828" w:rsidRDefault="00B56941" w:rsidP="00594AAC">
      <w:pPr>
        <w:pStyle w:val="Para3"/>
        <w:rPr>
          <w:rFonts w:asciiTheme="minorHAnsi" w:hAnsiTheme="minorHAnsi"/>
        </w:rPr>
      </w:pPr>
      <w:r w:rsidRPr="002F2828">
        <w:rPr>
          <w:rFonts w:asciiTheme="minorHAnsi" w:hAnsiTheme="minorHAnsi"/>
        </w:rPr>
        <w:t>the region(s) covered</w:t>
      </w:r>
    </w:p>
    <w:p w:rsidR="00594AAC" w:rsidRPr="002F2828" w:rsidRDefault="00594AAC" w:rsidP="00594AAC">
      <w:pPr>
        <w:pStyle w:val="Para3"/>
        <w:rPr>
          <w:rFonts w:asciiTheme="minorHAnsi" w:hAnsiTheme="minorHAnsi"/>
        </w:rPr>
      </w:pPr>
      <w:r w:rsidRPr="002F2828">
        <w:rPr>
          <w:rFonts w:asciiTheme="minorHAnsi" w:hAnsiTheme="minorHAnsi"/>
        </w:rPr>
        <w:t xml:space="preserve">identification of large </w:t>
      </w:r>
      <w:r w:rsidRPr="002F2828">
        <w:rPr>
          <w:rFonts w:asciiTheme="minorHAnsi" w:hAnsiTheme="minorHAnsi"/>
          <w:b/>
        </w:rPr>
        <w:t>consumers</w:t>
      </w:r>
      <w:r w:rsidRPr="002F2828">
        <w:rPr>
          <w:rFonts w:asciiTheme="minorHAnsi" w:hAnsiTheme="minorHAnsi"/>
        </w:rPr>
        <w:t xml:space="preserve"> that have a significant impact on </w:t>
      </w:r>
      <w:r w:rsidRPr="002F2828">
        <w:rPr>
          <w:rFonts w:asciiTheme="minorHAnsi" w:hAnsiTheme="minorHAnsi"/>
          <w:b/>
        </w:rPr>
        <w:t>network</w:t>
      </w:r>
      <w:r w:rsidRPr="002F2828">
        <w:rPr>
          <w:rFonts w:asciiTheme="minorHAnsi" w:hAnsiTheme="minorHAnsi"/>
        </w:rPr>
        <w:t xml:space="preserve"> operations</w:t>
      </w:r>
      <w:r w:rsidR="00B56941" w:rsidRPr="002F2828">
        <w:rPr>
          <w:rFonts w:asciiTheme="minorHAnsi" w:hAnsiTheme="minorHAnsi"/>
        </w:rPr>
        <w:t xml:space="preserve"> or asset management priorities</w:t>
      </w:r>
    </w:p>
    <w:p w:rsidR="00594AAC" w:rsidRPr="002F2828" w:rsidRDefault="00594AAC" w:rsidP="00594AAC">
      <w:pPr>
        <w:pStyle w:val="Para3"/>
        <w:rPr>
          <w:rFonts w:asciiTheme="minorHAnsi" w:hAnsiTheme="minorHAnsi"/>
        </w:rPr>
      </w:pPr>
      <w:r w:rsidRPr="002F2828">
        <w:rPr>
          <w:rFonts w:asciiTheme="minorHAnsi" w:hAnsiTheme="minorHAnsi"/>
        </w:rPr>
        <w:t xml:space="preserve">description of the load characteristics for different parts of the </w:t>
      </w:r>
      <w:r w:rsidRPr="002F2828">
        <w:rPr>
          <w:rFonts w:asciiTheme="minorHAnsi" w:hAnsiTheme="minorHAnsi"/>
          <w:b/>
        </w:rPr>
        <w:t>network</w:t>
      </w:r>
    </w:p>
    <w:p w:rsidR="00594AAC" w:rsidRPr="002F2828" w:rsidRDefault="00594AAC" w:rsidP="00594AAC">
      <w:pPr>
        <w:pStyle w:val="Para3"/>
        <w:rPr>
          <w:rFonts w:asciiTheme="minorHAnsi" w:hAnsiTheme="minorHAnsi"/>
        </w:rPr>
      </w:pPr>
      <w:proofErr w:type="gramStart"/>
      <w:r w:rsidRPr="002F2828">
        <w:rPr>
          <w:rFonts w:asciiTheme="minorHAnsi" w:hAnsiTheme="minorHAnsi"/>
        </w:rPr>
        <w:t>peak</w:t>
      </w:r>
      <w:proofErr w:type="gramEnd"/>
      <w:r w:rsidRPr="002F2828">
        <w:rPr>
          <w:rFonts w:asciiTheme="minorHAnsi" w:hAnsiTheme="minorHAnsi"/>
        </w:rPr>
        <w:t xml:space="preserve"> demand and total energy delivered in the previous year, broken down by </w:t>
      </w:r>
      <w:r w:rsidRPr="002F2828">
        <w:rPr>
          <w:rFonts w:asciiTheme="minorHAnsi" w:hAnsiTheme="minorHAnsi"/>
          <w:b/>
        </w:rPr>
        <w:t>sub-network</w:t>
      </w:r>
      <w:r w:rsidRPr="002F2828">
        <w:rPr>
          <w:rFonts w:asciiTheme="minorHAnsi" w:hAnsiTheme="minorHAnsi"/>
        </w:rPr>
        <w:t>, if any.</w:t>
      </w:r>
    </w:p>
    <w:p w:rsidR="00594AAC" w:rsidRPr="002F2828" w:rsidRDefault="00594AAC" w:rsidP="00594AAC">
      <w:pPr>
        <w:pStyle w:val="Para2"/>
        <w:rPr>
          <w:rFonts w:asciiTheme="minorHAnsi" w:hAnsiTheme="minorHAnsi"/>
        </w:rPr>
      </w:pPr>
      <w:bookmarkStart w:id="218" w:name="_Ref310796099"/>
      <w:r w:rsidRPr="002F2828">
        <w:rPr>
          <w:rFonts w:asciiTheme="minorHAnsi" w:hAnsiTheme="minorHAnsi"/>
        </w:rPr>
        <w:t xml:space="preserve">a description of the </w:t>
      </w:r>
      <w:r w:rsidRPr="002F2828">
        <w:rPr>
          <w:rFonts w:asciiTheme="minorHAnsi" w:hAnsiTheme="minorHAnsi"/>
          <w:b/>
        </w:rPr>
        <w:t>network</w:t>
      </w:r>
      <w:r w:rsidRPr="002F2828">
        <w:rPr>
          <w:rFonts w:asciiTheme="minorHAnsi" w:hAnsiTheme="minorHAnsi"/>
        </w:rPr>
        <w:t xml:space="preserve"> configuration</w:t>
      </w:r>
      <w:r w:rsidR="005C1DB4">
        <w:rPr>
          <w:rFonts w:asciiTheme="minorHAnsi" w:hAnsiTheme="minorHAnsi"/>
        </w:rPr>
        <w:t>, including:</w:t>
      </w:r>
      <w:bookmarkEnd w:id="218"/>
    </w:p>
    <w:p w:rsidR="00F56F86" w:rsidRDefault="009764C2">
      <w:pPr>
        <w:pStyle w:val="UnnumberedL3"/>
        <w:ind w:left="1418"/>
        <w:rPr>
          <w:rStyle w:val="Emphasis-Italics"/>
          <w:rFonts w:ascii="Times New Roman" w:hAnsi="Times New Roman"/>
        </w:rPr>
      </w:pPr>
      <w:proofErr w:type="gramStart"/>
      <w:r w:rsidRPr="009764C2">
        <w:rPr>
          <w:rStyle w:val="Emphasis-Italics"/>
          <w:rFonts w:ascii="Times New Roman" w:hAnsi="Times New Roman"/>
        </w:rPr>
        <w:t>if</w:t>
      </w:r>
      <w:proofErr w:type="gramEnd"/>
      <w:r w:rsidRPr="009764C2">
        <w:rPr>
          <w:rStyle w:val="Emphasis-Italics"/>
          <w:rFonts w:ascii="Times New Roman" w:hAnsi="Times New Roman"/>
        </w:rPr>
        <w:t xml:space="preserve"> sub-networks exist, the network configuration information </w:t>
      </w:r>
      <w:r w:rsidR="00F4698F">
        <w:rPr>
          <w:rStyle w:val="Emphasis-Italics"/>
        </w:rPr>
        <w:t xml:space="preserve">should </w:t>
      </w:r>
      <w:r w:rsidRPr="009764C2">
        <w:rPr>
          <w:rStyle w:val="Emphasis-Italics"/>
          <w:rFonts w:ascii="Times New Roman" w:hAnsi="Times New Roman"/>
        </w:rPr>
        <w:t>be disclosed for each sub-network.</w:t>
      </w:r>
    </w:p>
    <w:p w:rsidR="00F56F86" w:rsidRDefault="00594AAC">
      <w:pPr>
        <w:pStyle w:val="Para3"/>
      </w:pPr>
      <w:bookmarkStart w:id="219" w:name="_Ref310883132"/>
      <w:r w:rsidRPr="002F2828">
        <w:t>A map, with any cross-referenced information contained in an accompanying schedule, of each distribution system of the pipeline owner showing the following details:</w:t>
      </w:r>
      <w:bookmarkEnd w:id="219"/>
    </w:p>
    <w:p w:rsidR="00F56F86" w:rsidRDefault="00594AAC">
      <w:pPr>
        <w:pStyle w:val="Para4"/>
      </w:pPr>
      <w:bookmarkStart w:id="220" w:name="_Ref327969848"/>
      <w:r w:rsidRPr="002F2828">
        <w:t>the physical location of—</w:t>
      </w:r>
      <w:bookmarkEnd w:id="220"/>
    </w:p>
    <w:p w:rsidR="00F56F86" w:rsidRDefault="00594AAC">
      <w:pPr>
        <w:pStyle w:val="Para5"/>
      </w:pPr>
      <w:r w:rsidRPr="002F2828">
        <w:t>the whole distribution system (ot</w:t>
      </w:r>
      <w:r w:rsidR="00B56941" w:rsidRPr="002F2828">
        <w:t>her than service pipelines)</w:t>
      </w:r>
    </w:p>
    <w:p w:rsidR="00F56F86" w:rsidRDefault="006345F6">
      <w:pPr>
        <w:pStyle w:val="Para5"/>
      </w:pPr>
      <w:r w:rsidRPr="002F2828">
        <w:t xml:space="preserve">all </w:t>
      </w:r>
      <w:proofErr w:type="spellStart"/>
      <w:r w:rsidRPr="002F2828">
        <w:t>offtake</w:t>
      </w:r>
      <w:proofErr w:type="spellEnd"/>
      <w:r w:rsidRPr="002F2828">
        <w:t xml:space="preserve"> points with a throughput of gas of 20 000 </w:t>
      </w:r>
      <w:proofErr w:type="spellStart"/>
      <w:r w:rsidRPr="002F2828">
        <w:t>gigajoules</w:t>
      </w:r>
      <w:proofErr w:type="spellEnd"/>
      <w:r w:rsidRPr="002F2828">
        <w:t xml:space="preserve"> or more in the most recent </w:t>
      </w:r>
      <w:r w:rsidRPr="002F2828">
        <w:rPr>
          <w:b/>
        </w:rPr>
        <w:t>disclosure yea</w:t>
      </w:r>
      <w:r>
        <w:rPr>
          <w:b/>
        </w:rPr>
        <w:t>r</w:t>
      </w:r>
    </w:p>
    <w:p w:rsidR="00F56F86" w:rsidRDefault="00B56941">
      <w:pPr>
        <w:pStyle w:val="Para5"/>
      </w:pPr>
      <w:r w:rsidRPr="002F2828">
        <w:t>all intake points</w:t>
      </w:r>
    </w:p>
    <w:p w:rsidR="00F56F86" w:rsidRDefault="00594AAC">
      <w:pPr>
        <w:pStyle w:val="Para5"/>
      </w:pPr>
      <w:r w:rsidRPr="002F2828">
        <w:t>all pressure re</w:t>
      </w:r>
      <w:r w:rsidR="00AC2F9C" w:rsidRPr="002F2828">
        <w:t xml:space="preserve">gulating </w:t>
      </w:r>
      <w:r w:rsidR="00B56941" w:rsidRPr="002F2828">
        <w:t>stations</w:t>
      </w:r>
    </w:p>
    <w:p w:rsidR="00F56F86" w:rsidRDefault="00594AAC">
      <w:pPr>
        <w:pStyle w:val="Para5"/>
      </w:pPr>
      <w:proofErr w:type="gramStart"/>
      <w:r w:rsidRPr="002F2828">
        <w:t>all</w:t>
      </w:r>
      <w:proofErr w:type="gramEnd"/>
      <w:r w:rsidRPr="002F2828">
        <w:t xml:space="preserve"> mixing stations oth</w:t>
      </w:r>
      <w:r w:rsidR="00B56941" w:rsidRPr="002F2828">
        <w:t xml:space="preserve">er than those at </w:t>
      </w:r>
      <w:proofErr w:type="spellStart"/>
      <w:r w:rsidR="00B56941" w:rsidRPr="002F2828">
        <w:t>offtake</w:t>
      </w:r>
      <w:proofErr w:type="spellEnd"/>
      <w:r w:rsidR="00B56941" w:rsidRPr="002F2828">
        <w:t xml:space="preserve"> points.</w:t>
      </w:r>
    </w:p>
    <w:p w:rsidR="00F56F86" w:rsidRDefault="006345F6">
      <w:pPr>
        <w:pStyle w:val="Para4"/>
      </w:pPr>
      <w:bookmarkStart w:id="221" w:name="_Ref327969858"/>
      <w:r w:rsidRPr="002F2828">
        <w:t>notations showing—</w:t>
      </w:r>
      <w:bookmarkEnd w:id="221"/>
    </w:p>
    <w:p w:rsidR="00F56F86" w:rsidRDefault="006345F6">
      <w:pPr>
        <w:pStyle w:val="Para5"/>
      </w:pPr>
      <w:r w:rsidRPr="002F2828">
        <w:t xml:space="preserve">a unique identifier for each </w:t>
      </w:r>
      <w:proofErr w:type="spellStart"/>
      <w:r w:rsidRPr="002F2828">
        <w:t>offtake</w:t>
      </w:r>
      <w:proofErr w:type="spellEnd"/>
      <w:r w:rsidRPr="002F2828">
        <w:t xml:space="preserve"> point with a throughput of gas in the most recent </w:t>
      </w:r>
      <w:r w:rsidRPr="002F2828">
        <w:rPr>
          <w:b/>
        </w:rPr>
        <w:t>disclosure year</w:t>
      </w:r>
      <w:r w:rsidRPr="002F2828">
        <w:t xml:space="preserve"> of 20 000 </w:t>
      </w:r>
      <w:proofErr w:type="spellStart"/>
      <w:r w:rsidRPr="002F2828">
        <w:t>gigajoules</w:t>
      </w:r>
      <w:proofErr w:type="spellEnd"/>
      <w:r w:rsidRPr="002F2828">
        <w:t xml:space="preserve"> or more</w:t>
      </w:r>
    </w:p>
    <w:p w:rsidR="00F56F86" w:rsidRDefault="006345F6">
      <w:pPr>
        <w:pStyle w:val="Para5"/>
      </w:pPr>
      <w:r w:rsidRPr="002F2828">
        <w:t>internal, external, or nominal pipe diameters used (identifying whether internal, external, or nominal pipe diameters are used)</w:t>
      </w:r>
    </w:p>
    <w:p w:rsidR="00F56F86" w:rsidRDefault="006345F6">
      <w:pPr>
        <w:pStyle w:val="Para5"/>
      </w:pPr>
      <w:r w:rsidRPr="002F2828">
        <w:t>the maximum design working pressures (without changes to the system)</w:t>
      </w:r>
    </w:p>
    <w:p w:rsidR="00F56F86" w:rsidRDefault="006345F6">
      <w:pPr>
        <w:pStyle w:val="Para5"/>
      </w:pPr>
      <w:proofErr w:type="gramStart"/>
      <w:r w:rsidRPr="002F2828">
        <w:t>operating</w:t>
      </w:r>
      <w:proofErr w:type="gramEnd"/>
      <w:r w:rsidRPr="002F2828">
        <w:t xml:space="preserve"> pressures</w:t>
      </w:r>
      <w:r w:rsidR="00FE6057">
        <w:t>.</w:t>
      </w:r>
    </w:p>
    <w:p w:rsidR="00594AAC" w:rsidRPr="002F2828" w:rsidRDefault="00594AAC" w:rsidP="00594AAC">
      <w:pPr>
        <w:pStyle w:val="Para3"/>
        <w:rPr>
          <w:rFonts w:asciiTheme="minorHAnsi" w:hAnsiTheme="minorHAnsi"/>
        </w:rPr>
      </w:pPr>
      <w:r w:rsidRPr="002F2828">
        <w:rPr>
          <w:rFonts w:asciiTheme="minorHAnsi" w:hAnsiTheme="minorHAnsi"/>
        </w:rPr>
        <w:t xml:space="preserve">if applicable, the locations where a significant change (other than a change to service pipelines) has occurred since the previous disclosure of the information referred to in subclauses </w:t>
      </w:r>
      <w:r w:rsidR="00004445">
        <w:rPr>
          <w:rFonts w:asciiTheme="minorHAnsi" w:hAnsiTheme="minorHAnsi"/>
        </w:rPr>
        <w:fldChar w:fldCharType="begin"/>
      </w:r>
      <w:r w:rsidR="009C06A2">
        <w:rPr>
          <w:rFonts w:asciiTheme="minorHAnsi" w:hAnsiTheme="minorHAnsi"/>
        </w:rPr>
        <w:instrText xml:space="preserve"> REF _Ref327969848 \r \h </w:instrText>
      </w:r>
      <w:r w:rsidR="00004445">
        <w:rPr>
          <w:rFonts w:asciiTheme="minorHAnsi" w:hAnsiTheme="minorHAnsi"/>
        </w:rPr>
      </w:r>
      <w:r w:rsidR="00004445">
        <w:rPr>
          <w:rFonts w:asciiTheme="minorHAnsi" w:hAnsiTheme="minorHAnsi"/>
        </w:rPr>
        <w:fldChar w:fldCharType="separate"/>
      </w:r>
      <w:r w:rsidR="00A84D28">
        <w:rPr>
          <w:rFonts w:asciiTheme="minorHAnsi" w:hAnsiTheme="minorHAnsi"/>
        </w:rPr>
        <w:t>4.2.1(a)</w:t>
      </w:r>
      <w:r w:rsidR="00004445">
        <w:rPr>
          <w:rFonts w:asciiTheme="minorHAnsi" w:hAnsiTheme="minorHAnsi"/>
        </w:rPr>
        <w:fldChar w:fldCharType="end"/>
      </w:r>
      <w:r w:rsidR="009D039D">
        <w:rPr>
          <w:rFonts w:asciiTheme="minorHAnsi" w:hAnsiTheme="minorHAnsi"/>
        </w:rPr>
        <w:t xml:space="preserve"> </w:t>
      </w:r>
      <w:r w:rsidRPr="002F2828">
        <w:rPr>
          <w:rFonts w:asciiTheme="minorHAnsi" w:hAnsiTheme="minorHAnsi"/>
        </w:rPr>
        <w:t xml:space="preserve">and </w:t>
      </w:r>
      <w:r w:rsidR="00004445">
        <w:rPr>
          <w:rFonts w:asciiTheme="minorHAnsi" w:hAnsiTheme="minorHAnsi"/>
        </w:rPr>
        <w:fldChar w:fldCharType="begin"/>
      </w:r>
      <w:r w:rsidR="009C06A2">
        <w:rPr>
          <w:rFonts w:asciiTheme="minorHAnsi" w:hAnsiTheme="minorHAnsi"/>
        </w:rPr>
        <w:instrText xml:space="preserve"> REF _Ref327969858 \r \h </w:instrText>
      </w:r>
      <w:r w:rsidR="00004445">
        <w:rPr>
          <w:rFonts w:asciiTheme="minorHAnsi" w:hAnsiTheme="minorHAnsi"/>
        </w:rPr>
      </w:r>
      <w:r w:rsidR="00004445">
        <w:rPr>
          <w:rFonts w:asciiTheme="minorHAnsi" w:hAnsiTheme="minorHAnsi"/>
        </w:rPr>
        <w:fldChar w:fldCharType="separate"/>
      </w:r>
      <w:r w:rsidR="00A84D28">
        <w:rPr>
          <w:rFonts w:asciiTheme="minorHAnsi" w:hAnsiTheme="minorHAnsi"/>
        </w:rPr>
        <w:t>4.2.1(b)</w:t>
      </w:r>
      <w:r w:rsidR="00004445">
        <w:rPr>
          <w:rFonts w:asciiTheme="minorHAnsi" w:hAnsiTheme="minorHAnsi"/>
        </w:rPr>
        <w:fldChar w:fldCharType="end"/>
      </w:r>
      <w:r w:rsidR="00B56941" w:rsidRPr="002F2828">
        <w:rPr>
          <w:rFonts w:asciiTheme="minorHAnsi" w:hAnsiTheme="minorHAnsi"/>
        </w:rPr>
        <w:t xml:space="preserve"> </w:t>
      </w:r>
      <w:r w:rsidR="009D039D">
        <w:rPr>
          <w:rFonts w:asciiTheme="minorHAnsi" w:hAnsiTheme="minorHAnsi"/>
        </w:rPr>
        <w:t>above</w:t>
      </w:r>
      <w:r w:rsidRPr="002F2828">
        <w:rPr>
          <w:rFonts w:asciiTheme="minorHAnsi" w:hAnsiTheme="minorHAnsi"/>
        </w:rPr>
        <w:t>, including—</w:t>
      </w:r>
    </w:p>
    <w:p w:rsidR="00594AAC" w:rsidRPr="002F2828" w:rsidRDefault="00594AAC" w:rsidP="00594AAC">
      <w:pPr>
        <w:pStyle w:val="Para4"/>
        <w:rPr>
          <w:rFonts w:asciiTheme="minorHAnsi" w:hAnsiTheme="minorHAnsi"/>
        </w:rPr>
      </w:pPr>
      <w:r w:rsidRPr="002F2828">
        <w:rPr>
          <w:rFonts w:asciiTheme="minorHAnsi" w:hAnsiTheme="minorHAnsi"/>
        </w:rPr>
        <w:t>a clear description of every location on the pipeline system, other than any service pipeline, tha</w:t>
      </w:r>
      <w:r w:rsidR="00B56941" w:rsidRPr="002F2828">
        <w:rPr>
          <w:rFonts w:asciiTheme="minorHAnsi" w:hAnsiTheme="minorHAnsi"/>
        </w:rPr>
        <w:t>t is affected by the change</w:t>
      </w:r>
    </w:p>
    <w:p w:rsidR="00594AAC" w:rsidRPr="002F2828" w:rsidRDefault="00594AAC" w:rsidP="00594AAC">
      <w:pPr>
        <w:pStyle w:val="Para4"/>
        <w:rPr>
          <w:rFonts w:asciiTheme="minorHAnsi" w:hAnsiTheme="minorHAnsi"/>
        </w:rPr>
      </w:pPr>
      <w:proofErr w:type="gramStart"/>
      <w:r w:rsidRPr="002F2828">
        <w:rPr>
          <w:rFonts w:asciiTheme="minorHAnsi" w:hAnsiTheme="minorHAnsi"/>
        </w:rPr>
        <w:t>a</w:t>
      </w:r>
      <w:proofErr w:type="gramEnd"/>
      <w:r w:rsidRPr="002F2828">
        <w:rPr>
          <w:rFonts w:asciiTheme="minorHAnsi" w:hAnsiTheme="minorHAnsi"/>
        </w:rPr>
        <w:t xml:space="preserve"> description of the nature of the change.</w:t>
      </w:r>
    </w:p>
    <w:p w:rsidR="00F56F86" w:rsidRDefault="00FE6057">
      <w:pPr>
        <w:pStyle w:val="Para2"/>
      </w:pPr>
      <w:bookmarkStart w:id="222" w:name="_Ref310883236"/>
      <w:r w:rsidRPr="002F2828">
        <w:t xml:space="preserve">For the purposes of the requirement to </w:t>
      </w:r>
      <w:r w:rsidRPr="002F2828">
        <w:rPr>
          <w:b/>
        </w:rPr>
        <w:t>publicly disclose</w:t>
      </w:r>
      <w:r w:rsidRPr="002F2828">
        <w:t xml:space="preserve"> the map referred to in </w:t>
      </w:r>
      <w:r w:rsidR="009D039D">
        <w:t>sub</w:t>
      </w:r>
      <w:r w:rsidRPr="002F2828">
        <w:t xml:space="preserve">clause </w:t>
      </w:r>
      <w:r w:rsidR="00004445">
        <w:fldChar w:fldCharType="begin"/>
      </w:r>
      <w:r w:rsidR="009D039D">
        <w:instrText xml:space="preserve"> REF _Ref310883132 \r \h </w:instrText>
      </w:r>
      <w:r w:rsidR="00004445">
        <w:fldChar w:fldCharType="separate"/>
      </w:r>
      <w:r w:rsidR="00A84D28">
        <w:t>4.2.1</w:t>
      </w:r>
      <w:r w:rsidR="00004445">
        <w:fldChar w:fldCharType="end"/>
      </w:r>
      <w:r w:rsidRPr="002F2828">
        <w:t xml:space="preserve"> of this Appendix, a </w:t>
      </w:r>
      <w:r w:rsidRPr="002F2828">
        <w:rPr>
          <w:b/>
        </w:rPr>
        <w:t xml:space="preserve">GDB </w:t>
      </w:r>
      <w:r w:rsidRPr="002F2828">
        <w:t xml:space="preserve">is deemed to comply with the requirement if the </w:t>
      </w:r>
      <w:r w:rsidRPr="002F2828">
        <w:rPr>
          <w:b/>
        </w:rPr>
        <w:t>GDB</w:t>
      </w:r>
      <w:r w:rsidR="00866BD4" w:rsidRPr="00866BD4">
        <w:t>,</w:t>
      </w:r>
      <w:r w:rsidRPr="002F2828">
        <w:t xml:space="preserve"> within 5 months after the end of each financial year, makes copies of the maps available for inspection, during ordinary office hours, at the principal offices of that </w:t>
      </w:r>
      <w:r w:rsidRPr="002F2828">
        <w:rPr>
          <w:b/>
        </w:rPr>
        <w:t>GDB</w:t>
      </w:r>
      <w:r w:rsidR="00866BD4" w:rsidRPr="00866BD4">
        <w:t>.</w:t>
      </w:r>
    </w:p>
    <w:p w:rsidR="00F56F86" w:rsidRDefault="00594AAC">
      <w:pPr>
        <w:pStyle w:val="Heading2"/>
      </w:pPr>
      <w:r w:rsidRPr="002F2828">
        <w:t>Network assets by category</w:t>
      </w:r>
    </w:p>
    <w:p w:rsidR="00594AAC" w:rsidRPr="002F2828" w:rsidRDefault="00F61B9A" w:rsidP="00F61B9A">
      <w:pPr>
        <w:pStyle w:val="Para2"/>
        <w:rPr>
          <w:rFonts w:asciiTheme="minorHAnsi" w:hAnsiTheme="minorHAnsi"/>
        </w:rPr>
      </w:pPr>
      <w:bookmarkStart w:id="223" w:name="_Ref327987096"/>
      <w:r w:rsidRPr="002F2828">
        <w:rPr>
          <w:rFonts w:asciiTheme="minorHAnsi" w:hAnsiTheme="minorHAnsi"/>
        </w:rPr>
        <w:t>T</w:t>
      </w:r>
      <w:r w:rsidR="00652657" w:rsidRPr="002F2828">
        <w:rPr>
          <w:rFonts w:asciiTheme="minorHAnsi" w:hAnsiTheme="minorHAnsi"/>
        </w:rPr>
        <w:t xml:space="preserve">he </w:t>
      </w:r>
      <w:r w:rsidR="00594AAC" w:rsidRPr="002F2828">
        <w:rPr>
          <w:rFonts w:asciiTheme="minorHAnsi" w:hAnsiTheme="minorHAnsi"/>
          <w:b/>
        </w:rPr>
        <w:t>AMP</w:t>
      </w:r>
      <w:r w:rsidR="00594AAC" w:rsidRPr="002F2828">
        <w:rPr>
          <w:rFonts w:asciiTheme="minorHAnsi" w:hAnsiTheme="minorHAnsi"/>
        </w:rPr>
        <w:t xml:space="preserve"> must describe the </w:t>
      </w:r>
      <w:r w:rsidR="00594AAC" w:rsidRPr="002F2828">
        <w:rPr>
          <w:rFonts w:asciiTheme="minorHAnsi" w:hAnsiTheme="minorHAnsi"/>
          <w:b/>
        </w:rPr>
        <w:t>network</w:t>
      </w:r>
      <w:r w:rsidR="00594AAC" w:rsidRPr="002F2828">
        <w:rPr>
          <w:rFonts w:asciiTheme="minorHAnsi" w:hAnsiTheme="minorHAnsi"/>
        </w:rPr>
        <w:t xml:space="preserve"> assets by providing the following information for each </w:t>
      </w:r>
      <w:r w:rsidR="00594AAC" w:rsidRPr="00C61334">
        <w:rPr>
          <w:rFonts w:asciiTheme="minorHAnsi" w:hAnsiTheme="minorHAnsi"/>
        </w:rPr>
        <w:t>asset category</w:t>
      </w:r>
      <w:r w:rsidR="00594AAC" w:rsidRPr="002F2828">
        <w:rPr>
          <w:rFonts w:asciiTheme="minorHAnsi" w:hAnsiTheme="minorHAnsi"/>
        </w:rPr>
        <w:t>:</w:t>
      </w:r>
      <w:bookmarkEnd w:id="222"/>
      <w:bookmarkEnd w:id="223"/>
    </w:p>
    <w:p w:rsidR="00594AAC" w:rsidRPr="002F2828" w:rsidRDefault="009C06A2" w:rsidP="00F61B9A">
      <w:pPr>
        <w:pStyle w:val="Para3"/>
        <w:rPr>
          <w:rFonts w:asciiTheme="minorHAnsi" w:hAnsiTheme="minorHAnsi"/>
        </w:rPr>
      </w:pPr>
      <w:r>
        <w:rPr>
          <w:rFonts w:asciiTheme="minorHAnsi" w:hAnsiTheme="minorHAnsi"/>
        </w:rPr>
        <w:t>p</w:t>
      </w:r>
      <w:r w:rsidR="00B56941" w:rsidRPr="002F2828">
        <w:rPr>
          <w:rFonts w:asciiTheme="minorHAnsi" w:hAnsiTheme="minorHAnsi"/>
        </w:rPr>
        <w:t>ressure</w:t>
      </w:r>
    </w:p>
    <w:p w:rsidR="00594AAC" w:rsidRPr="002F2828" w:rsidRDefault="00AC2F9C" w:rsidP="00F61B9A">
      <w:pPr>
        <w:pStyle w:val="Para3"/>
        <w:rPr>
          <w:rFonts w:asciiTheme="minorHAnsi" w:hAnsiTheme="minorHAnsi"/>
        </w:rPr>
      </w:pPr>
      <w:r w:rsidRPr="002F2828">
        <w:rPr>
          <w:rFonts w:asciiTheme="minorHAnsi" w:hAnsiTheme="minorHAnsi"/>
        </w:rPr>
        <w:t>d</w:t>
      </w:r>
      <w:r w:rsidR="00594AAC" w:rsidRPr="002F2828">
        <w:rPr>
          <w:rFonts w:asciiTheme="minorHAnsi" w:hAnsiTheme="minorHAnsi"/>
        </w:rPr>
        <w:t>es</w:t>
      </w:r>
      <w:r w:rsidR="00B56941" w:rsidRPr="002F2828">
        <w:rPr>
          <w:rFonts w:asciiTheme="minorHAnsi" w:hAnsiTheme="minorHAnsi"/>
        </w:rPr>
        <w:t>cription and quantity of assets</w:t>
      </w:r>
    </w:p>
    <w:p w:rsidR="00594AAC" w:rsidRPr="002F2828" w:rsidRDefault="00B56941" w:rsidP="00F61B9A">
      <w:pPr>
        <w:pStyle w:val="Para3"/>
        <w:rPr>
          <w:rFonts w:asciiTheme="minorHAnsi" w:hAnsiTheme="minorHAnsi"/>
        </w:rPr>
      </w:pPr>
      <w:r w:rsidRPr="002F2828">
        <w:rPr>
          <w:rFonts w:asciiTheme="minorHAnsi" w:hAnsiTheme="minorHAnsi"/>
        </w:rPr>
        <w:t>age profiles</w:t>
      </w:r>
    </w:p>
    <w:p w:rsidR="00594AAC" w:rsidRPr="002F2828" w:rsidRDefault="00594AAC" w:rsidP="00F61B9A">
      <w:pPr>
        <w:pStyle w:val="Para3"/>
        <w:rPr>
          <w:rFonts w:asciiTheme="minorHAnsi" w:hAnsiTheme="minorHAnsi"/>
        </w:rPr>
      </w:pPr>
      <w:proofErr w:type="gramStart"/>
      <w:r w:rsidRPr="002F2828">
        <w:rPr>
          <w:rFonts w:asciiTheme="minorHAnsi" w:hAnsiTheme="minorHAnsi"/>
        </w:rPr>
        <w:t>a</w:t>
      </w:r>
      <w:proofErr w:type="gramEnd"/>
      <w:r w:rsidRPr="002F2828">
        <w:rPr>
          <w:rFonts w:asciiTheme="minorHAnsi" w:hAnsiTheme="minorHAnsi"/>
        </w:rPr>
        <w:t xml:space="preserve"> discussion of the results of formal risk assessments of the assets, further broken down </w:t>
      </w:r>
      <w:r w:rsidR="009D039D">
        <w:rPr>
          <w:rFonts w:asciiTheme="minorHAnsi" w:hAnsiTheme="minorHAnsi"/>
        </w:rPr>
        <w:t xml:space="preserve">by subcategory </w:t>
      </w:r>
      <w:r w:rsidRPr="002F2828">
        <w:rPr>
          <w:rFonts w:asciiTheme="minorHAnsi" w:hAnsiTheme="minorHAnsi"/>
        </w:rPr>
        <w:t>as appropriate</w:t>
      </w:r>
      <w:r w:rsidR="0099003F">
        <w:rPr>
          <w:rFonts w:asciiTheme="minorHAnsi" w:hAnsiTheme="minorHAnsi"/>
        </w:rPr>
        <w:t xml:space="preserve">. </w:t>
      </w:r>
      <w:r w:rsidRPr="002F2828">
        <w:rPr>
          <w:rFonts w:asciiTheme="minorHAnsi" w:hAnsiTheme="minorHAnsi"/>
        </w:rPr>
        <w:t>Systemic issues leading to the premature replacement of assets or parts of assets should be discussed.</w:t>
      </w:r>
    </w:p>
    <w:p w:rsidR="00594AAC" w:rsidRPr="002F2828" w:rsidRDefault="00594AAC" w:rsidP="00F61B9A">
      <w:pPr>
        <w:pStyle w:val="Para2"/>
        <w:rPr>
          <w:rFonts w:asciiTheme="minorHAnsi" w:hAnsiTheme="minorHAnsi"/>
        </w:rPr>
      </w:pPr>
      <w:bookmarkStart w:id="224" w:name="_Ref329298460"/>
      <w:r w:rsidRPr="002F2828">
        <w:rPr>
          <w:rFonts w:asciiTheme="minorHAnsi" w:hAnsiTheme="minorHAnsi"/>
        </w:rPr>
        <w:t xml:space="preserve">The </w:t>
      </w:r>
      <w:r w:rsidRPr="00C61334">
        <w:rPr>
          <w:rFonts w:asciiTheme="minorHAnsi" w:hAnsiTheme="minorHAnsi"/>
        </w:rPr>
        <w:t>asset categories</w:t>
      </w:r>
      <w:r w:rsidR="00AC2F9C" w:rsidRPr="002F2828">
        <w:rPr>
          <w:rFonts w:asciiTheme="minorHAnsi" w:hAnsiTheme="minorHAnsi"/>
        </w:rPr>
        <w:t xml:space="preserve"> discussed in subclause </w:t>
      </w:r>
      <w:r w:rsidR="00004445">
        <w:rPr>
          <w:rFonts w:asciiTheme="minorHAnsi" w:hAnsiTheme="minorHAnsi"/>
        </w:rPr>
        <w:fldChar w:fldCharType="begin"/>
      </w:r>
      <w:r w:rsidR="009D039D">
        <w:rPr>
          <w:rFonts w:asciiTheme="minorHAnsi" w:hAnsiTheme="minorHAnsi"/>
        </w:rPr>
        <w:instrText xml:space="preserve"> REF _Ref327987096 \r \h </w:instrText>
      </w:r>
      <w:r w:rsidR="00004445">
        <w:rPr>
          <w:rFonts w:asciiTheme="minorHAnsi" w:hAnsiTheme="minorHAnsi"/>
        </w:rPr>
      </w:r>
      <w:r w:rsidR="00004445">
        <w:rPr>
          <w:rFonts w:asciiTheme="minorHAnsi" w:hAnsiTheme="minorHAnsi"/>
        </w:rPr>
        <w:fldChar w:fldCharType="separate"/>
      </w:r>
      <w:r w:rsidR="00A84D28">
        <w:rPr>
          <w:rFonts w:asciiTheme="minorHAnsi" w:hAnsiTheme="minorHAnsi"/>
        </w:rPr>
        <w:t>4.4</w:t>
      </w:r>
      <w:r w:rsidR="00004445">
        <w:rPr>
          <w:rFonts w:asciiTheme="minorHAnsi" w:hAnsiTheme="minorHAnsi"/>
        </w:rPr>
        <w:fldChar w:fldCharType="end"/>
      </w:r>
      <w:r w:rsidR="009D039D">
        <w:rPr>
          <w:rFonts w:asciiTheme="minorHAnsi" w:hAnsiTheme="minorHAnsi"/>
        </w:rPr>
        <w:t xml:space="preserve"> above</w:t>
      </w:r>
      <w:r w:rsidRPr="002F2828">
        <w:rPr>
          <w:rFonts w:asciiTheme="minorHAnsi" w:hAnsiTheme="minorHAnsi"/>
        </w:rPr>
        <w:t xml:space="preserve"> should include at least the following:</w:t>
      </w:r>
      <w:bookmarkEnd w:id="224"/>
    </w:p>
    <w:p w:rsidR="00F56F86" w:rsidRDefault="00D86082">
      <w:pPr>
        <w:pStyle w:val="Para3"/>
        <w:rPr>
          <w:rFonts w:asciiTheme="minorHAnsi" w:hAnsiTheme="minorHAnsi"/>
        </w:rPr>
      </w:pPr>
      <w:r w:rsidRPr="00D86082">
        <w:rPr>
          <w:rFonts w:asciiTheme="minorHAnsi" w:hAnsiTheme="minorHAnsi"/>
        </w:rPr>
        <w:t xml:space="preserve">main </w:t>
      </w:r>
      <w:r>
        <w:rPr>
          <w:rFonts w:asciiTheme="minorHAnsi" w:hAnsiTheme="minorHAnsi"/>
        </w:rPr>
        <w:t>pipe</w:t>
      </w:r>
    </w:p>
    <w:p w:rsidR="00F56F86" w:rsidRDefault="00D86082">
      <w:pPr>
        <w:pStyle w:val="Para3"/>
        <w:rPr>
          <w:rFonts w:asciiTheme="minorHAnsi" w:hAnsiTheme="minorHAnsi"/>
        </w:rPr>
      </w:pPr>
      <w:r>
        <w:rPr>
          <w:rFonts w:asciiTheme="minorHAnsi" w:hAnsiTheme="minorHAnsi"/>
        </w:rPr>
        <w:t>service pipe</w:t>
      </w:r>
    </w:p>
    <w:p w:rsidR="00F56F86" w:rsidRDefault="00D86082">
      <w:pPr>
        <w:pStyle w:val="Para3"/>
        <w:rPr>
          <w:rFonts w:asciiTheme="minorHAnsi" w:hAnsiTheme="minorHAnsi"/>
        </w:rPr>
      </w:pPr>
      <w:r w:rsidRPr="00D86082">
        <w:rPr>
          <w:rFonts w:asciiTheme="minorHAnsi" w:hAnsiTheme="minorHAnsi"/>
        </w:rPr>
        <w:t xml:space="preserve">district </w:t>
      </w:r>
      <w:r>
        <w:rPr>
          <w:rFonts w:asciiTheme="minorHAnsi" w:hAnsiTheme="minorHAnsi"/>
        </w:rPr>
        <w:t>regulator and metering stations</w:t>
      </w:r>
    </w:p>
    <w:p w:rsidR="00F56F86" w:rsidRDefault="00D86082">
      <w:pPr>
        <w:pStyle w:val="Para3"/>
        <w:rPr>
          <w:rFonts w:asciiTheme="minorHAnsi" w:hAnsiTheme="minorHAnsi"/>
        </w:rPr>
      </w:pPr>
      <w:r>
        <w:rPr>
          <w:rFonts w:asciiTheme="minorHAnsi" w:hAnsiTheme="minorHAnsi"/>
        </w:rPr>
        <w:t>valve</w:t>
      </w:r>
    </w:p>
    <w:p w:rsidR="00D86082" w:rsidRDefault="00D86082" w:rsidP="00D86082">
      <w:pPr>
        <w:pStyle w:val="Para3"/>
        <w:rPr>
          <w:rFonts w:asciiTheme="minorHAnsi" w:hAnsiTheme="minorHAnsi"/>
        </w:rPr>
      </w:pPr>
      <w:r w:rsidRPr="00D86082">
        <w:rPr>
          <w:rFonts w:asciiTheme="minorHAnsi" w:hAnsiTheme="minorHAnsi"/>
        </w:rPr>
        <w:t>special crossings</w:t>
      </w:r>
    </w:p>
    <w:p w:rsidR="00D86082" w:rsidRPr="00D86082" w:rsidRDefault="00D86082" w:rsidP="00D86082">
      <w:pPr>
        <w:pStyle w:val="Para3"/>
        <w:rPr>
          <w:rFonts w:asciiTheme="minorHAnsi" w:hAnsiTheme="minorHAnsi"/>
        </w:rPr>
      </w:pPr>
      <w:r w:rsidRPr="00D86082">
        <w:rPr>
          <w:rFonts w:asciiTheme="minorHAnsi" w:hAnsiTheme="minorHAnsi"/>
        </w:rPr>
        <w:t>monitoring and control systems</w:t>
      </w:r>
    </w:p>
    <w:p w:rsidR="00594AAC" w:rsidRPr="002F2828" w:rsidRDefault="00D86082" w:rsidP="00D86082">
      <w:pPr>
        <w:pStyle w:val="Para3"/>
        <w:rPr>
          <w:rFonts w:asciiTheme="minorHAnsi" w:hAnsiTheme="minorHAnsi"/>
        </w:rPr>
      </w:pPr>
      <w:r w:rsidRPr="00D86082">
        <w:rPr>
          <w:rFonts w:asciiTheme="minorHAnsi" w:hAnsiTheme="minorHAnsi"/>
        </w:rPr>
        <w:t>cathodic protection systems</w:t>
      </w:r>
    </w:p>
    <w:p w:rsidR="00594AAC" w:rsidRPr="002F2828" w:rsidRDefault="00594AAC" w:rsidP="00F61B9A">
      <w:pPr>
        <w:pStyle w:val="Para3"/>
        <w:rPr>
          <w:rFonts w:asciiTheme="minorHAnsi" w:hAnsiTheme="minorHAnsi"/>
        </w:rPr>
      </w:pPr>
      <w:proofErr w:type="gramStart"/>
      <w:r w:rsidRPr="002F2828">
        <w:rPr>
          <w:rFonts w:asciiTheme="minorHAnsi" w:hAnsiTheme="minorHAnsi"/>
        </w:rPr>
        <w:t>assets</w:t>
      </w:r>
      <w:proofErr w:type="gramEnd"/>
      <w:r w:rsidRPr="002F2828">
        <w:rPr>
          <w:rFonts w:asciiTheme="minorHAnsi" w:hAnsiTheme="minorHAnsi"/>
        </w:rPr>
        <w:t xml:space="preserve"> owned by the </w:t>
      </w:r>
      <w:r w:rsidRPr="002F2828">
        <w:rPr>
          <w:rFonts w:asciiTheme="minorHAnsi" w:hAnsiTheme="minorHAnsi"/>
          <w:b/>
        </w:rPr>
        <w:t>GDB</w:t>
      </w:r>
      <w:r w:rsidRPr="002F2828">
        <w:rPr>
          <w:rFonts w:asciiTheme="minorHAnsi" w:hAnsiTheme="minorHAnsi"/>
        </w:rPr>
        <w:t xml:space="preserve"> but installed at </w:t>
      </w:r>
      <w:r w:rsidRPr="002F2828">
        <w:rPr>
          <w:rFonts w:asciiTheme="minorHAnsi" w:hAnsiTheme="minorHAnsi"/>
          <w:b/>
        </w:rPr>
        <w:t>gate stations</w:t>
      </w:r>
      <w:r w:rsidRPr="002F2828">
        <w:rPr>
          <w:rFonts w:asciiTheme="minorHAnsi" w:hAnsiTheme="minorHAnsi"/>
        </w:rPr>
        <w:t xml:space="preserve"> owned by others.</w:t>
      </w:r>
    </w:p>
    <w:p w:rsidR="00F56F86" w:rsidRDefault="00594AAC">
      <w:pPr>
        <w:pStyle w:val="Heading2"/>
      </w:pPr>
      <w:r w:rsidRPr="002F2828">
        <w:t>Service Levels</w:t>
      </w:r>
    </w:p>
    <w:p w:rsidR="00594AAC" w:rsidRPr="002F2828" w:rsidRDefault="00594AAC" w:rsidP="00594AAC">
      <w:pPr>
        <w:pStyle w:val="Para1"/>
        <w:rPr>
          <w:rFonts w:asciiTheme="minorHAnsi" w:hAnsiTheme="minorHAnsi"/>
        </w:rPr>
      </w:pPr>
      <w:bookmarkStart w:id="225" w:name="_Ref307423302"/>
      <w:r w:rsidRPr="002F2828">
        <w:rPr>
          <w:rFonts w:asciiTheme="minorHAnsi" w:hAnsiTheme="minorHAnsi"/>
        </w:rPr>
        <w:t xml:space="preserve">The </w:t>
      </w:r>
      <w:r w:rsidRPr="002F2828">
        <w:rPr>
          <w:rFonts w:asciiTheme="minorHAnsi" w:hAnsiTheme="minorHAnsi"/>
          <w:b/>
        </w:rPr>
        <w:t>AMP</w:t>
      </w:r>
      <w:r w:rsidRPr="002F2828">
        <w:rPr>
          <w:rFonts w:asciiTheme="minorHAnsi" w:hAnsiTheme="minorHAnsi"/>
        </w:rPr>
        <w:t xml:space="preserve"> must clearly identify or define a set of performance indicators for which annual performance targets have been defined</w:t>
      </w:r>
      <w:r w:rsidR="0099003F">
        <w:rPr>
          <w:rFonts w:asciiTheme="minorHAnsi" w:hAnsiTheme="minorHAnsi"/>
        </w:rPr>
        <w:t xml:space="preserve">. </w:t>
      </w:r>
      <w:r w:rsidRPr="002F2828">
        <w:rPr>
          <w:rFonts w:asciiTheme="minorHAnsi" w:hAnsiTheme="minorHAnsi"/>
        </w:rPr>
        <w:t xml:space="preserve">The annual performance targets must be consistent with business strategies and asset management objectives and be provided for each year of the </w:t>
      </w:r>
      <w:r w:rsidRPr="002F2828">
        <w:rPr>
          <w:rFonts w:asciiTheme="minorHAnsi" w:hAnsiTheme="minorHAnsi"/>
          <w:b/>
        </w:rPr>
        <w:t>AMP planning period</w:t>
      </w:r>
      <w:r w:rsidR="0099003F">
        <w:rPr>
          <w:rFonts w:asciiTheme="minorHAnsi" w:hAnsiTheme="minorHAnsi"/>
        </w:rPr>
        <w:t xml:space="preserve">. </w:t>
      </w:r>
      <w:r w:rsidRPr="002F2828">
        <w:rPr>
          <w:rFonts w:asciiTheme="minorHAnsi" w:hAnsiTheme="minorHAnsi"/>
        </w:rPr>
        <w:t xml:space="preserve">The targets should reflect what is practically achievable given the current </w:t>
      </w:r>
      <w:r w:rsidRPr="002F2828">
        <w:rPr>
          <w:rFonts w:asciiTheme="minorHAnsi" w:hAnsiTheme="minorHAnsi"/>
          <w:b/>
        </w:rPr>
        <w:t>network</w:t>
      </w:r>
      <w:r w:rsidRPr="002F2828">
        <w:rPr>
          <w:rFonts w:asciiTheme="minorHAnsi" w:hAnsiTheme="minorHAnsi"/>
        </w:rPr>
        <w:t xml:space="preserve"> configuration, condition and planned expenditure levels</w:t>
      </w:r>
      <w:r w:rsidR="0099003F">
        <w:rPr>
          <w:rFonts w:asciiTheme="minorHAnsi" w:hAnsiTheme="minorHAnsi"/>
        </w:rPr>
        <w:t xml:space="preserve">. </w:t>
      </w:r>
      <w:r w:rsidRPr="002F2828">
        <w:rPr>
          <w:rFonts w:asciiTheme="minorHAnsi" w:hAnsiTheme="minorHAnsi"/>
        </w:rPr>
        <w:t xml:space="preserve">The targets should be disclosed for each year of the </w:t>
      </w:r>
      <w:r w:rsidRPr="002F2828">
        <w:rPr>
          <w:rFonts w:asciiTheme="minorHAnsi" w:hAnsiTheme="minorHAnsi"/>
          <w:b/>
        </w:rPr>
        <w:t>AMP planning period</w:t>
      </w:r>
      <w:r w:rsidRPr="002F2828">
        <w:rPr>
          <w:rFonts w:asciiTheme="minorHAnsi" w:hAnsiTheme="minorHAnsi"/>
        </w:rPr>
        <w:t>.</w:t>
      </w:r>
      <w:bookmarkEnd w:id="225"/>
    </w:p>
    <w:p w:rsidR="00381209" w:rsidRDefault="00594AAC" w:rsidP="00594AAC">
      <w:pPr>
        <w:pStyle w:val="Para1"/>
        <w:rPr>
          <w:rFonts w:asciiTheme="minorHAnsi" w:hAnsiTheme="minorHAnsi"/>
        </w:rPr>
      </w:pPr>
      <w:r w:rsidRPr="002F2828">
        <w:rPr>
          <w:rFonts w:asciiTheme="minorHAnsi" w:hAnsiTheme="minorHAnsi"/>
        </w:rPr>
        <w:t xml:space="preserve">Performance indicators for which targets </w:t>
      </w:r>
      <w:r w:rsidR="00381209">
        <w:rPr>
          <w:rFonts w:asciiTheme="minorHAnsi" w:hAnsiTheme="minorHAnsi"/>
        </w:rPr>
        <w:t>are</w:t>
      </w:r>
      <w:r w:rsidRPr="002F2828">
        <w:rPr>
          <w:rFonts w:asciiTheme="minorHAnsi" w:hAnsiTheme="minorHAnsi"/>
        </w:rPr>
        <w:t xml:space="preserve"> defined in clause </w:t>
      </w:r>
      <w:r w:rsidR="00004445">
        <w:rPr>
          <w:rFonts w:asciiTheme="minorHAnsi" w:hAnsiTheme="minorHAnsi"/>
        </w:rPr>
        <w:fldChar w:fldCharType="begin"/>
      </w:r>
      <w:r w:rsidR="00B16D1F">
        <w:rPr>
          <w:rFonts w:asciiTheme="minorHAnsi" w:hAnsiTheme="minorHAnsi"/>
        </w:rPr>
        <w:instrText xml:space="preserve"> REF _Ref307423302 \r \h </w:instrText>
      </w:r>
      <w:r w:rsidR="00004445">
        <w:rPr>
          <w:rFonts w:asciiTheme="minorHAnsi" w:hAnsiTheme="minorHAnsi"/>
        </w:rPr>
      </w:r>
      <w:r w:rsidR="00004445">
        <w:rPr>
          <w:rFonts w:asciiTheme="minorHAnsi" w:hAnsiTheme="minorHAnsi"/>
        </w:rPr>
        <w:fldChar w:fldCharType="separate"/>
      </w:r>
      <w:r w:rsidR="00A84D28">
        <w:rPr>
          <w:rFonts w:asciiTheme="minorHAnsi" w:hAnsiTheme="minorHAnsi"/>
        </w:rPr>
        <w:t>5</w:t>
      </w:r>
      <w:r w:rsidR="00004445">
        <w:rPr>
          <w:rFonts w:asciiTheme="minorHAnsi" w:hAnsiTheme="minorHAnsi"/>
        </w:rPr>
        <w:fldChar w:fldCharType="end"/>
      </w:r>
      <w:r w:rsidR="00B56941" w:rsidRPr="002F2828">
        <w:rPr>
          <w:rFonts w:asciiTheme="minorHAnsi" w:hAnsiTheme="minorHAnsi"/>
        </w:rPr>
        <w:t xml:space="preserve"> </w:t>
      </w:r>
      <w:r w:rsidR="00B16D1F">
        <w:rPr>
          <w:rFonts w:asciiTheme="minorHAnsi" w:hAnsiTheme="minorHAnsi"/>
        </w:rPr>
        <w:t xml:space="preserve">above </w:t>
      </w:r>
      <w:r w:rsidRPr="002F2828">
        <w:rPr>
          <w:rFonts w:asciiTheme="minorHAnsi" w:hAnsiTheme="minorHAnsi"/>
        </w:rPr>
        <w:t>must include</w:t>
      </w:r>
      <w:r w:rsidR="00381209">
        <w:rPr>
          <w:rFonts w:asciiTheme="minorHAnsi" w:hAnsiTheme="minorHAnsi"/>
        </w:rPr>
        <w:t>—</w:t>
      </w:r>
    </w:p>
    <w:p w:rsidR="00F56F86" w:rsidRDefault="00594AAC">
      <w:pPr>
        <w:pStyle w:val="Para2"/>
      </w:pPr>
      <w:proofErr w:type="gramStart"/>
      <w:r w:rsidRPr="002F2828">
        <w:t>the</w:t>
      </w:r>
      <w:proofErr w:type="gramEnd"/>
      <w:r w:rsidRPr="002F2828">
        <w:t xml:space="preserve"> DPP requirements required under the price quality path determination applying to the regulatory assessment period in which </w:t>
      </w:r>
      <w:r w:rsidR="00652657" w:rsidRPr="002F2828">
        <w:t xml:space="preserve">the next </w:t>
      </w:r>
      <w:r w:rsidR="00652657" w:rsidRPr="002F2828">
        <w:rPr>
          <w:b/>
        </w:rPr>
        <w:t>disclosure year</w:t>
      </w:r>
      <w:r w:rsidR="00652657" w:rsidRPr="002F2828">
        <w:t xml:space="preserve"> falls.</w:t>
      </w:r>
    </w:p>
    <w:p w:rsidR="00594AAC" w:rsidRPr="00381209" w:rsidRDefault="00381209" w:rsidP="00594AAC">
      <w:pPr>
        <w:pStyle w:val="Para2"/>
        <w:rPr>
          <w:rStyle w:val="Emphasis-Italics"/>
          <w:rFonts w:asciiTheme="minorHAnsi" w:hAnsiTheme="minorHAnsi"/>
          <w:i w:val="0"/>
        </w:rPr>
      </w:pPr>
      <w:r>
        <w:rPr>
          <w:rStyle w:val="Emphasis-Italics"/>
          <w:rFonts w:asciiTheme="minorHAnsi" w:hAnsiTheme="minorHAnsi"/>
          <w:b/>
          <w:i w:val="0"/>
        </w:rPr>
        <w:t>c</w:t>
      </w:r>
      <w:r w:rsidR="00594AAC" w:rsidRPr="002F2828">
        <w:rPr>
          <w:rStyle w:val="Emphasis-Italics"/>
          <w:rFonts w:asciiTheme="minorHAnsi" w:hAnsiTheme="minorHAnsi"/>
          <w:b/>
          <w:i w:val="0"/>
        </w:rPr>
        <w:t>onsumer</w:t>
      </w:r>
      <w:r w:rsidR="00594AAC" w:rsidRPr="002F2828">
        <w:rPr>
          <w:rStyle w:val="Emphasis-Italics"/>
          <w:rFonts w:asciiTheme="minorHAnsi" w:hAnsiTheme="minorHAnsi"/>
          <w:i w:val="0"/>
        </w:rPr>
        <w:t xml:space="preserve"> oriented indicators that preferably differentiate between different </w:t>
      </w:r>
      <w:r w:rsidR="00594AAC" w:rsidRPr="002F2828">
        <w:rPr>
          <w:rStyle w:val="Emphasis-Italics"/>
          <w:rFonts w:asciiTheme="minorHAnsi" w:hAnsiTheme="minorHAnsi"/>
          <w:b/>
          <w:i w:val="0"/>
        </w:rPr>
        <w:t>consumer</w:t>
      </w:r>
      <w:r w:rsidR="00D86082">
        <w:rPr>
          <w:rStyle w:val="Emphasis-Italics"/>
          <w:rFonts w:asciiTheme="minorHAnsi" w:hAnsiTheme="minorHAnsi"/>
          <w:b/>
          <w:i w:val="0"/>
        </w:rPr>
        <w:t xml:space="preserve"> groups</w:t>
      </w:r>
    </w:p>
    <w:p w:rsidR="00381209" w:rsidRDefault="00381209" w:rsidP="00594AAC">
      <w:pPr>
        <w:pStyle w:val="Para2"/>
        <w:rPr>
          <w:rStyle w:val="Emphasis-Italics"/>
          <w:rFonts w:asciiTheme="minorHAnsi" w:hAnsiTheme="minorHAnsi"/>
          <w:i w:val="0"/>
        </w:rPr>
      </w:pPr>
      <w:r>
        <w:rPr>
          <w:rStyle w:val="Emphasis-Italics"/>
          <w:rFonts w:asciiTheme="minorHAnsi" w:hAnsiTheme="minorHAnsi"/>
          <w:i w:val="0"/>
        </w:rPr>
        <w:t>i</w:t>
      </w:r>
      <w:r w:rsidR="00594AAC" w:rsidRPr="002F2828">
        <w:rPr>
          <w:rStyle w:val="Emphasis-Italics"/>
          <w:rFonts w:asciiTheme="minorHAnsi" w:hAnsiTheme="minorHAnsi"/>
          <w:i w:val="0"/>
        </w:rPr>
        <w:t>ndicators of asset performance, asset efficiency and effectiveness, and service efficiency, such as technical and financial performance indicators related to the efficiency of asset utilisation and operation</w:t>
      </w:r>
    </w:p>
    <w:p w:rsidR="00594AAC" w:rsidRPr="002F2828" w:rsidRDefault="000532A1" w:rsidP="00594AAC">
      <w:pPr>
        <w:pStyle w:val="Para2"/>
        <w:rPr>
          <w:rStyle w:val="Emphasis-Italics"/>
          <w:rFonts w:asciiTheme="minorHAnsi" w:hAnsiTheme="minorHAnsi"/>
          <w:i w:val="0"/>
        </w:rPr>
      </w:pPr>
      <w:proofErr w:type="gramStart"/>
      <w:r>
        <w:rPr>
          <w:rFonts w:asciiTheme="minorHAnsi" w:hAnsiTheme="minorHAnsi"/>
        </w:rPr>
        <w:t>the</w:t>
      </w:r>
      <w:proofErr w:type="gramEnd"/>
      <w:r>
        <w:rPr>
          <w:rFonts w:asciiTheme="minorHAnsi" w:hAnsiTheme="minorHAnsi"/>
        </w:rPr>
        <w:t xml:space="preserve"> performance indicators disclosed in </w:t>
      </w:r>
      <w:r w:rsidR="00B16D1F">
        <w:rPr>
          <w:rFonts w:asciiTheme="minorHAnsi" w:hAnsiTheme="minorHAnsi"/>
        </w:rPr>
        <w:t>S</w:t>
      </w:r>
      <w:r>
        <w:rPr>
          <w:rFonts w:asciiTheme="minorHAnsi" w:hAnsiTheme="minorHAnsi"/>
        </w:rPr>
        <w:t>chedule 1</w:t>
      </w:r>
      <w:r w:rsidR="00B16D1F">
        <w:rPr>
          <w:rFonts w:asciiTheme="minorHAnsi" w:hAnsiTheme="minorHAnsi"/>
        </w:rPr>
        <w:t>0a of the determination</w:t>
      </w:r>
      <w:r w:rsidR="00490A78">
        <w:rPr>
          <w:rFonts w:asciiTheme="minorHAnsi" w:hAnsiTheme="minorHAnsi"/>
        </w:rPr>
        <w:t>.</w:t>
      </w:r>
    </w:p>
    <w:p w:rsidR="00594AAC" w:rsidRPr="002F2828" w:rsidRDefault="00594AAC" w:rsidP="00594AAC">
      <w:pPr>
        <w:pStyle w:val="Para1"/>
        <w:rPr>
          <w:rFonts w:asciiTheme="minorHAnsi" w:hAnsiTheme="minorHAnsi"/>
        </w:rPr>
      </w:pPr>
      <w:r w:rsidRPr="002F2828">
        <w:rPr>
          <w:rFonts w:asciiTheme="minorHAnsi" w:hAnsiTheme="minorHAnsi"/>
        </w:rPr>
        <w:t xml:space="preserve">The </w:t>
      </w:r>
      <w:r w:rsidRPr="002F2828">
        <w:rPr>
          <w:rFonts w:asciiTheme="minorHAnsi" w:hAnsiTheme="minorHAnsi"/>
          <w:b/>
        </w:rPr>
        <w:t>AMP</w:t>
      </w:r>
      <w:r w:rsidRPr="002F2828">
        <w:rPr>
          <w:rFonts w:asciiTheme="minorHAnsi" w:hAnsiTheme="minorHAnsi"/>
        </w:rPr>
        <w:t xml:space="preserve"> must describe the basis on which the target level for each performance indicator was determined</w:t>
      </w:r>
      <w:r w:rsidR="0099003F">
        <w:rPr>
          <w:rFonts w:asciiTheme="minorHAnsi" w:hAnsiTheme="minorHAnsi"/>
        </w:rPr>
        <w:t xml:space="preserve">. </w:t>
      </w:r>
      <w:r w:rsidRPr="002F2828">
        <w:rPr>
          <w:rFonts w:asciiTheme="minorHAnsi" w:hAnsiTheme="minorHAnsi"/>
        </w:rPr>
        <w:t xml:space="preserve">Justification for target levels of service includes </w:t>
      </w:r>
      <w:r w:rsidR="009764C2" w:rsidRPr="009764C2">
        <w:rPr>
          <w:rFonts w:asciiTheme="minorHAnsi" w:hAnsiTheme="minorHAnsi"/>
          <w:b/>
        </w:rPr>
        <w:t>consumer</w:t>
      </w:r>
      <w:r w:rsidR="0025425D" w:rsidRPr="002F2828">
        <w:rPr>
          <w:rFonts w:asciiTheme="minorHAnsi" w:hAnsiTheme="minorHAnsi"/>
        </w:rPr>
        <w:t xml:space="preserve"> </w:t>
      </w:r>
      <w:r w:rsidRPr="002F2828">
        <w:rPr>
          <w:rFonts w:asciiTheme="minorHAnsi" w:hAnsiTheme="minorHAnsi"/>
        </w:rPr>
        <w:t>expectations or demands, legislative, regulatory, and other stakeholders’ requirements or considerations</w:t>
      </w:r>
      <w:r w:rsidR="0099003F">
        <w:rPr>
          <w:rFonts w:asciiTheme="minorHAnsi" w:hAnsiTheme="minorHAnsi"/>
        </w:rPr>
        <w:t xml:space="preserve">. </w:t>
      </w:r>
      <w:r w:rsidRPr="002F2828">
        <w:rPr>
          <w:rFonts w:asciiTheme="minorHAnsi" w:hAnsiTheme="minorHAnsi"/>
        </w:rPr>
        <w:t xml:space="preserve">The </w:t>
      </w:r>
      <w:r w:rsidRPr="002F2828">
        <w:rPr>
          <w:rFonts w:asciiTheme="minorHAnsi" w:hAnsiTheme="minorHAnsi"/>
          <w:b/>
        </w:rPr>
        <w:t>AMP</w:t>
      </w:r>
      <w:r w:rsidRPr="002F2828">
        <w:rPr>
          <w:rFonts w:asciiTheme="minorHAnsi" w:hAnsiTheme="minorHAnsi"/>
        </w:rPr>
        <w:t xml:space="preserve"> should demonstrate how stakeholder needs were ascertained and translated into service level targets.</w:t>
      </w:r>
    </w:p>
    <w:p w:rsidR="00594AAC" w:rsidRPr="002F2828" w:rsidRDefault="00594AAC" w:rsidP="00594AAC">
      <w:pPr>
        <w:pStyle w:val="Para1"/>
        <w:rPr>
          <w:rFonts w:asciiTheme="minorHAnsi" w:hAnsiTheme="minorHAnsi"/>
        </w:rPr>
      </w:pPr>
      <w:r w:rsidRPr="002F2828">
        <w:rPr>
          <w:rFonts w:asciiTheme="minorHAnsi" w:hAnsiTheme="minorHAnsi"/>
        </w:rPr>
        <w:t>Targets should be compared to historic values where available to provide context and scale to the reader.</w:t>
      </w:r>
    </w:p>
    <w:p w:rsidR="00594AAC" w:rsidRPr="002F2828" w:rsidRDefault="00594AAC" w:rsidP="00594AAC">
      <w:pPr>
        <w:pStyle w:val="Para1"/>
        <w:rPr>
          <w:rFonts w:asciiTheme="minorHAnsi" w:hAnsiTheme="minorHAnsi"/>
        </w:rPr>
      </w:pPr>
      <w:r w:rsidRPr="002F2828">
        <w:rPr>
          <w:rFonts w:asciiTheme="minorHAnsi" w:hAnsiTheme="minorHAnsi"/>
        </w:rPr>
        <w:t xml:space="preserve">Where forecast expenditure is expected to materially affect performance against a target defined in clause </w:t>
      </w:r>
      <w:r w:rsidR="00004445">
        <w:rPr>
          <w:rFonts w:asciiTheme="minorHAnsi" w:hAnsiTheme="minorHAnsi"/>
        </w:rPr>
        <w:fldChar w:fldCharType="begin"/>
      </w:r>
      <w:r w:rsidR="0025425D">
        <w:rPr>
          <w:rFonts w:asciiTheme="minorHAnsi" w:hAnsiTheme="minorHAnsi"/>
        </w:rPr>
        <w:instrText xml:space="preserve"> REF _Ref307423302 \r \h </w:instrText>
      </w:r>
      <w:r w:rsidR="00004445">
        <w:rPr>
          <w:rFonts w:asciiTheme="minorHAnsi" w:hAnsiTheme="minorHAnsi"/>
        </w:rPr>
      </w:r>
      <w:r w:rsidR="00004445">
        <w:rPr>
          <w:rFonts w:asciiTheme="minorHAnsi" w:hAnsiTheme="minorHAnsi"/>
        </w:rPr>
        <w:fldChar w:fldCharType="separate"/>
      </w:r>
      <w:r w:rsidR="00A84D28">
        <w:rPr>
          <w:rFonts w:asciiTheme="minorHAnsi" w:hAnsiTheme="minorHAnsi"/>
        </w:rPr>
        <w:t>5</w:t>
      </w:r>
      <w:r w:rsidR="00004445">
        <w:rPr>
          <w:rFonts w:asciiTheme="minorHAnsi" w:hAnsiTheme="minorHAnsi"/>
        </w:rPr>
        <w:fldChar w:fldCharType="end"/>
      </w:r>
      <w:r w:rsidR="0025425D" w:rsidRPr="002F2828">
        <w:rPr>
          <w:rFonts w:asciiTheme="minorHAnsi" w:hAnsiTheme="minorHAnsi"/>
        </w:rPr>
        <w:t xml:space="preserve"> </w:t>
      </w:r>
      <w:r w:rsidR="0025425D">
        <w:rPr>
          <w:rFonts w:asciiTheme="minorHAnsi" w:hAnsiTheme="minorHAnsi"/>
        </w:rPr>
        <w:t>above</w:t>
      </w:r>
      <w:r w:rsidRPr="002F2828">
        <w:rPr>
          <w:rFonts w:asciiTheme="minorHAnsi" w:hAnsiTheme="minorHAnsi"/>
        </w:rPr>
        <w:t>, the target should be consistent with the expected change in the level of performance.</w:t>
      </w:r>
    </w:p>
    <w:p w:rsidR="000532A1" w:rsidRDefault="000532A1" w:rsidP="000532A1">
      <w:pPr>
        <w:pStyle w:val="Para1"/>
        <w:numPr>
          <w:ilvl w:val="0"/>
          <w:numId w:val="0"/>
        </w:numPr>
        <w:ind w:left="709"/>
        <w:rPr>
          <w:rStyle w:val="Emphasis-Italics"/>
          <w:rFonts w:asciiTheme="minorHAnsi" w:hAnsiTheme="minorHAnsi"/>
        </w:rPr>
      </w:pPr>
      <w:bookmarkStart w:id="226" w:name="_Ref310790777"/>
      <w:r>
        <w:rPr>
          <w:rStyle w:val="Emphasis-Italics"/>
          <w:rFonts w:asciiTheme="minorHAnsi" w:hAnsiTheme="minorHAnsi"/>
        </w:rPr>
        <w:t>Performance against target must be monitored for disclosure in the Evaluation of Performance section of each subsequent AMP.</w:t>
      </w:r>
    </w:p>
    <w:p w:rsidR="00F56F86" w:rsidRDefault="00594AAC">
      <w:pPr>
        <w:pStyle w:val="Heading2"/>
      </w:pPr>
      <w:r w:rsidRPr="002F2828">
        <w:t>Network Development Planning</w:t>
      </w:r>
    </w:p>
    <w:p w:rsidR="00594AAC" w:rsidRPr="002F2828" w:rsidRDefault="00594AAC" w:rsidP="00594AAC">
      <w:pPr>
        <w:pStyle w:val="Para1"/>
        <w:rPr>
          <w:rFonts w:asciiTheme="minorHAnsi" w:hAnsiTheme="minorHAnsi"/>
        </w:rPr>
      </w:pPr>
      <w:bookmarkStart w:id="227" w:name="_Toc307315460"/>
      <w:bookmarkStart w:id="228" w:name="_Ref327954496"/>
      <w:bookmarkEnd w:id="226"/>
      <w:proofErr w:type="spellStart"/>
      <w:r w:rsidRPr="002F2828">
        <w:rPr>
          <w:rFonts w:asciiTheme="minorHAnsi" w:hAnsiTheme="minorHAnsi"/>
          <w:b/>
        </w:rPr>
        <w:t>AMP</w:t>
      </w:r>
      <w:r w:rsidRPr="002F2828">
        <w:rPr>
          <w:rFonts w:asciiTheme="minorHAnsi" w:hAnsiTheme="minorHAnsi"/>
        </w:rPr>
        <w:t>s</w:t>
      </w:r>
      <w:proofErr w:type="spellEnd"/>
      <w:r w:rsidRPr="002F2828">
        <w:rPr>
          <w:rFonts w:asciiTheme="minorHAnsi" w:hAnsiTheme="minorHAnsi"/>
        </w:rPr>
        <w:t xml:space="preserve"> must provide a detailed description of </w:t>
      </w:r>
      <w:r w:rsidRPr="002F2828">
        <w:rPr>
          <w:rFonts w:asciiTheme="minorHAnsi" w:hAnsiTheme="minorHAnsi"/>
          <w:b/>
        </w:rPr>
        <w:t>network</w:t>
      </w:r>
      <w:r w:rsidRPr="002F2828">
        <w:rPr>
          <w:rFonts w:asciiTheme="minorHAnsi" w:hAnsiTheme="minorHAnsi"/>
        </w:rPr>
        <w:t xml:space="preserve"> development plans, including</w:t>
      </w:r>
      <w:bookmarkEnd w:id="227"/>
      <w:r w:rsidRPr="002F2828">
        <w:rPr>
          <w:rFonts w:asciiTheme="minorHAnsi" w:hAnsiTheme="minorHAnsi"/>
        </w:rPr>
        <w:t>—</w:t>
      </w:r>
      <w:bookmarkEnd w:id="228"/>
    </w:p>
    <w:p w:rsidR="00594AAC" w:rsidRPr="002F2828" w:rsidRDefault="00AC2F9C" w:rsidP="00594AAC">
      <w:pPr>
        <w:pStyle w:val="Para2"/>
        <w:rPr>
          <w:rFonts w:asciiTheme="minorHAnsi" w:hAnsiTheme="minorHAnsi"/>
        </w:rPr>
      </w:pPr>
      <w:r w:rsidRPr="002F2828">
        <w:rPr>
          <w:rFonts w:asciiTheme="minorHAnsi" w:hAnsiTheme="minorHAnsi"/>
        </w:rPr>
        <w:t>A</w:t>
      </w:r>
      <w:r w:rsidR="00594AAC" w:rsidRPr="002F2828">
        <w:rPr>
          <w:rFonts w:asciiTheme="minorHAnsi" w:hAnsiTheme="minorHAnsi"/>
        </w:rPr>
        <w:t xml:space="preserve"> description of the planning criteria and assumptions for </w:t>
      </w:r>
      <w:r w:rsidR="00594AAC" w:rsidRPr="002F2828">
        <w:rPr>
          <w:rFonts w:asciiTheme="minorHAnsi" w:hAnsiTheme="minorHAnsi"/>
          <w:b/>
        </w:rPr>
        <w:t>network</w:t>
      </w:r>
      <w:r w:rsidR="00B56941" w:rsidRPr="002F2828">
        <w:rPr>
          <w:rFonts w:asciiTheme="minorHAnsi" w:hAnsiTheme="minorHAnsi"/>
        </w:rPr>
        <w:t xml:space="preserve"> development</w:t>
      </w:r>
      <w:r w:rsidR="006663BD">
        <w:rPr>
          <w:rFonts w:asciiTheme="minorHAnsi" w:hAnsiTheme="minorHAnsi"/>
        </w:rPr>
        <w:t>;</w:t>
      </w:r>
    </w:p>
    <w:p w:rsidR="00594AAC" w:rsidRPr="002F2828" w:rsidRDefault="00594AAC" w:rsidP="00594AAC">
      <w:pPr>
        <w:pStyle w:val="Para2"/>
        <w:rPr>
          <w:rStyle w:val="Emphasis-Italics"/>
          <w:rFonts w:asciiTheme="minorHAnsi" w:hAnsiTheme="minorHAnsi"/>
          <w:i w:val="0"/>
        </w:rPr>
      </w:pPr>
      <w:r w:rsidRPr="002F2828">
        <w:rPr>
          <w:rStyle w:val="Emphasis-Italics"/>
          <w:rFonts w:asciiTheme="minorHAnsi" w:hAnsiTheme="minorHAnsi"/>
          <w:i w:val="0"/>
        </w:rPr>
        <w:t xml:space="preserve">Planning criteria for </w:t>
      </w:r>
      <w:r w:rsidRPr="002F2828">
        <w:rPr>
          <w:rStyle w:val="Emphasis-Italics"/>
          <w:rFonts w:asciiTheme="minorHAnsi" w:hAnsiTheme="minorHAnsi"/>
          <w:b/>
          <w:i w:val="0"/>
        </w:rPr>
        <w:t>network</w:t>
      </w:r>
      <w:r w:rsidRPr="002F2828">
        <w:rPr>
          <w:rStyle w:val="Emphasis-Italics"/>
          <w:rFonts w:asciiTheme="minorHAnsi" w:hAnsiTheme="minorHAnsi"/>
          <w:i w:val="0"/>
        </w:rPr>
        <w:t xml:space="preserve"> developments should be described logically and succinctly</w:t>
      </w:r>
      <w:r w:rsidR="0099003F">
        <w:rPr>
          <w:rStyle w:val="Emphasis-Italics"/>
          <w:rFonts w:asciiTheme="minorHAnsi" w:hAnsiTheme="minorHAnsi"/>
          <w:i w:val="0"/>
        </w:rPr>
        <w:t xml:space="preserve">. </w:t>
      </w:r>
      <w:r w:rsidRPr="002F2828">
        <w:rPr>
          <w:rStyle w:val="Emphasis-Italics"/>
          <w:rFonts w:asciiTheme="minorHAnsi" w:hAnsiTheme="minorHAnsi"/>
          <w:i w:val="0"/>
        </w:rPr>
        <w:t>Where probabilistic or scenario-based planning techniques are used, this should be indicated and the methodolo</w:t>
      </w:r>
      <w:r w:rsidR="00B56941" w:rsidRPr="002F2828">
        <w:rPr>
          <w:rStyle w:val="Emphasis-Italics"/>
          <w:rFonts w:asciiTheme="minorHAnsi" w:hAnsiTheme="minorHAnsi"/>
          <w:i w:val="0"/>
        </w:rPr>
        <w:t>gy briefly described</w:t>
      </w:r>
      <w:r w:rsidR="006663BD">
        <w:rPr>
          <w:rStyle w:val="Emphasis-Italics"/>
          <w:rFonts w:asciiTheme="minorHAnsi" w:hAnsiTheme="minorHAnsi"/>
          <w:i w:val="0"/>
        </w:rPr>
        <w:t>;</w:t>
      </w:r>
    </w:p>
    <w:p w:rsidR="00594AAC" w:rsidRPr="002F2828" w:rsidRDefault="00594AAC" w:rsidP="00594AAC">
      <w:pPr>
        <w:pStyle w:val="Para2"/>
        <w:rPr>
          <w:rStyle w:val="Emphasis-Italics"/>
          <w:rFonts w:asciiTheme="minorHAnsi" w:hAnsiTheme="minorHAnsi"/>
          <w:i w:val="0"/>
        </w:rPr>
      </w:pPr>
      <w:r w:rsidRPr="002F2828">
        <w:rPr>
          <w:rStyle w:val="Emphasis-Italics"/>
          <w:rFonts w:asciiTheme="minorHAnsi" w:hAnsiTheme="minorHAnsi"/>
          <w:i w:val="0"/>
        </w:rPr>
        <w:t>The use of standardised designs may lead to improved cost efficiencies</w:t>
      </w:r>
      <w:r w:rsidR="0099003F">
        <w:rPr>
          <w:rStyle w:val="Emphasis-Italics"/>
          <w:rFonts w:asciiTheme="minorHAnsi" w:hAnsiTheme="minorHAnsi"/>
          <w:i w:val="0"/>
        </w:rPr>
        <w:t xml:space="preserve">. </w:t>
      </w:r>
      <w:r w:rsidRPr="002F2828">
        <w:rPr>
          <w:rStyle w:val="Emphasis-Italics"/>
          <w:rFonts w:asciiTheme="minorHAnsi" w:hAnsiTheme="minorHAnsi"/>
          <w:i w:val="0"/>
        </w:rPr>
        <w:t>This section should discuss:</w:t>
      </w:r>
    </w:p>
    <w:p w:rsidR="00594AAC" w:rsidRPr="002F2828" w:rsidRDefault="00594AAC" w:rsidP="00594AAC">
      <w:pPr>
        <w:pStyle w:val="Para3"/>
        <w:rPr>
          <w:rStyle w:val="Emphasis-Italics"/>
          <w:rFonts w:asciiTheme="minorHAnsi" w:hAnsiTheme="minorHAnsi"/>
          <w:i w:val="0"/>
        </w:rPr>
      </w:pPr>
      <w:r w:rsidRPr="002F2828">
        <w:rPr>
          <w:rStyle w:val="Emphasis-Italics"/>
          <w:rFonts w:asciiTheme="minorHAnsi" w:hAnsiTheme="minorHAnsi"/>
          <w:i w:val="0"/>
        </w:rPr>
        <w:t>the categories of assets an</w:t>
      </w:r>
      <w:r w:rsidR="00B56941" w:rsidRPr="002F2828">
        <w:rPr>
          <w:rStyle w:val="Emphasis-Italics"/>
          <w:rFonts w:asciiTheme="minorHAnsi" w:hAnsiTheme="minorHAnsi"/>
          <w:i w:val="0"/>
        </w:rPr>
        <w:t>d designs that are standardised</w:t>
      </w:r>
      <w:r w:rsidR="006663BD">
        <w:rPr>
          <w:rStyle w:val="Emphasis-Italics"/>
          <w:rFonts w:asciiTheme="minorHAnsi" w:hAnsiTheme="minorHAnsi"/>
          <w:i w:val="0"/>
        </w:rPr>
        <w:t>;</w:t>
      </w:r>
    </w:p>
    <w:p w:rsidR="00594AAC" w:rsidRPr="002F2828" w:rsidRDefault="00594AAC" w:rsidP="00594AAC">
      <w:pPr>
        <w:pStyle w:val="Para3"/>
        <w:rPr>
          <w:rStyle w:val="Emphasis-Italics"/>
          <w:rFonts w:asciiTheme="minorHAnsi" w:hAnsiTheme="minorHAnsi"/>
          <w:i w:val="0"/>
        </w:rPr>
      </w:pPr>
      <w:proofErr w:type="gramStart"/>
      <w:r w:rsidRPr="002F2828">
        <w:rPr>
          <w:rStyle w:val="Emphasis-Italics"/>
          <w:rFonts w:asciiTheme="minorHAnsi" w:hAnsiTheme="minorHAnsi"/>
          <w:i w:val="0"/>
        </w:rPr>
        <w:t>the</w:t>
      </w:r>
      <w:proofErr w:type="gramEnd"/>
      <w:r w:rsidRPr="002F2828">
        <w:rPr>
          <w:rStyle w:val="Emphasis-Italics"/>
          <w:rFonts w:asciiTheme="minorHAnsi" w:hAnsiTheme="minorHAnsi"/>
          <w:i w:val="0"/>
        </w:rPr>
        <w:t xml:space="preserve"> approach used to identify standard designs.</w:t>
      </w:r>
    </w:p>
    <w:p w:rsidR="0099003F" w:rsidRDefault="00AC2F9C" w:rsidP="00594AAC">
      <w:pPr>
        <w:pStyle w:val="Para2"/>
        <w:rPr>
          <w:rFonts w:asciiTheme="minorHAnsi" w:hAnsiTheme="minorHAnsi"/>
        </w:rPr>
      </w:pPr>
      <w:r w:rsidRPr="002F2828">
        <w:rPr>
          <w:rFonts w:asciiTheme="minorHAnsi" w:hAnsiTheme="minorHAnsi"/>
        </w:rPr>
        <w:t>A</w:t>
      </w:r>
      <w:r w:rsidR="00594AAC" w:rsidRPr="002F2828">
        <w:rPr>
          <w:rFonts w:asciiTheme="minorHAnsi" w:hAnsiTheme="minorHAnsi"/>
        </w:rPr>
        <w:t xml:space="preserve"> description of the criteria used to determine the capacity of equipment for different types of assets or different parts of the </w:t>
      </w:r>
      <w:r w:rsidR="00594AAC" w:rsidRPr="002F2828">
        <w:rPr>
          <w:rFonts w:asciiTheme="minorHAnsi" w:hAnsiTheme="minorHAnsi"/>
          <w:b/>
        </w:rPr>
        <w:t>network</w:t>
      </w:r>
      <w:r w:rsidR="00594AAC" w:rsidRPr="002F2828">
        <w:rPr>
          <w:rFonts w:asciiTheme="minorHAnsi" w:hAnsiTheme="minorHAnsi"/>
        </w:rPr>
        <w:t>.</w:t>
      </w:r>
    </w:p>
    <w:p w:rsidR="00594AAC" w:rsidRPr="002F2828" w:rsidRDefault="00594AAC" w:rsidP="00594AAC">
      <w:pPr>
        <w:pStyle w:val="UnnumberedL3"/>
        <w:ind w:left="1418"/>
        <w:rPr>
          <w:rStyle w:val="Emphasis-Italics"/>
          <w:rFonts w:asciiTheme="minorHAnsi" w:hAnsiTheme="minorHAnsi"/>
        </w:rPr>
      </w:pPr>
      <w:r w:rsidRPr="002F2828">
        <w:rPr>
          <w:rStyle w:val="Emphasis-Italics"/>
          <w:rFonts w:asciiTheme="minorHAnsi" w:hAnsiTheme="minorHAnsi"/>
        </w:rPr>
        <w:t xml:space="preserve">The criteria described should relate to the </w:t>
      </w:r>
      <w:proofErr w:type="spellStart"/>
      <w:r w:rsidR="009764C2" w:rsidRPr="009764C2">
        <w:rPr>
          <w:rStyle w:val="Emphasis-Italics"/>
          <w:rFonts w:asciiTheme="minorHAnsi" w:hAnsiTheme="minorHAnsi"/>
          <w:b/>
        </w:rPr>
        <w:t>GDB</w:t>
      </w:r>
      <w:r w:rsidR="006663BD">
        <w:rPr>
          <w:rStyle w:val="Emphasis-Italics"/>
          <w:rFonts w:asciiTheme="minorHAnsi" w:hAnsiTheme="minorHAnsi"/>
        </w:rPr>
        <w:t>’s</w:t>
      </w:r>
      <w:proofErr w:type="spellEnd"/>
      <w:r w:rsidR="006663BD">
        <w:rPr>
          <w:rStyle w:val="Emphasis-Italics"/>
          <w:rFonts w:asciiTheme="minorHAnsi" w:hAnsiTheme="minorHAnsi"/>
        </w:rPr>
        <w:t xml:space="preserve"> </w:t>
      </w:r>
      <w:r w:rsidRPr="002F2828">
        <w:rPr>
          <w:rStyle w:val="Emphasis-Italics"/>
          <w:rFonts w:asciiTheme="minorHAnsi" w:hAnsiTheme="minorHAnsi"/>
        </w:rPr>
        <w:t>philosophy in managing planning risks.</w:t>
      </w:r>
    </w:p>
    <w:p w:rsidR="00594AAC" w:rsidRPr="002F2828" w:rsidRDefault="00AC2F9C" w:rsidP="00594AAC">
      <w:pPr>
        <w:pStyle w:val="Para2"/>
        <w:rPr>
          <w:rFonts w:asciiTheme="minorHAnsi" w:hAnsiTheme="minorHAnsi"/>
        </w:rPr>
      </w:pPr>
      <w:r w:rsidRPr="002F2828">
        <w:rPr>
          <w:rFonts w:asciiTheme="minorHAnsi" w:hAnsiTheme="minorHAnsi"/>
        </w:rPr>
        <w:t xml:space="preserve">A </w:t>
      </w:r>
      <w:r w:rsidR="00594AAC" w:rsidRPr="002F2828">
        <w:rPr>
          <w:rFonts w:asciiTheme="minorHAnsi" w:hAnsiTheme="minorHAnsi"/>
        </w:rPr>
        <w:t xml:space="preserve">description of the process and criteria used to prioritise </w:t>
      </w:r>
      <w:r w:rsidR="00594AAC" w:rsidRPr="002F2828">
        <w:rPr>
          <w:rFonts w:asciiTheme="minorHAnsi" w:hAnsiTheme="minorHAnsi"/>
          <w:b/>
        </w:rPr>
        <w:t xml:space="preserve">network </w:t>
      </w:r>
      <w:r w:rsidR="00594AAC" w:rsidRPr="002F2828">
        <w:rPr>
          <w:rFonts w:asciiTheme="minorHAnsi" w:hAnsiTheme="minorHAnsi"/>
        </w:rPr>
        <w:t>development projects and how these processes and criteria align with the overall corporate goals and vision</w:t>
      </w:r>
    </w:p>
    <w:p w:rsidR="00594AAC" w:rsidRPr="002F2828" w:rsidRDefault="00AC2F9C" w:rsidP="00594AAC">
      <w:pPr>
        <w:pStyle w:val="Para2"/>
        <w:rPr>
          <w:rFonts w:asciiTheme="minorHAnsi" w:hAnsiTheme="minorHAnsi"/>
        </w:rPr>
      </w:pPr>
      <w:r w:rsidRPr="002F2828">
        <w:rPr>
          <w:rFonts w:asciiTheme="minorHAnsi" w:hAnsiTheme="minorHAnsi"/>
        </w:rPr>
        <w:t>D</w:t>
      </w:r>
      <w:r w:rsidR="00594AAC" w:rsidRPr="002F2828">
        <w:rPr>
          <w:rFonts w:asciiTheme="minorHAnsi" w:hAnsiTheme="minorHAnsi"/>
        </w:rPr>
        <w:t>etails</w:t>
      </w:r>
      <w:r w:rsidRPr="002F2828">
        <w:rPr>
          <w:rFonts w:asciiTheme="minorHAnsi" w:hAnsiTheme="minorHAnsi"/>
        </w:rPr>
        <w:t xml:space="preserve"> </w:t>
      </w:r>
      <w:r w:rsidR="00594AAC" w:rsidRPr="002F2828">
        <w:rPr>
          <w:rFonts w:asciiTheme="minorHAnsi" w:hAnsiTheme="minorHAnsi"/>
        </w:rPr>
        <w:t xml:space="preserve">of demand forecasts, the basis on which they are derived, and the specific </w:t>
      </w:r>
      <w:r w:rsidR="00594AAC" w:rsidRPr="002F2828">
        <w:rPr>
          <w:rFonts w:asciiTheme="minorHAnsi" w:hAnsiTheme="minorHAnsi"/>
          <w:b/>
        </w:rPr>
        <w:t>network</w:t>
      </w:r>
      <w:r w:rsidR="00594AAC" w:rsidRPr="002F2828">
        <w:rPr>
          <w:rFonts w:asciiTheme="minorHAnsi" w:hAnsiTheme="minorHAnsi"/>
        </w:rPr>
        <w:t xml:space="preserve"> locations where constraints are expected due </w:t>
      </w:r>
      <w:r w:rsidR="00B56941" w:rsidRPr="002F2828">
        <w:rPr>
          <w:rFonts w:asciiTheme="minorHAnsi" w:hAnsiTheme="minorHAnsi"/>
        </w:rPr>
        <w:t>to forecast increases in demand:</w:t>
      </w:r>
    </w:p>
    <w:p w:rsidR="00594AAC" w:rsidRPr="002F2828" w:rsidRDefault="00594AAC" w:rsidP="00594AAC">
      <w:pPr>
        <w:pStyle w:val="Para3"/>
        <w:rPr>
          <w:rFonts w:asciiTheme="minorHAnsi" w:hAnsiTheme="minorHAnsi"/>
        </w:rPr>
      </w:pPr>
      <w:r w:rsidRPr="002F2828">
        <w:rPr>
          <w:rFonts w:asciiTheme="minorHAnsi" w:hAnsiTheme="minorHAnsi"/>
        </w:rPr>
        <w:t xml:space="preserve">explain the load forecasting methodology and indicate all the factors used </w:t>
      </w:r>
      <w:r w:rsidR="00B56941" w:rsidRPr="002F2828">
        <w:rPr>
          <w:rFonts w:asciiTheme="minorHAnsi" w:hAnsiTheme="minorHAnsi"/>
        </w:rPr>
        <w:t>in preparing the load estimates</w:t>
      </w:r>
      <w:r w:rsidR="006663BD">
        <w:rPr>
          <w:rFonts w:asciiTheme="minorHAnsi" w:hAnsiTheme="minorHAnsi"/>
        </w:rPr>
        <w:t>;</w:t>
      </w:r>
    </w:p>
    <w:p w:rsidR="00594AAC" w:rsidRPr="002F2828" w:rsidRDefault="00594AAC" w:rsidP="00594AAC">
      <w:pPr>
        <w:pStyle w:val="Para3"/>
        <w:rPr>
          <w:rFonts w:asciiTheme="minorHAnsi" w:hAnsiTheme="minorHAnsi"/>
        </w:rPr>
      </w:pPr>
      <w:proofErr w:type="gramStart"/>
      <w:r w:rsidRPr="002F2828">
        <w:rPr>
          <w:rFonts w:asciiTheme="minorHAnsi" w:hAnsiTheme="minorHAnsi"/>
        </w:rPr>
        <w:t>provide</w:t>
      </w:r>
      <w:proofErr w:type="gramEnd"/>
      <w:r w:rsidRPr="002F2828">
        <w:rPr>
          <w:rFonts w:asciiTheme="minorHAnsi" w:hAnsiTheme="minorHAnsi"/>
        </w:rPr>
        <w:t xml:space="preserve"> separate forecasts to at least</w:t>
      </w:r>
      <w:r w:rsidR="00AC2F9C" w:rsidRPr="002F2828">
        <w:rPr>
          <w:rFonts w:asciiTheme="minorHAnsi" w:hAnsiTheme="minorHAnsi"/>
        </w:rPr>
        <w:t xml:space="preserve"> </w:t>
      </w:r>
      <w:r w:rsidR="0099003F">
        <w:rPr>
          <w:rFonts w:asciiTheme="minorHAnsi" w:hAnsiTheme="minorHAnsi"/>
        </w:rPr>
        <w:t>distribution system</w:t>
      </w:r>
      <w:r w:rsidR="00AC2F9C" w:rsidRPr="002F2828">
        <w:rPr>
          <w:rFonts w:asciiTheme="minorHAnsi" w:hAnsiTheme="minorHAnsi"/>
        </w:rPr>
        <w:t xml:space="preserve"> level c</w:t>
      </w:r>
      <w:r w:rsidRPr="002F2828">
        <w:rPr>
          <w:rFonts w:asciiTheme="minorHAnsi" w:hAnsiTheme="minorHAnsi"/>
        </w:rPr>
        <w:t xml:space="preserve">overing at least a minimum </w:t>
      </w:r>
      <w:r w:rsidR="006663BD">
        <w:rPr>
          <w:rFonts w:asciiTheme="minorHAnsi" w:hAnsiTheme="minorHAnsi"/>
        </w:rPr>
        <w:t>five</w:t>
      </w:r>
      <w:r w:rsidR="006663BD" w:rsidRPr="002F2828">
        <w:rPr>
          <w:rFonts w:asciiTheme="minorHAnsi" w:hAnsiTheme="minorHAnsi"/>
        </w:rPr>
        <w:t xml:space="preserve"> </w:t>
      </w:r>
      <w:r w:rsidRPr="002F2828">
        <w:rPr>
          <w:rFonts w:asciiTheme="minorHAnsi" w:hAnsiTheme="minorHAnsi"/>
        </w:rPr>
        <w:t>year forecast period</w:t>
      </w:r>
      <w:r w:rsidR="0099003F">
        <w:rPr>
          <w:rFonts w:asciiTheme="minorHAnsi" w:hAnsiTheme="minorHAnsi"/>
        </w:rPr>
        <w:t xml:space="preserve">. </w:t>
      </w:r>
      <w:r w:rsidRPr="002F2828">
        <w:rPr>
          <w:rFonts w:asciiTheme="minorHAnsi" w:hAnsiTheme="minorHAnsi"/>
        </w:rPr>
        <w:t>Discuss how uncertain but substantial individual projects/developments that affect load are taken into account in the forecasts, making clear the extent to which these uncertain increases in demand</w:t>
      </w:r>
      <w:r w:rsidR="00B56941" w:rsidRPr="002F2828">
        <w:rPr>
          <w:rFonts w:asciiTheme="minorHAnsi" w:hAnsiTheme="minorHAnsi"/>
        </w:rPr>
        <w:t xml:space="preserve"> are reflected in the forecasts</w:t>
      </w:r>
      <w:r w:rsidR="006663BD">
        <w:rPr>
          <w:rFonts w:asciiTheme="minorHAnsi" w:hAnsiTheme="minorHAnsi"/>
        </w:rPr>
        <w:t>;</w:t>
      </w:r>
    </w:p>
    <w:p w:rsidR="00594AAC" w:rsidRDefault="00594AAC" w:rsidP="00594AAC">
      <w:pPr>
        <w:pStyle w:val="Para3"/>
        <w:rPr>
          <w:rFonts w:asciiTheme="minorHAnsi" w:hAnsiTheme="minorHAnsi"/>
        </w:rPr>
      </w:pPr>
      <w:proofErr w:type="gramStart"/>
      <w:r w:rsidRPr="002F2828">
        <w:rPr>
          <w:rFonts w:asciiTheme="minorHAnsi" w:hAnsiTheme="minorHAnsi"/>
        </w:rPr>
        <w:t>identify</w:t>
      </w:r>
      <w:proofErr w:type="gramEnd"/>
      <w:r w:rsidRPr="002F2828">
        <w:rPr>
          <w:rFonts w:asciiTheme="minorHAnsi" w:hAnsiTheme="minorHAnsi"/>
        </w:rPr>
        <w:t xml:space="preserve"> any </w:t>
      </w:r>
      <w:r w:rsidRPr="002F2828">
        <w:rPr>
          <w:rFonts w:asciiTheme="minorHAnsi" w:hAnsiTheme="minorHAnsi"/>
          <w:b/>
        </w:rPr>
        <w:t xml:space="preserve">network </w:t>
      </w:r>
      <w:r w:rsidRPr="002F2828">
        <w:rPr>
          <w:rFonts w:asciiTheme="minorHAnsi" w:hAnsiTheme="minorHAnsi"/>
        </w:rPr>
        <w:t>or equipment constraints that may arise due to the anticipated growth in demand</w:t>
      </w:r>
      <w:r w:rsidR="00652657" w:rsidRPr="002F2828">
        <w:rPr>
          <w:rFonts w:asciiTheme="minorHAnsi" w:hAnsiTheme="minorHAnsi"/>
        </w:rPr>
        <w:t xml:space="preserve"> during the </w:t>
      </w:r>
      <w:r w:rsidR="00F61B9A" w:rsidRPr="002F2828">
        <w:rPr>
          <w:rFonts w:asciiTheme="minorHAnsi" w:hAnsiTheme="minorHAnsi"/>
          <w:b/>
        </w:rPr>
        <w:t xml:space="preserve">AMP </w:t>
      </w:r>
      <w:r w:rsidR="00652657" w:rsidRPr="002F2828">
        <w:rPr>
          <w:rFonts w:asciiTheme="minorHAnsi" w:hAnsiTheme="minorHAnsi"/>
          <w:b/>
        </w:rPr>
        <w:t>planning period</w:t>
      </w:r>
      <w:r w:rsidR="009764C2" w:rsidRPr="009764C2">
        <w:rPr>
          <w:rFonts w:asciiTheme="minorHAnsi" w:hAnsiTheme="minorHAnsi"/>
        </w:rPr>
        <w:t>.</w:t>
      </w:r>
    </w:p>
    <w:p w:rsidR="005813F6" w:rsidRPr="002F2828" w:rsidRDefault="005813F6" w:rsidP="005813F6">
      <w:pPr>
        <w:pStyle w:val="UnnumberedL3"/>
        <w:ind w:left="1418"/>
        <w:rPr>
          <w:rStyle w:val="Emphasis-Italics"/>
          <w:rFonts w:asciiTheme="minorHAnsi" w:hAnsiTheme="minorHAnsi"/>
        </w:rPr>
      </w:pPr>
      <w:r w:rsidRPr="005813F6">
        <w:rPr>
          <w:rStyle w:val="Emphasis-Italics"/>
          <w:rFonts w:asciiTheme="minorHAnsi" w:hAnsiTheme="minorHAnsi"/>
        </w:rPr>
        <w:t>The AMP should include a description of the methodology and assumptions used to produce the utilisation and capacity forecasts and a discussion of the limitations of the forecasts, methodology and assumptions.  The AMP should also discuss any capacity limitations identified or resolved in years during which an AMP was not disclosed.</w:t>
      </w:r>
    </w:p>
    <w:p w:rsidR="00594AAC" w:rsidRPr="002F2828" w:rsidRDefault="00AC2F9C" w:rsidP="00594AAC">
      <w:pPr>
        <w:pStyle w:val="Para2"/>
        <w:rPr>
          <w:rFonts w:asciiTheme="minorHAnsi" w:hAnsiTheme="minorHAnsi"/>
        </w:rPr>
      </w:pPr>
      <w:r w:rsidRPr="002F2828">
        <w:rPr>
          <w:rFonts w:asciiTheme="minorHAnsi" w:hAnsiTheme="minorHAnsi"/>
        </w:rPr>
        <w:t>A</w:t>
      </w:r>
      <w:r w:rsidR="00594AAC" w:rsidRPr="002F2828">
        <w:rPr>
          <w:rFonts w:asciiTheme="minorHAnsi" w:hAnsiTheme="minorHAnsi"/>
        </w:rPr>
        <w:t>nalysis</w:t>
      </w:r>
      <w:r w:rsidRPr="002F2828">
        <w:rPr>
          <w:rFonts w:asciiTheme="minorHAnsi" w:hAnsiTheme="minorHAnsi"/>
        </w:rPr>
        <w:t xml:space="preserve"> </w:t>
      </w:r>
      <w:r w:rsidR="00594AAC" w:rsidRPr="002F2828">
        <w:rPr>
          <w:rFonts w:asciiTheme="minorHAnsi" w:hAnsiTheme="minorHAnsi"/>
        </w:rPr>
        <w:t xml:space="preserve">of the significant </w:t>
      </w:r>
      <w:r w:rsidR="00594AAC" w:rsidRPr="002F2828">
        <w:rPr>
          <w:rFonts w:asciiTheme="minorHAnsi" w:hAnsiTheme="minorHAnsi"/>
          <w:b/>
        </w:rPr>
        <w:t>network</w:t>
      </w:r>
      <w:r w:rsidR="00594AAC" w:rsidRPr="002F2828">
        <w:rPr>
          <w:rFonts w:asciiTheme="minorHAnsi" w:hAnsiTheme="minorHAnsi"/>
        </w:rPr>
        <w:t xml:space="preserve"> level development options </w:t>
      </w:r>
      <w:r w:rsidR="000532A1">
        <w:rPr>
          <w:rFonts w:asciiTheme="minorHAnsi" w:hAnsiTheme="minorHAnsi"/>
        </w:rPr>
        <w:t>identified</w:t>
      </w:r>
      <w:r w:rsidR="000532A1" w:rsidRPr="00604256">
        <w:rPr>
          <w:rFonts w:asciiTheme="minorHAnsi" w:hAnsiTheme="minorHAnsi"/>
        </w:rPr>
        <w:t xml:space="preserve"> </w:t>
      </w:r>
      <w:r w:rsidR="00594AAC" w:rsidRPr="002F2828">
        <w:rPr>
          <w:rFonts w:asciiTheme="minorHAnsi" w:hAnsiTheme="minorHAnsi"/>
        </w:rPr>
        <w:t>and details of the decisions made to satisfy and meet target levels of service, including:</w:t>
      </w:r>
    </w:p>
    <w:p w:rsidR="00594AAC" w:rsidRPr="002F2828" w:rsidRDefault="00594AAC" w:rsidP="00594AAC">
      <w:pPr>
        <w:pStyle w:val="Para3"/>
        <w:rPr>
          <w:rFonts w:asciiTheme="minorHAnsi" w:hAnsiTheme="minorHAnsi"/>
        </w:rPr>
      </w:pPr>
      <w:r w:rsidRPr="002F2828">
        <w:rPr>
          <w:rFonts w:asciiTheme="minorHAnsi" w:hAnsiTheme="minorHAnsi"/>
        </w:rPr>
        <w:t>the reasons for choosing a selected option for projects</w:t>
      </w:r>
      <w:r w:rsidR="00B56941" w:rsidRPr="002F2828">
        <w:rPr>
          <w:rFonts w:asciiTheme="minorHAnsi" w:hAnsiTheme="minorHAnsi"/>
        </w:rPr>
        <w:t xml:space="preserve"> where decisions have been made</w:t>
      </w:r>
      <w:r w:rsidR="000271AD">
        <w:rPr>
          <w:rFonts w:asciiTheme="minorHAnsi" w:hAnsiTheme="minorHAnsi"/>
        </w:rPr>
        <w:t>;</w:t>
      </w:r>
    </w:p>
    <w:p w:rsidR="00594AAC" w:rsidRPr="002F2828" w:rsidRDefault="00594AAC" w:rsidP="00594AAC">
      <w:pPr>
        <w:pStyle w:val="Para3"/>
        <w:rPr>
          <w:rFonts w:asciiTheme="minorHAnsi" w:hAnsiTheme="minorHAnsi"/>
        </w:rPr>
      </w:pPr>
      <w:r w:rsidRPr="002F2828">
        <w:rPr>
          <w:rFonts w:asciiTheme="minorHAnsi" w:hAnsiTheme="minorHAnsi"/>
        </w:rPr>
        <w:t xml:space="preserve">alternative options </w:t>
      </w:r>
      <w:r w:rsidR="000532A1">
        <w:rPr>
          <w:rFonts w:asciiTheme="minorHAnsi" w:hAnsiTheme="minorHAnsi"/>
        </w:rPr>
        <w:t>considered</w:t>
      </w:r>
      <w:r w:rsidR="000532A1" w:rsidRPr="00604256">
        <w:rPr>
          <w:rFonts w:asciiTheme="minorHAnsi" w:hAnsiTheme="minorHAnsi"/>
        </w:rPr>
        <w:t xml:space="preserve"> </w:t>
      </w:r>
      <w:r w:rsidRPr="002F2828">
        <w:rPr>
          <w:rFonts w:asciiTheme="minorHAnsi" w:hAnsiTheme="minorHAnsi"/>
        </w:rPr>
        <w:t xml:space="preserve">for projects that are planned to start in the next </w:t>
      </w:r>
      <w:r w:rsidR="000271AD">
        <w:rPr>
          <w:rFonts w:asciiTheme="minorHAnsi" w:hAnsiTheme="minorHAnsi"/>
        </w:rPr>
        <w:t>five</w:t>
      </w:r>
      <w:r w:rsidR="000271AD" w:rsidRPr="002F2828">
        <w:rPr>
          <w:rFonts w:asciiTheme="minorHAnsi" w:hAnsiTheme="minorHAnsi"/>
        </w:rPr>
        <w:t xml:space="preserve"> </w:t>
      </w:r>
      <w:r w:rsidR="00B56941" w:rsidRPr="002F2828">
        <w:rPr>
          <w:rFonts w:asciiTheme="minorHAnsi" w:hAnsiTheme="minorHAnsi"/>
        </w:rPr>
        <w:t>years</w:t>
      </w:r>
      <w:r w:rsidR="000271AD">
        <w:rPr>
          <w:rFonts w:asciiTheme="minorHAnsi" w:hAnsiTheme="minorHAnsi"/>
        </w:rPr>
        <w:t>;</w:t>
      </w:r>
    </w:p>
    <w:p w:rsidR="00594AAC" w:rsidRPr="002F2828" w:rsidRDefault="00594AAC" w:rsidP="00594AAC">
      <w:pPr>
        <w:pStyle w:val="Para3"/>
        <w:rPr>
          <w:rFonts w:asciiTheme="minorHAnsi" w:hAnsiTheme="minorHAnsi"/>
        </w:rPr>
      </w:pPr>
      <w:proofErr w:type="gramStart"/>
      <w:r w:rsidRPr="002F2828">
        <w:rPr>
          <w:rFonts w:asciiTheme="minorHAnsi" w:hAnsiTheme="minorHAnsi"/>
        </w:rPr>
        <w:t>consideration</w:t>
      </w:r>
      <w:proofErr w:type="gramEnd"/>
      <w:r w:rsidRPr="002F2828">
        <w:rPr>
          <w:rFonts w:asciiTheme="minorHAnsi" w:hAnsiTheme="minorHAnsi"/>
        </w:rPr>
        <w:t xml:space="preserve"> of planned innovations that improve efficiencies within the </w:t>
      </w:r>
      <w:r w:rsidRPr="002F2828">
        <w:rPr>
          <w:rFonts w:asciiTheme="minorHAnsi" w:hAnsiTheme="minorHAnsi"/>
          <w:b/>
        </w:rPr>
        <w:t>network</w:t>
      </w:r>
      <w:r w:rsidRPr="002F2828">
        <w:rPr>
          <w:rFonts w:asciiTheme="minorHAnsi" w:hAnsiTheme="minorHAnsi"/>
        </w:rPr>
        <w:t>, such as improved utilisation, extended asset lives, and deferred investment.</w:t>
      </w:r>
    </w:p>
    <w:p w:rsidR="00F56F86" w:rsidRDefault="00AC2F9C">
      <w:pPr>
        <w:pStyle w:val="Para2"/>
        <w:rPr>
          <w:rFonts w:asciiTheme="minorHAnsi" w:hAnsiTheme="minorHAnsi"/>
        </w:rPr>
      </w:pPr>
      <w:r w:rsidRPr="002F2828">
        <w:rPr>
          <w:rFonts w:asciiTheme="minorHAnsi" w:hAnsiTheme="minorHAnsi"/>
        </w:rPr>
        <w:t>A</w:t>
      </w:r>
      <w:r w:rsidR="00594AAC" w:rsidRPr="002F2828">
        <w:rPr>
          <w:rFonts w:asciiTheme="minorHAnsi" w:hAnsiTheme="minorHAnsi"/>
        </w:rPr>
        <w:t xml:space="preserve"> description and identification of the </w:t>
      </w:r>
      <w:r w:rsidR="00594AAC" w:rsidRPr="004F2902">
        <w:rPr>
          <w:rFonts w:asciiTheme="minorHAnsi" w:hAnsiTheme="minorHAnsi"/>
          <w:b/>
        </w:rPr>
        <w:t>network</w:t>
      </w:r>
      <w:r w:rsidR="00594AAC" w:rsidRPr="002F2828">
        <w:rPr>
          <w:rFonts w:asciiTheme="minorHAnsi" w:hAnsiTheme="minorHAnsi"/>
        </w:rPr>
        <w:t xml:space="preserve"> development programme and actions to be taken, including associated expenditure projections</w:t>
      </w:r>
      <w:r w:rsidR="0099003F">
        <w:rPr>
          <w:rFonts w:asciiTheme="minorHAnsi" w:hAnsiTheme="minorHAnsi"/>
        </w:rPr>
        <w:t xml:space="preserve">. </w:t>
      </w:r>
      <w:r w:rsidR="00594AAC" w:rsidRPr="002F2828">
        <w:rPr>
          <w:rFonts w:asciiTheme="minorHAnsi" w:hAnsiTheme="minorHAnsi"/>
        </w:rPr>
        <w:t xml:space="preserve">The </w:t>
      </w:r>
      <w:r w:rsidR="00594AAC" w:rsidRPr="004F2902">
        <w:rPr>
          <w:rFonts w:asciiTheme="minorHAnsi" w:hAnsiTheme="minorHAnsi"/>
          <w:b/>
        </w:rPr>
        <w:t>network</w:t>
      </w:r>
      <w:r w:rsidR="00594AAC" w:rsidRPr="002F2828">
        <w:rPr>
          <w:rFonts w:asciiTheme="minorHAnsi" w:hAnsiTheme="minorHAnsi"/>
        </w:rPr>
        <w:t xml:space="preserve"> development plan must include:</w:t>
      </w:r>
    </w:p>
    <w:p w:rsidR="00F56F86" w:rsidRDefault="00594AAC">
      <w:pPr>
        <w:pStyle w:val="Para3"/>
        <w:rPr>
          <w:rFonts w:asciiTheme="minorHAnsi" w:hAnsiTheme="minorHAnsi"/>
        </w:rPr>
      </w:pPr>
      <w:r w:rsidRPr="002F2828">
        <w:rPr>
          <w:rFonts w:asciiTheme="minorHAnsi" w:hAnsiTheme="minorHAnsi"/>
        </w:rPr>
        <w:t xml:space="preserve">a detailed description of the </w:t>
      </w:r>
      <w:r w:rsidR="000532A1">
        <w:rPr>
          <w:rFonts w:asciiTheme="minorHAnsi" w:hAnsiTheme="minorHAnsi"/>
        </w:rPr>
        <w:t xml:space="preserve">material </w:t>
      </w:r>
      <w:r w:rsidRPr="002F2828">
        <w:rPr>
          <w:rFonts w:asciiTheme="minorHAnsi" w:hAnsiTheme="minorHAnsi"/>
        </w:rPr>
        <w:t xml:space="preserve">projects </w:t>
      </w:r>
      <w:r w:rsidR="000532A1">
        <w:rPr>
          <w:rFonts w:asciiTheme="minorHAnsi" w:hAnsiTheme="minorHAnsi"/>
        </w:rPr>
        <w:t xml:space="preserve">and a summary description of the non-material projects </w:t>
      </w:r>
      <w:r w:rsidRPr="002F2828">
        <w:rPr>
          <w:rFonts w:asciiTheme="minorHAnsi" w:hAnsiTheme="minorHAnsi"/>
        </w:rPr>
        <w:t xml:space="preserve">currently underway or planned to start within the next </w:t>
      </w:r>
      <w:r w:rsidR="00F61B9A" w:rsidRPr="002F2828">
        <w:rPr>
          <w:rFonts w:asciiTheme="minorHAnsi" w:hAnsiTheme="minorHAnsi"/>
        </w:rPr>
        <w:t>12</w:t>
      </w:r>
      <w:r w:rsidR="00B56941" w:rsidRPr="002F2828">
        <w:rPr>
          <w:rFonts w:asciiTheme="minorHAnsi" w:hAnsiTheme="minorHAnsi"/>
        </w:rPr>
        <w:t xml:space="preserve"> months</w:t>
      </w:r>
      <w:r w:rsidR="00E73A05">
        <w:rPr>
          <w:rFonts w:asciiTheme="minorHAnsi" w:hAnsiTheme="minorHAnsi"/>
        </w:rPr>
        <w:t>;</w:t>
      </w:r>
    </w:p>
    <w:p w:rsidR="00F56F86" w:rsidRDefault="00594AAC">
      <w:pPr>
        <w:pStyle w:val="Para3"/>
        <w:rPr>
          <w:rFonts w:asciiTheme="minorHAnsi" w:hAnsiTheme="minorHAnsi"/>
        </w:rPr>
      </w:pPr>
      <w:r w:rsidRPr="002F2828">
        <w:rPr>
          <w:rFonts w:asciiTheme="minorHAnsi" w:hAnsiTheme="minorHAnsi"/>
        </w:rPr>
        <w:t xml:space="preserve">a summary description of the </w:t>
      </w:r>
      <w:r w:rsidR="000532A1">
        <w:rPr>
          <w:rFonts w:asciiTheme="minorHAnsi" w:hAnsiTheme="minorHAnsi"/>
        </w:rPr>
        <w:t xml:space="preserve">programmes and </w:t>
      </w:r>
      <w:r w:rsidRPr="002F2828">
        <w:rPr>
          <w:rFonts w:asciiTheme="minorHAnsi" w:hAnsiTheme="minorHAnsi"/>
        </w:rPr>
        <w:t xml:space="preserve">projects planned for the </w:t>
      </w:r>
      <w:r w:rsidR="000532A1">
        <w:rPr>
          <w:rFonts w:asciiTheme="minorHAnsi" w:hAnsiTheme="minorHAnsi"/>
        </w:rPr>
        <w:t>following</w:t>
      </w:r>
      <w:r w:rsidR="000532A1" w:rsidRPr="00604256">
        <w:rPr>
          <w:rFonts w:asciiTheme="minorHAnsi" w:hAnsiTheme="minorHAnsi"/>
        </w:rPr>
        <w:t xml:space="preserve"> </w:t>
      </w:r>
      <w:r w:rsidR="000271AD">
        <w:rPr>
          <w:rFonts w:asciiTheme="minorHAnsi" w:hAnsiTheme="minorHAnsi"/>
        </w:rPr>
        <w:t>four</w:t>
      </w:r>
      <w:r w:rsidR="00B56941" w:rsidRPr="002F2828">
        <w:rPr>
          <w:rFonts w:asciiTheme="minorHAnsi" w:hAnsiTheme="minorHAnsi"/>
        </w:rPr>
        <w:t xml:space="preserve"> years</w:t>
      </w:r>
      <w:r w:rsidR="000271AD">
        <w:rPr>
          <w:rFonts w:asciiTheme="minorHAnsi" w:hAnsiTheme="minorHAnsi"/>
        </w:rPr>
        <w:t xml:space="preserve"> </w:t>
      </w:r>
      <w:r w:rsidR="000532A1">
        <w:rPr>
          <w:rFonts w:asciiTheme="minorHAnsi" w:hAnsiTheme="minorHAnsi"/>
        </w:rPr>
        <w:t>(where known)</w:t>
      </w:r>
      <w:r w:rsidR="00E73A05">
        <w:rPr>
          <w:rFonts w:asciiTheme="minorHAnsi" w:hAnsiTheme="minorHAnsi"/>
        </w:rPr>
        <w:t>; and</w:t>
      </w:r>
    </w:p>
    <w:p w:rsidR="00F56F86" w:rsidRDefault="00594AAC">
      <w:pPr>
        <w:pStyle w:val="Para3"/>
        <w:rPr>
          <w:rFonts w:asciiTheme="minorHAnsi" w:hAnsiTheme="minorHAnsi"/>
        </w:rPr>
      </w:pPr>
      <w:proofErr w:type="gramStart"/>
      <w:r w:rsidRPr="002F2828">
        <w:rPr>
          <w:rFonts w:asciiTheme="minorHAnsi" w:hAnsiTheme="minorHAnsi"/>
        </w:rPr>
        <w:t>an</w:t>
      </w:r>
      <w:proofErr w:type="gramEnd"/>
      <w:r w:rsidRPr="002F2828">
        <w:rPr>
          <w:rFonts w:asciiTheme="minorHAnsi" w:hAnsiTheme="minorHAnsi"/>
        </w:rPr>
        <w:t xml:space="preserve"> overview of the </w:t>
      </w:r>
      <w:r w:rsidR="000532A1">
        <w:rPr>
          <w:rFonts w:asciiTheme="minorHAnsi" w:hAnsiTheme="minorHAnsi"/>
        </w:rPr>
        <w:t xml:space="preserve">material </w:t>
      </w:r>
      <w:r w:rsidRPr="002F2828">
        <w:rPr>
          <w:rFonts w:asciiTheme="minorHAnsi" w:hAnsiTheme="minorHAnsi"/>
        </w:rPr>
        <w:t xml:space="preserve">projects being considered for the remainder of the </w:t>
      </w:r>
      <w:r w:rsidRPr="004F2902">
        <w:rPr>
          <w:rFonts w:asciiTheme="minorHAnsi" w:hAnsiTheme="minorHAnsi"/>
          <w:b/>
        </w:rPr>
        <w:t>AMP planning period</w:t>
      </w:r>
      <w:r w:rsidRPr="002F2828">
        <w:rPr>
          <w:rFonts w:asciiTheme="minorHAnsi" w:hAnsiTheme="minorHAnsi"/>
        </w:rPr>
        <w:t>.</w:t>
      </w:r>
    </w:p>
    <w:p w:rsidR="00F56F86" w:rsidRDefault="00594AAC" w:rsidP="007A7B4A">
      <w:pPr>
        <w:pStyle w:val="UnnumberedL3"/>
        <w:keepNext w:val="0"/>
        <w:keepLines w:val="0"/>
        <w:ind w:left="1418"/>
        <w:rPr>
          <w:rStyle w:val="Emphasis-Italics"/>
          <w:rFonts w:asciiTheme="minorHAnsi" w:hAnsiTheme="minorHAnsi"/>
        </w:rPr>
      </w:pPr>
      <w:r w:rsidRPr="002F2828">
        <w:rPr>
          <w:rStyle w:val="Emphasis-Italics"/>
          <w:rFonts w:asciiTheme="minorHAnsi" w:hAnsiTheme="minorHAnsi"/>
        </w:rPr>
        <w:t xml:space="preserve">For projects included in the </w:t>
      </w:r>
      <w:r w:rsidRPr="004F2902">
        <w:rPr>
          <w:rStyle w:val="Emphasis-Italics"/>
          <w:rFonts w:asciiTheme="minorHAnsi" w:hAnsiTheme="minorHAnsi"/>
          <w:b/>
        </w:rPr>
        <w:t>AMP</w:t>
      </w:r>
      <w:r w:rsidRPr="002F2828">
        <w:rPr>
          <w:rStyle w:val="Emphasis-Italics"/>
          <w:rFonts w:asciiTheme="minorHAnsi" w:hAnsiTheme="minorHAnsi"/>
        </w:rPr>
        <w:t xml:space="preserve"> where decisions have been made, the reasons for choosing the selected option should be stated which should include how target levels of service will be impacted</w:t>
      </w:r>
      <w:r w:rsidR="0099003F">
        <w:rPr>
          <w:rStyle w:val="Emphasis-Italics"/>
          <w:rFonts w:asciiTheme="minorHAnsi" w:hAnsiTheme="minorHAnsi"/>
        </w:rPr>
        <w:t xml:space="preserve">. </w:t>
      </w:r>
      <w:r w:rsidRPr="002F2828">
        <w:rPr>
          <w:rStyle w:val="Emphasis-Italics"/>
          <w:rFonts w:asciiTheme="minorHAnsi" w:hAnsiTheme="minorHAnsi"/>
        </w:rPr>
        <w:t xml:space="preserve">For other projects planned to start in the next </w:t>
      </w:r>
      <w:r w:rsidR="0007650D">
        <w:rPr>
          <w:rStyle w:val="Emphasis-Italics"/>
          <w:rFonts w:asciiTheme="minorHAnsi" w:hAnsiTheme="minorHAnsi"/>
        </w:rPr>
        <w:t>five</w:t>
      </w:r>
      <w:r w:rsidR="0007650D" w:rsidRPr="002F2828">
        <w:rPr>
          <w:rStyle w:val="Emphasis-Italics"/>
          <w:rFonts w:asciiTheme="minorHAnsi" w:hAnsiTheme="minorHAnsi"/>
        </w:rPr>
        <w:t xml:space="preserve"> </w:t>
      </w:r>
      <w:r w:rsidRPr="002F2828">
        <w:rPr>
          <w:rStyle w:val="Emphasis-Italics"/>
          <w:rFonts w:asciiTheme="minorHAnsi" w:hAnsiTheme="minorHAnsi"/>
        </w:rPr>
        <w:t>years, alternative options should be discussed.</w:t>
      </w:r>
    </w:p>
    <w:p w:rsidR="00F56F86" w:rsidRDefault="00594AAC">
      <w:pPr>
        <w:pStyle w:val="Heading2"/>
      </w:pPr>
      <w:bookmarkStart w:id="229" w:name="_Ref310790818"/>
      <w:r w:rsidRPr="002F2828">
        <w:t>Lifecycle Asset Management Planning (Maintenance and Renewal)</w:t>
      </w:r>
      <w:bookmarkEnd w:id="229"/>
    </w:p>
    <w:p w:rsidR="00594AAC" w:rsidRPr="002F2828" w:rsidRDefault="00594AAC" w:rsidP="00594AAC">
      <w:pPr>
        <w:pStyle w:val="Para1"/>
        <w:rPr>
          <w:rFonts w:asciiTheme="minorHAnsi" w:hAnsiTheme="minorHAnsi"/>
        </w:rPr>
      </w:pPr>
      <w:bookmarkStart w:id="230" w:name="_Toc307315461"/>
      <w:bookmarkStart w:id="231" w:name="_Ref327954516"/>
      <w:r w:rsidRPr="002F2828">
        <w:rPr>
          <w:rFonts w:asciiTheme="minorHAnsi" w:hAnsiTheme="minorHAnsi"/>
        </w:rPr>
        <w:t xml:space="preserve">The </w:t>
      </w:r>
      <w:r w:rsidRPr="002F2828">
        <w:rPr>
          <w:rFonts w:asciiTheme="minorHAnsi" w:hAnsiTheme="minorHAnsi"/>
          <w:b/>
        </w:rPr>
        <w:t>AMP</w:t>
      </w:r>
      <w:r w:rsidRPr="002F2828">
        <w:rPr>
          <w:rFonts w:asciiTheme="minorHAnsi" w:hAnsiTheme="minorHAnsi"/>
        </w:rPr>
        <w:t xml:space="preserve"> must provide a detailed description of the lifecycle asset management processes, including</w:t>
      </w:r>
      <w:bookmarkEnd w:id="230"/>
      <w:r w:rsidR="0007650D">
        <w:rPr>
          <w:rFonts w:asciiTheme="minorHAnsi" w:hAnsiTheme="minorHAnsi"/>
        </w:rPr>
        <w:t>—</w:t>
      </w:r>
      <w:bookmarkEnd w:id="231"/>
    </w:p>
    <w:p w:rsidR="00594AAC" w:rsidRPr="002F2828" w:rsidRDefault="00AC2F9C" w:rsidP="00594AAC">
      <w:pPr>
        <w:pStyle w:val="Para2"/>
        <w:rPr>
          <w:rFonts w:asciiTheme="minorHAnsi" w:hAnsiTheme="minorHAnsi"/>
        </w:rPr>
      </w:pPr>
      <w:bookmarkStart w:id="232" w:name="_Ref308461046"/>
      <w:r w:rsidRPr="002F2828">
        <w:rPr>
          <w:rFonts w:asciiTheme="minorHAnsi" w:hAnsiTheme="minorHAnsi"/>
        </w:rPr>
        <w:t>T</w:t>
      </w:r>
      <w:r w:rsidR="00594AAC" w:rsidRPr="002F2828">
        <w:rPr>
          <w:rFonts w:asciiTheme="minorHAnsi" w:hAnsiTheme="minorHAnsi"/>
        </w:rPr>
        <w:t>he key drivers for maintenance planning and assumptions</w:t>
      </w:r>
      <w:bookmarkEnd w:id="232"/>
      <w:r w:rsidR="0007650D">
        <w:rPr>
          <w:rFonts w:asciiTheme="minorHAnsi" w:hAnsiTheme="minorHAnsi"/>
        </w:rPr>
        <w:t>;</w:t>
      </w:r>
    </w:p>
    <w:p w:rsidR="00594AAC" w:rsidRPr="002F2828" w:rsidRDefault="00AC2F9C" w:rsidP="00594AAC">
      <w:pPr>
        <w:pStyle w:val="Para2"/>
        <w:rPr>
          <w:rFonts w:asciiTheme="minorHAnsi" w:hAnsiTheme="minorHAnsi"/>
        </w:rPr>
      </w:pPr>
      <w:bookmarkStart w:id="233" w:name="_Ref308461075"/>
      <w:r w:rsidRPr="002F2828">
        <w:rPr>
          <w:rFonts w:asciiTheme="minorHAnsi" w:hAnsiTheme="minorHAnsi"/>
        </w:rPr>
        <w:t>I</w:t>
      </w:r>
      <w:r w:rsidR="00594AAC" w:rsidRPr="002F2828">
        <w:rPr>
          <w:rFonts w:asciiTheme="minorHAnsi" w:hAnsiTheme="minorHAnsi"/>
        </w:rPr>
        <w:t>dentification</w:t>
      </w:r>
      <w:r w:rsidRPr="002F2828">
        <w:rPr>
          <w:rFonts w:asciiTheme="minorHAnsi" w:hAnsiTheme="minorHAnsi"/>
        </w:rPr>
        <w:t xml:space="preserve"> </w:t>
      </w:r>
      <w:r w:rsidR="00594AAC" w:rsidRPr="002F2828">
        <w:rPr>
          <w:rFonts w:asciiTheme="minorHAnsi" w:hAnsiTheme="minorHAnsi"/>
        </w:rPr>
        <w:t xml:space="preserve">of </w:t>
      </w:r>
      <w:r w:rsidR="00594AAC" w:rsidRPr="002F2828">
        <w:rPr>
          <w:rFonts w:asciiTheme="minorHAnsi" w:hAnsiTheme="minorHAnsi"/>
          <w:b/>
        </w:rPr>
        <w:t xml:space="preserve">routine and </w:t>
      </w:r>
      <w:r w:rsidRPr="002F2828">
        <w:rPr>
          <w:rFonts w:asciiTheme="minorHAnsi" w:hAnsiTheme="minorHAnsi"/>
          <w:b/>
        </w:rPr>
        <w:t xml:space="preserve">corrective maintenance and </w:t>
      </w:r>
      <w:r w:rsidR="00594AAC" w:rsidRPr="002F2828">
        <w:rPr>
          <w:rFonts w:asciiTheme="minorHAnsi" w:hAnsiTheme="minorHAnsi"/>
          <w:b/>
        </w:rPr>
        <w:t>inspection</w:t>
      </w:r>
      <w:r w:rsidR="00594AAC" w:rsidRPr="002F2828">
        <w:rPr>
          <w:rFonts w:asciiTheme="minorHAnsi" w:hAnsiTheme="minorHAnsi"/>
        </w:rPr>
        <w:t xml:space="preserve"> policies and programmes and actions to be taken for each </w:t>
      </w:r>
      <w:r w:rsidR="00594AAC" w:rsidRPr="00C61334">
        <w:rPr>
          <w:rFonts w:asciiTheme="minorHAnsi" w:hAnsiTheme="minorHAnsi"/>
        </w:rPr>
        <w:t>asset category</w:t>
      </w:r>
      <w:r w:rsidR="00594AAC" w:rsidRPr="002F2828">
        <w:rPr>
          <w:rFonts w:asciiTheme="minorHAnsi" w:hAnsiTheme="minorHAnsi"/>
        </w:rPr>
        <w:t>, including ass</w:t>
      </w:r>
      <w:r w:rsidR="00B56941" w:rsidRPr="002F2828">
        <w:rPr>
          <w:rFonts w:asciiTheme="minorHAnsi" w:hAnsiTheme="minorHAnsi"/>
        </w:rPr>
        <w:t>ociated expenditure projections</w:t>
      </w:r>
      <w:r w:rsidR="00594AAC" w:rsidRPr="002F2828">
        <w:rPr>
          <w:rFonts w:asciiTheme="minorHAnsi" w:hAnsiTheme="minorHAnsi"/>
        </w:rPr>
        <w:t>. This must include:</w:t>
      </w:r>
      <w:bookmarkEnd w:id="233"/>
    </w:p>
    <w:p w:rsidR="00594AAC" w:rsidRPr="002F2828" w:rsidRDefault="00594AAC" w:rsidP="00594AAC">
      <w:pPr>
        <w:pStyle w:val="Para3"/>
        <w:rPr>
          <w:rFonts w:asciiTheme="minorHAnsi" w:hAnsiTheme="minorHAnsi"/>
        </w:rPr>
      </w:pPr>
      <w:r w:rsidRPr="002F2828">
        <w:rPr>
          <w:rFonts w:asciiTheme="minorHAnsi" w:hAnsiTheme="minorHAnsi"/>
        </w:rPr>
        <w:t xml:space="preserve">the approach to inspecting and maintaining each category of assets, including a description of the types of inspections, tests and condition monitoring carried out and the </w:t>
      </w:r>
      <w:r w:rsidR="00B56941" w:rsidRPr="002F2828">
        <w:rPr>
          <w:rFonts w:asciiTheme="minorHAnsi" w:hAnsiTheme="minorHAnsi"/>
        </w:rPr>
        <w:t>intervals at which this is done</w:t>
      </w:r>
      <w:r w:rsidR="00E73A05">
        <w:rPr>
          <w:rFonts w:asciiTheme="minorHAnsi" w:hAnsiTheme="minorHAnsi"/>
        </w:rPr>
        <w:t>;</w:t>
      </w:r>
    </w:p>
    <w:p w:rsidR="00594AAC" w:rsidRPr="002F2828" w:rsidRDefault="00594AAC" w:rsidP="00594AAC">
      <w:pPr>
        <w:pStyle w:val="Para3"/>
        <w:rPr>
          <w:rFonts w:asciiTheme="minorHAnsi" w:hAnsiTheme="minorHAnsi"/>
        </w:rPr>
      </w:pPr>
      <w:r w:rsidRPr="002F2828">
        <w:rPr>
          <w:rFonts w:asciiTheme="minorHAnsi" w:hAnsiTheme="minorHAnsi"/>
        </w:rPr>
        <w:t>any systemic problems identified with any particular asset types and the proposed actions to address thes</w:t>
      </w:r>
      <w:r w:rsidR="00B56941" w:rsidRPr="002F2828">
        <w:rPr>
          <w:rFonts w:asciiTheme="minorHAnsi" w:hAnsiTheme="minorHAnsi"/>
        </w:rPr>
        <w:t>e problems</w:t>
      </w:r>
      <w:r w:rsidR="00E73A05">
        <w:rPr>
          <w:rFonts w:asciiTheme="minorHAnsi" w:hAnsiTheme="minorHAnsi"/>
        </w:rPr>
        <w:t>; and</w:t>
      </w:r>
    </w:p>
    <w:p w:rsidR="00594AAC" w:rsidRPr="002F2828" w:rsidRDefault="00594AAC" w:rsidP="00594AAC">
      <w:pPr>
        <w:pStyle w:val="Para3"/>
        <w:rPr>
          <w:rFonts w:asciiTheme="minorHAnsi" w:hAnsiTheme="minorHAnsi"/>
        </w:rPr>
      </w:pPr>
      <w:proofErr w:type="gramStart"/>
      <w:r w:rsidRPr="002F2828">
        <w:rPr>
          <w:rFonts w:asciiTheme="minorHAnsi" w:hAnsiTheme="minorHAnsi"/>
        </w:rPr>
        <w:t>budgets</w:t>
      </w:r>
      <w:proofErr w:type="gramEnd"/>
      <w:r w:rsidRPr="002F2828">
        <w:rPr>
          <w:rFonts w:asciiTheme="minorHAnsi" w:hAnsiTheme="minorHAnsi"/>
        </w:rPr>
        <w:t xml:space="preserve"> for maintenance activities broken down by </w:t>
      </w:r>
      <w:r w:rsidRPr="00C61334">
        <w:rPr>
          <w:rFonts w:asciiTheme="minorHAnsi" w:hAnsiTheme="minorHAnsi"/>
        </w:rPr>
        <w:t>asset category</w:t>
      </w:r>
      <w:r w:rsidRPr="002F2828">
        <w:rPr>
          <w:rFonts w:asciiTheme="minorHAnsi" w:hAnsiTheme="minorHAnsi"/>
        </w:rPr>
        <w:t xml:space="preserve"> for the </w:t>
      </w:r>
      <w:r w:rsidRPr="002F2828">
        <w:rPr>
          <w:rFonts w:asciiTheme="minorHAnsi" w:hAnsiTheme="minorHAnsi"/>
          <w:b/>
        </w:rPr>
        <w:t>AMP planning period</w:t>
      </w:r>
      <w:r w:rsidRPr="002F2828">
        <w:rPr>
          <w:rFonts w:asciiTheme="minorHAnsi" w:hAnsiTheme="minorHAnsi"/>
        </w:rPr>
        <w:t>.</w:t>
      </w:r>
    </w:p>
    <w:p w:rsidR="00594AAC" w:rsidRPr="002F2828" w:rsidRDefault="00AC2F9C" w:rsidP="00594AAC">
      <w:pPr>
        <w:pStyle w:val="Para2"/>
        <w:rPr>
          <w:rFonts w:asciiTheme="minorHAnsi" w:hAnsiTheme="minorHAnsi"/>
        </w:rPr>
      </w:pPr>
      <w:bookmarkStart w:id="234" w:name="_Ref329298441"/>
      <w:r w:rsidRPr="002F2828">
        <w:rPr>
          <w:rFonts w:asciiTheme="minorHAnsi" w:hAnsiTheme="minorHAnsi"/>
        </w:rPr>
        <w:t>I</w:t>
      </w:r>
      <w:r w:rsidR="00594AAC" w:rsidRPr="002F2828">
        <w:rPr>
          <w:rFonts w:asciiTheme="minorHAnsi" w:hAnsiTheme="minorHAnsi"/>
        </w:rPr>
        <w:t>dentification</w:t>
      </w:r>
      <w:r w:rsidRPr="002F2828">
        <w:rPr>
          <w:rFonts w:asciiTheme="minorHAnsi" w:hAnsiTheme="minorHAnsi"/>
        </w:rPr>
        <w:t xml:space="preserve"> </w:t>
      </w:r>
      <w:r w:rsidR="00594AAC" w:rsidRPr="002F2828">
        <w:rPr>
          <w:rFonts w:asciiTheme="minorHAnsi" w:hAnsiTheme="minorHAnsi"/>
        </w:rPr>
        <w:t xml:space="preserve">of </w:t>
      </w:r>
      <w:r w:rsidR="009764C2" w:rsidRPr="009764C2">
        <w:rPr>
          <w:rFonts w:asciiTheme="minorHAnsi" w:hAnsiTheme="minorHAnsi"/>
          <w:b/>
        </w:rPr>
        <w:t>asset replacement and renewal</w:t>
      </w:r>
      <w:r w:rsidR="00594AAC" w:rsidRPr="002F2828">
        <w:rPr>
          <w:rFonts w:asciiTheme="minorHAnsi" w:hAnsiTheme="minorHAnsi"/>
        </w:rPr>
        <w:t xml:space="preserve"> policies and programmes and actions to be taken for each </w:t>
      </w:r>
      <w:r w:rsidR="00594AAC" w:rsidRPr="00C61334">
        <w:rPr>
          <w:rFonts w:asciiTheme="minorHAnsi" w:hAnsiTheme="minorHAnsi"/>
        </w:rPr>
        <w:t>asset category</w:t>
      </w:r>
      <w:r w:rsidR="00594AAC" w:rsidRPr="002F2828">
        <w:rPr>
          <w:rFonts w:asciiTheme="minorHAnsi" w:hAnsiTheme="minorHAnsi"/>
        </w:rPr>
        <w:t>, including associated expenditure projections</w:t>
      </w:r>
      <w:r w:rsidR="0099003F">
        <w:rPr>
          <w:rFonts w:asciiTheme="minorHAnsi" w:hAnsiTheme="minorHAnsi"/>
        </w:rPr>
        <w:t xml:space="preserve">. </w:t>
      </w:r>
      <w:r w:rsidR="00594AAC" w:rsidRPr="002F2828">
        <w:rPr>
          <w:rFonts w:asciiTheme="minorHAnsi" w:hAnsiTheme="minorHAnsi"/>
        </w:rPr>
        <w:t>This must include:</w:t>
      </w:r>
      <w:bookmarkEnd w:id="234"/>
    </w:p>
    <w:p w:rsidR="00594AAC" w:rsidRDefault="00594AAC" w:rsidP="00594AAC">
      <w:pPr>
        <w:pStyle w:val="Para3"/>
        <w:rPr>
          <w:rFonts w:asciiTheme="minorHAnsi" w:hAnsiTheme="minorHAnsi"/>
        </w:rPr>
      </w:pPr>
      <w:r w:rsidRPr="002F2828">
        <w:rPr>
          <w:rFonts w:asciiTheme="minorHAnsi" w:hAnsiTheme="minorHAnsi"/>
        </w:rPr>
        <w:t>the processes used to decide when and whether an asset is replaced or refurbished, including a description of the facto</w:t>
      </w:r>
      <w:r w:rsidR="00B56941" w:rsidRPr="002F2828">
        <w:rPr>
          <w:rFonts w:asciiTheme="minorHAnsi" w:hAnsiTheme="minorHAnsi"/>
        </w:rPr>
        <w:t>rs on which decisions are based</w:t>
      </w:r>
      <w:r w:rsidR="00E73A05">
        <w:rPr>
          <w:rFonts w:asciiTheme="minorHAnsi" w:hAnsiTheme="minorHAnsi"/>
        </w:rPr>
        <w:t>, and consideration of future demands on the network and the optimum use of existing network assets;</w:t>
      </w:r>
    </w:p>
    <w:p w:rsidR="00F56F86" w:rsidRDefault="00E73A05">
      <w:pPr>
        <w:pStyle w:val="Para3"/>
        <w:ind w:left="2160" w:hanging="742"/>
        <w:rPr>
          <w:rFonts w:asciiTheme="minorHAnsi" w:hAnsiTheme="minorHAnsi"/>
        </w:rPr>
      </w:pPr>
      <w:r>
        <w:rPr>
          <w:rFonts w:asciiTheme="minorHAnsi" w:hAnsiTheme="minorHAnsi"/>
        </w:rPr>
        <w:t>a description of innovations that have deferred asset replacements</w:t>
      </w:r>
      <w:r w:rsidR="004B0BD6">
        <w:rPr>
          <w:rFonts w:asciiTheme="minorHAnsi" w:hAnsiTheme="minorHAnsi"/>
        </w:rPr>
        <w:t>;</w:t>
      </w:r>
    </w:p>
    <w:p w:rsidR="00594AAC" w:rsidRPr="002F2828" w:rsidRDefault="00594AAC" w:rsidP="00594AAC">
      <w:pPr>
        <w:pStyle w:val="Para3"/>
        <w:rPr>
          <w:rFonts w:asciiTheme="minorHAnsi" w:hAnsiTheme="minorHAnsi"/>
        </w:rPr>
      </w:pPr>
      <w:r w:rsidRPr="002F2828">
        <w:rPr>
          <w:rFonts w:asciiTheme="minorHAnsi" w:hAnsiTheme="minorHAnsi"/>
        </w:rPr>
        <w:t xml:space="preserve">a description of the projects currently underway or planned for the next </w:t>
      </w:r>
      <w:r w:rsidR="00F61B9A" w:rsidRPr="002F2828">
        <w:rPr>
          <w:rFonts w:asciiTheme="minorHAnsi" w:hAnsiTheme="minorHAnsi"/>
        </w:rPr>
        <w:t>12</w:t>
      </w:r>
      <w:r w:rsidR="00B56941" w:rsidRPr="002F2828">
        <w:rPr>
          <w:rFonts w:asciiTheme="minorHAnsi" w:hAnsiTheme="minorHAnsi"/>
        </w:rPr>
        <w:t xml:space="preserve"> months</w:t>
      </w:r>
    </w:p>
    <w:p w:rsidR="00594AAC" w:rsidRPr="002F2828" w:rsidRDefault="00594AAC" w:rsidP="00594AAC">
      <w:pPr>
        <w:pStyle w:val="Para3"/>
        <w:rPr>
          <w:rFonts w:asciiTheme="minorHAnsi" w:hAnsiTheme="minorHAnsi"/>
        </w:rPr>
      </w:pPr>
      <w:r w:rsidRPr="002F2828">
        <w:rPr>
          <w:rFonts w:asciiTheme="minorHAnsi" w:hAnsiTheme="minorHAnsi"/>
        </w:rPr>
        <w:t xml:space="preserve">a summary of the projects planned for the following </w:t>
      </w:r>
      <w:r w:rsidR="00E73A05">
        <w:rPr>
          <w:rFonts w:asciiTheme="minorHAnsi" w:hAnsiTheme="minorHAnsi"/>
        </w:rPr>
        <w:t>four</w:t>
      </w:r>
      <w:r w:rsidR="00E73A05" w:rsidRPr="002F2828">
        <w:rPr>
          <w:rFonts w:asciiTheme="minorHAnsi" w:hAnsiTheme="minorHAnsi"/>
        </w:rPr>
        <w:t xml:space="preserve"> </w:t>
      </w:r>
      <w:r w:rsidR="00B56941" w:rsidRPr="002F2828">
        <w:rPr>
          <w:rFonts w:asciiTheme="minorHAnsi" w:hAnsiTheme="minorHAnsi"/>
        </w:rPr>
        <w:t>years</w:t>
      </w:r>
      <w:r w:rsidR="000532A1">
        <w:rPr>
          <w:rFonts w:asciiTheme="minorHAnsi" w:hAnsiTheme="minorHAnsi"/>
        </w:rPr>
        <w:t xml:space="preserve"> (where known</w:t>
      </w:r>
      <w:r w:rsidR="004B0BD6">
        <w:rPr>
          <w:rFonts w:asciiTheme="minorHAnsi" w:hAnsiTheme="minorHAnsi"/>
        </w:rPr>
        <w:t>); and</w:t>
      </w:r>
    </w:p>
    <w:p w:rsidR="00594AAC" w:rsidRPr="002F2828" w:rsidRDefault="00594AAC" w:rsidP="00594AAC">
      <w:pPr>
        <w:pStyle w:val="Para3"/>
        <w:rPr>
          <w:rFonts w:asciiTheme="minorHAnsi" w:hAnsiTheme="minorHAnsi"/>
        </w:rPr>
      </w:pPr>
      <w:proofErr w:type="gramStart"/>
      <w:r w:rsidRPr="002F2828">
        <w:rPr>
          <w:rFonts w:asciiTheme="minorHAnsi" w:hAnsiTheme="minorHAnsi"/>
        </w:rPr>
        <w:t>an</w:t>
      </w:r>
      <w:proofErr w:type="gramEnd"/>
      <w:r w:rsidRPr="002F2828">
        <w:rPr>
          <w:rFonts w:asciiTheme="minorHAnsi" w:hAnsiTheme="minorHAnsi"/>
        </w:rPr>
        <w:t xml:space="preserve"> overview of other work being considered for the remainder of the </w:t>
      </w:r>
      <w:r w:rsidRPr="002F2828">
        <w:rPr>
          <w:rFonts w:asciiTheme="minorHAnsi" w:hAnsiTheme="minorHAnsi"/>
          <w:b/>
        </w:rPr>
        <w:t>AMP planning period</w:t>
      </w:r>
      <w:r w:rsidRPr="002F2828">
        <w:rPr>
          <w:rFonts w:asciiTheme="minorHAnsi" w:hAnsiTheme="minorHAnsi"/>
        </w:rPr>
        <w:t>.</w:t>
      </w:r>
    </w:p>
    <w:p w:rsidR="00C61334" w:rsidRPr="002F2828" w:rsidRDefault="00C61334" w:rsidP="00C61334">
      <w:pPr>
        <w:pStyle w:val="Para2"/>
        <w:rPr>
          <w:rFonts w:asciiTheme="minorHAnsi" w:hAnsiTheme="minorHAnsi"/>
        </w:rPr>
      </w:pPr>
      <w:r w:rsidRPr="002F2828">
        <w:rPr>
          <w:rFonts w:asciiTheme="minorHAnsi" w:hAnsiTheme="minorHAnsi"/>
        </w:rPr>
        <w:t xml:space="preserve">The </w:t>
      </w:r>
      <w:r>
        <w:rPr>
          <w:rFonts w:asciiTheme="minorHAnsi" w:hAnsiTheme="minorHAnsi"/>
        </w:rPr>
        <w:t xml:space="preserve">asset categories discussed in subclauses </w:t>
      </w:r>
      <w:r w:rsidR="00004445">
        <w:rPr>
          <w:rFonts w:asciiTheme="minorHAnsi" w:hAnsiTheme="minorHAnsi"/>
        </w:rPr>
        <w:fldChar w:fldCharType="begin"/>
      </w:r>
      <w:r>
        <w:rPr>
          <w:rFonts w:asciiTheme="minorHAnsi" w:hAnsiTheme="minorHAnsi"/>
        </w:rPr>
        <w:instrText xml:space="preserve"> REF _Ref308461075 \r \h </w:instrText>
      </w:r>
      <w:r w:rsidR="00004445">
        <w:rPr>
          <w:rFonts w:asciiTheme="minorHAnsi" w:hAnsiTheme="minorHAnsi"/>
        </w:rPr>
      </w:r>
      <w:r w:rsidR="00004445">
        <w:rPr>
          <w:rFonts w:asciiTheme="minorHAnsi" w:hAnsiTheme="minorHAnsi"/>
        </w:rPr>
        <w:fldChar w:fldCharType="separate"/>
      </w:r>
      <w:r w:rsidR="00A84D28">
        <w:rPr>
          <w:rFonts w:asciiTheme="minorHAnsi" w:hAnsiTheme="minorHAnsi"/>
        </w:rPr>
        <w:t>11.2</w:t>
      </w:r>
      <w:r w:rsidR="00004445">
        <w:rPr>
          <w:rFonts w:asciiTheme="minorHAnsi" w:hAnsiTheme="minorHAnsi"/>
        </w:rPr>
        <w:fldChar w:fldCharType="end"/>
      </w:r>
      <w:r>
        <w:rPr>
          <w:rFonts w:asciiTheme="minorHAnsi" w:hAnsiTheme="minorHAnsi"/>
        </w:rPr>
        <w:t xml:space="preserve">and </w:t>
      </w:r>
      <w:r w:rsidR="00004445">
        <w:rPr>
          <w:rFonts w:asciiTheme="minorHAnsi" w:hAnsiTheme="minorHAnsi"/>
        </w:rPr>
        <w:fldChar w:fldCharType="begin"/>
      </w:r>
      <w:r>
        <w:rPr>
          <w:rFonts w:asciiTheme="minorHAnsi" w:hAnsiTheme="minorHAnsi"/>
        </w:rPr>
        <w:instrText xml:space="preserve"> REF _Ref329298441 \r \h </w:instrText>
      </w:r>
      <w:r w:rsidR="00004445">
        <w:rPr>
          <w:rFonts w:asciiTheme="minorHAnsi" w:hAnsiTheme="minorHAnsi"/>
        </w:rPr>
      </w:r>
      <w:r w:rsidR="00004445">
        <w:rPr>
          <w:rFonts w:asciiTheme="minorHAnsi" w:hAnsiTheme="minorHAnsi"/>
        </w:rPr>
        <w:fldChar w:fldCharType="separate"/>
      </w:r>
      <w:r w:rsidR="00A84D28">
        <w:rPr>
          <w:rFonts w:asciiTheme="minorHAnsi" w:hAnsiTheme="minorHAnsi"/>
        </w:rPr>
        <w:t>11.3</w:t>
      </w:r>
      <w:r w:rsidR="00004445">
        <w:rPr>
          <w:rFonts w:asciiTheme="minorHAnsi" w:hAnsiTheme="minorHAnsi"/>
        </w:rPr>
        <w:fldChar w:fldCharType="end"/>
      </w:r>
      <w:r>
        <w:rPr>
          <w:rFonts w:asciiTheme="minorHAnsi" w:hAnsiTheme="minorHAnsi"/>
        </w:rPr>
        <w:t xml:space="preserve"> above should include at least the categories in subclause </w:t>
      </w:r>
      <w:r w:rsidR="00004445">
        <w:rPr>
          <w:rFonts w:asciiTheme="minorHAnsi" w:hAnsiTheme="minorHAnsi"/>
        </w:rPr>
        <w:fldChar w:fldCharType="begin"/>
      </w:r>
      <w:r>
        <w:rPr>
          <w:rFonts w:asciiTheme="minorHAnsi" w:hAnsiTheme="minorHAnsi"/>
        </w:rPr>
        <w:instrText xml:space="preserve"> REF _Ref329298460 \r \h </w:instrText>
      </w:r>
      <w:r w:rsidR="00004445">
        <w:rPr>
          <w:rFonts w:asciiTheme="minorHAnsi" w:hAnsiTheme="minorHAnsi"/>
        </w:rPr>
      </w:r>
      <w:r w:rsidR="00004445">
        <w:rPr>
          <w:rFonts w:asciiTheme="minorHAnsi" w:hAnsiTheme="minorHAnsi"/>
        </w:rPr>
        <w:fldChar w:fldCharType="separate"/>
      </w:r>
      <w:r w:rsidR="00A84D28">
        <w:rPr>
          <w:rFonts w:asciiTheme="minorHAnsi" w:hAnsiTheme="minorHAnsi"/>
        </w:rPr>
        <w:t>4.5</w:t>
      </w:r>
      <w:r w:rsidR="00004445">
        <w:rPr>
          <w:rFonts w:asciiTheme="minorHAnsi" w:hAnsiTheme="minorHAnsi"/>
        </w:rPr>
        <w:fldChar w:fldCharType="end"/>
      </w:r>
      <w:r>
        <w:rPr>
          <w:rFonts w:asciiTheme="minorHAnsi" w:hAnsiTheme="minorHAnsi"/>
        </w:rPr>
        <w:t xml:space="preserve"> above.</w:t>
      </w:r>
    </w:p>
    <w:p w:rsidR="00F56F86" w:rsidRDefault="000532A1">
      <w:pPr>
        <w:pStyle w:val="Heading2"/>
      </w:pPr>
      <w:r w:rsidRPr="006345F6">
        <w:t>Non-Network Development, Maintenance and Renewal</w:t>
      </w:r>
    </w:p>
    <w:p w:rsidR="000532A1" w:rsidRPr="000532A1" w:rsidRDefault="000532A1" w:rsidP="000532A1">
      <w:pPr>
        <w:pStyle w:val="Para1"/>
        <w:rPr>
          <w:rFonts w:asciiTheme="minorHAnsi" w:hAnsiTheme="minorHAnsi"/>
        </w:rPr>
      </w:pPr>
      <w:bookmarkStart w:id="235" w:name="_Ref326746269"/>
      <w:proofErr w:type="spellStart"/>
      <w:r w:rsidRPr="007F563A">
        <w:rPr>
          <w:rFonts w:asciiTheme="minorHAnsi" w:hAnsiTheme="minorHAnsi"/>
          <w:b/>
        </w:rPr>
        <w:t>AMP</w:t>
      </w:r>
      <w:r w:rsidRPr="000532A1">
        <w:rPr>
          <w:rFonts w:asciiTheme="minorHAnsi" w:hAnsiTheme="minorHAnsi"/>
        </w:rPr>
        <w:t>s</w:t>
      </w:r>
      <w:proofErr w:type="spellEnd"/>
      <w:r w:rsidRPr="000532A1">
        <w:rPr>
          <w:rFonts w:asciiTheme="minorHAnsi" w:hAnsiTheme="minorHAnsi"/>
        </w:rPr>
        <w:t xml:space="preserve"> must provide a summary description of material non-network development, maintenance and renewal plans, including—</w:t>
      </w:r>
      <w:bookmarkEnd w:id="235"/>
    </w:p>
    <w:p w:rsidR="000532A1" w:rsidRDefault="009D039D" w:rsidP="000532A1">
      <w:pPr>
        <w:pStyle w:val="Para1"/>
        <w:numPr>
          <w:ilvl w:val="1"/>
          <w:numId w:val="102"/>
        </w:numPr>
        <w:rPr>
          <w:rFonts w:asciiTheme="minorHAnsi" w:hAnsiTheme="minorHAnsi"/>
        </w:rPr>
      </w:pPr>
      <w:r>
        <w:rPr>
          <w:rFonts w:asciiTheme="minorHAnsi" w:hAnsiTheme="minorHAnsi"/>
        </w:rPr>
        <w:t>A</w:t>
      </w:r>
      <w:r w:rsidR="000532A1">
        <w:rPr>
          <w:rFonts w:asciiTheme="minorHAnsi" w:hAnsiTheme="minorHAnsi"/>
        </w:rPr>
        <w:t xml:space="preserve"> description of</w:t>
      </w:r>
      <w:r>
        <w:rPr>
          <w:rFonts w:asciiTheme="minorHAnsi" w:hAnsiTheme="minorHAnsi"/>
        </w:rPr>
        <w:t xml:space="preserve"> non-network assets</w:t>
      </w:r>
      <w:r w:rsidR="004B0BD6">
        <w:rPr>
          <w:rFonts w:asciiTheme="minorHAnsi" w:hAnsiTheme="minorHAnsi"/>
        </w:rPr>
        <w:t>;</w:t>
      </w:r>
    </w:p>
    <w:p w:rsidR="000532A1" w:rsidRDefault="009D039D" w:rsidP="000532A1">
      <w:pPr>
        <w:pStyle w:val="Para1"/>
        <w:numPr>
          <w:ilvl w:val="1"/>
          <w:numId w:val="102"/>
        </w:numPr>
        <w:rPr>
          <w:rFonts w:asciiTheme="minorHAnsi" w:hAnsiTheme="minorHAnsi"/>
        </w:rPr>
      </w:pPr>
      <w:r>
        <w:rPr>
          <w:rFonts w:asciiTheme="minorHAnsi" w:hAnsiTheme="minorHAnsi"/>
        </w:rPr>
        <w:t>D</w:t>
      </w:r>
      <w:r w:rsidR="000532A1">
        <w:rPr>
          <w:rFonts w:asciiTheme="minorHAnsi" w:hAnsiTheme="minorHAnsi"/>
        </w:rPr>
        <w:t>evelopment, maintenance and r</w:t>
      </w:r>
      <w:r>
        <w:rPr>
          <w:rFonts w:asciiTheme="minorHAnsi" w:hAnsiTheme="minorHAnsi"/>
        </w:rPr>
        <w:t>enewal policies that cover them</w:t>
      </w:r>
      <w:r w:rsidR="004B0BD6">
        <w:rPr>
          <w:rFonts w:asciiTheme="minorHAnsi" w:hAnsiTheme="minorHAnsi"/>
        </w:rPr>
        <w:t>;</w:t>
      </w:r>
    </w:p>
    <w:p w:rsidR="000532A1" w:rsidRDefault="009D039D" w:rsidP="000532A1">
      <w:pPr>
        <w:pStyle w:val="Para1"/>
        <w:numPr>
          <w:ilvl w:val="1"/>
          <w:numId w:val="102"/>
        </w:numPr>
        <w:rPr>
          <w:rFonts w:asciiTheme="minorHAnsi" w:hAnsiTheme="minorHAnsi"/>
        </w:rPr>
      </w:pPr>
      <w:r>
        <w:rPr>
          <w:rFonts w:asciiTheme="minorHAnsi" w:hAnsiTheme="minorHAnsi"/>
        </w:rPr>
        <w:t>A</w:t>
      </w:r>
      <w:r w:rsidR="000532A1">
        <w:rPr>
          <w:rFonts w:asciiTheme="minorHAnsi" w:hAnsiTheme="minorHAnsi"/>
        </w:rPr>
        <w:t xml:space="preserve"> description of material capital expenditure projects (where know</w:t>
      </w:r>
      <w:r>
        <w:rPr>
          <w:rFonts w:asciiTheme="minorHAnsi" w:hAnsiTheme="minorHAnsi"/>
        </w:rPr>
        <w:t xml:space="preserve">n) planned for the next </w:t>
      </w:r>
      <w:r w:rsidR="004B0BD6">
        <w:rPr>
          <w:rFonts w:asciiTheme="minorHAnsi" w:hAnsiTheme="minorHAnsi"/>
        </w:rPr>
        <w:t>five</w:t>
      </w:r>
      <w:r>
        <w:rPr>
          <w:rFonts w:asciiTheme="minorHAnsi" w:hAnsiTheme="minorHAnsi"/>
        </w:rPr>
        <w:t xml:space="preserve"> years</w:t>
      </w:r>
      <w:r w:rsidR="004B0BD6">
        <w:rPr>
          <w:rFonts w:asciiTheme="minorHAnsi" w:hAnsiTheme="minorHAnsi"/>
        </w:rPr>
        <w:t>;</w:t>
      </w:r>
    </w:p>
    <w:p w:rsidR="000532A1" w:rsidRPr="00604256" w:rsidRDefault="009D039D" w:rsidP="000532A1">
      <w:pPr>
        <w:pStyle w:val="Para1"/>
        <w:numPr>
          <w:ilvl w:val="1"/>
          <w:numId w:val="102"/>
        </w:numPr>
        <w:rPr>
          <w:rFonts w:asciiTheme="minorHAnsi" w:hAnsiTheme="minorHAnsi"/>
        </w:rPr>
      </w:pPr>
      <w:r>
        <w:rPr>
          <w:rFonts w:asciiTheme="minorHAnsi" w:hAnsiTheme="minorHAnsi"/>
        </w:rPr>
        <w:t>A</w:t>
      </w:r>
      <w:r w:rsidR="000532A1">
        <w:rPr>
          <w:rFonts w:asciiTheme="minorHAnsi" w:hAnsiTheme="minorHAnsi"/>
        </w:rPr>
        <w:t xml:space="preserve"> description of material maintenance and renewal projects planned (where known)</w:t>
      </w:r>
      <w:r w:rsidR="000532A1" w:rsidRPr="00AC3E35">
        <w:rPr>
          <w:rFonts w:asciiTheme="minorHAnsi" w:hAnsiTheme="minorHAnsi"/>
        </w:rPr>
        <w:t xml:space="preserve"> </w:t>
      </w:r>
      <w:r w:rsidR="000532A1">
        <w:rPr>
          <w:rFonts w:asciiTheme="minorHAnsi" w:hAnsiTheme="minorHAnsi"/>
        </w:rPr>
        <w:t xml:space="preserve">for the next </w:t>
      </w:r>
      <w:r w:rsidR="004B0BD6">
        <w:rPr>
          <w:rFonts w:asciiTheme="minorHAnsi" w:hAnsiTheme="minorHAnsi"/>
        </w:rPr>
        <w:t>five</w:t>
      </w:r>
      <w:r w:rsidR="000532A1">
        <w:rPr>
          <w:rFonts w:asciiTheme="minorHAnsi" w:hAnsiTheme="minorHAnsi"/>
        </w:rPr>
        <w:t xml:space="preserve"> years.</w:t>
      </w:r>
    </w:p>
    <w:p w:rsidR="00F56F86" w:rsidRDefault="00594AAC">
      <w:pPr>
        <w:pStyle w:val="Heading2"/>
      </w:pPr>
      <w:r w:rsidRPr="002F2828">
        <w:t>Risk Management</w:t>
      </w:r>
    </w:p>
    <w:p w:rsidR="00594AAC" w:rsidRPr="002F2828" w:rsidRDefault="00594AAC" w:rsidP="00594AAC">
      <w:pPr>
        <w:pStyle w:val="Para1"/>
        <w:rPr>
          <w:rFonts w:asciiTheme="minorHAnsi" w:hAnsiTheme="minorHAnsi"/>
        </w:rPr>
      </w:pPr>
      <w:bookmarkStart w:id="236" w:name="_Toc307315462"/>
      <w:proofErr w:type="spellStart"/>
      <w:r w:rsidRPr="002F2828">
        <w:rPr>
          <w:rFonts w:asciiTheme="minorHAnsi" w:hAnsiTheme="minorHAnsi"/>
          <w:b/>
        </w:rPr>
        <w:t>AMP</w:t>
      </w:r>
      <w:r w:rsidRPr="002F2828">
        <w:rPr>
          <w:rFonts w:asciiTheme="minorHAnsi" w:hAnsiTheme="minorHAnsi"/>
        </w:rPr>
        <w:t>s</w:t>
      </w:r>
      <w:proofErr w:type="spellEnd"/>
      <w:r w:rsidRPr="002F2828">
        <w:rPr>
          <w:rFonts w:asciiTheme="minorHAnsi" w:hAnsiTheme="minorHAnsi"/>
        </w:rPr>
        <w:t xml:space="preserve"> must provide details of risk policies, assessment, and mitigation, including</w:t>
      </w:r>
      <w:bookmarkEnd w:id="236"/>
      <w:r w:rsidRPr="002F2828">
        <w:rPr>
          <w:rFonts w:asciiTheme="minorHAnsi" w:hAnsiTheme="minorHAnsi"/>
        </w:rPr>
        <w:t>—</w:t>
      </w:r>
    </w:p>
    <w:p w:rsidR="00594AAC" w:rsidRPr="002F2828" w:rsidRDefault="00AC2F9C" w:rsidP="00594AAC">
      <w:pPr>
        <w:pStyle w:val="Para2"/>
        <w:rPr>
          <w:rFonts w:asciiTheme="minorHAnsi" w:hAnsiTheme="minorHAnsi"/>
        </w:rPr>
      </w:pPr>
      <w:r w:rsidRPr="002F2828">
        <w:rPr>
          <w:rFonts w:asciiTheme="minorHAnsi" w:hAnsiTheme="minorHAnsi"/>
        </w:rPr>
        <w:t>M</w:t>
      </w:r>
      <w:r w:rsidR="00594AAC" w:rsidRPr="002F2828">
        <w:rPr>
          <w:rFonts w:asciiTheme="minorHAnsi" w:hAnsiTheme="minorHAnsi"/>
        </w:rPr>
        <w:t>ethods, details a</w:t>
      </w:r>
      <w:r w:rsidR="00B56941" w:rsidRPr="002F2828">
        <w:rPr>
          <w:rFonts w:asciiTheme="minorHAnsi" w:hAnsiTheme="minorHAnsi"/>
        </w:rPr>
        <w:t>nd conclusions of risk analysis</w:t>
      </w:r>
      <w:r w:rsidR="004B0BD6">
        <w:rPr>
          <w:rFonts w:asciiTheme="minorHAnsi" w:hAnsiTheme="minorHAnsi"/>
        </w:rPr>
        <w:t>;</w:t>
      </w:r>
    </w:p>
    <w:p w:rsidR="00594AAC" w:rsidRPr="002F2828" w:rsidRDefault="00AC2F9C" w:rsidP="00594AAC">
      <w:pPr>
        <w:pStyle w:val="Para2"/>
        <w:rPr>
          <w:rFonts w:asciiTheme="minorHAnsi" w:hAnsiTheme="minorHAnsi"/>
        </w:rPr>
      </w:pPr>
      <w:bookmarkStart w:id="237" w:name="_Ref329034857"/>
      <w:r w:rsidRPr="002F2828">
        <w:rPr>
          <w:rFonts w:asciiTheme="minorHAnsi" w:hAnsiTheme="minorHAnsi"/>
        </w:rPr>
        <w:t>S</w:t>
      </w:r>
      <w:r w:rsidR="00594AAC" w:rsidRPr="002F2828">
        <w:rPr>
          <w:rFonts w:asciiTheme="minorHAnsi" w:hAnsiTheme="minorHAnsi"/>
        </w:rPr>
        <w:t xml:space="preserve">trategies used to identify </w:t>
      </w:r>
      <w:bookmarkStart w:id="238" w:name="_Ref310523631"/>
      <w:r w:rsidR="00594AAC" w:rsidRPr="002F2828">
        <w:rPr>
          <w:rFonts w:asciiTheme="minorHAnsi" w:hAnsiTheme="minorHAnsi"/>
        </w:rPr>
        <w:t xml:space="preserve">areas of the </w:t>
      </w:r>
      <w:r w:rsidR="00594AAC" w:rsidRPr="002F2828">
        <w:rPr>
          <w:rFonts w:asciiTheme="minorHAnsi" w:hAnsiTheme="minorHAnsi"/>
          <w:b/>
        </w:rPr>
        <w:t>network</w:t>
      </w:r>
      <w:r w:rsidR="00594AAC" w:rsidRPr="002F2828">
        <w:rPr>
          <w:rFonts w:asciiTheme="minorHAnsi" w:hAnsiTheme="minorHAnsi"/>
        </w:rPr>
        <w:t xml:space="preserve"> that are vulnerable to high impact low probability events</w:t>
      </w:r>
      <w:bookmarkEnd w:id="238"/>
      <w:r w:rsidR="00594AAC" w:rsidRPr="002F2828">
        <w:rPr>
          <w:rFonts w:asciiTheme="minorHAnsi" w:hAnsiTheme="minorHAnsi"/>
        </w:rPr>
        <w:t xml:space="preserve"> and a description of the resilience of the </w:t>
      </w:r>
      <w:r w:rsidR="00594AAC" w:rsidRPr="002F2828">
        <w:rPr>
          <w:rFonts w:asciiTheme="minorHAnsi" w:hAnsiTheme="minorHAnsi"/>
          <w:b/>
        </w:rPr>
        <w:t>network</w:t>
      </w:r>
      <w:r w:rsidR="00594AAC" w:rsidRPr="002F2828">
        <w:rPr>
          <w:rFonts w:asciiTheme="minorHAnsi" w:hAnsiTheme="minorHAnsi"/>
        </w:rPr>
        <w:t xml:space="preserve"> and asset management systems to such events</w:t>
      </w:r>
      <w:r w:rsidR="004B0BD6">
        <w:rPr>
          <w:rFonts w:asciiTheme="minorHAnsi" w:hAnsiTheme="minorHAnsi"/>
        </w:rPr>
        <w:t>;</w:t>
      </w:r>
      <w:bookmarkEnd w:id="237"/>
    </w:p>
    <w:p w:rsidR="00594AAC" w:rsidRPr="002F2828" w:rsidRDefault="00AC2F9C" w:rsidP="00594AAC">
      <w:pPr>
        <w:pStyle w:val="Para2"/>
        <w:rPr>
          <w:rFonts w:asciiTheme="minorHAnsi" w:hAnsiTheme="minorHAnsi"/>
        </w:rPr>
      </w:pPr>
      <w:r w:rsidRPr="002F2828">
        <w:rPr>
          <w:rFonts w:asciiTheme="minorHAnsi" w:hAnsiTheme="minorHAnsi"/>
        </w:rPr>
        <w:t>A</w:t>
      </w:r>
      <w:r w:rsidR="00594AAC" w:rsidRPr="002F2828">
        <w:rPr>
          <w:rFonts w:asciiTheme="minorHAnsi" w:hAnsiTheme="minorHAnsi"/>
        </w:rPr>
        <w:t xml:space="preserve"> description of the policies to mitigate or manage the risks of events identified in subclause</w:t>
      </w:r>
      <w:r w:rsidR="00F61B9A" w:rsidRPr="002F2828">
        <w:rPr>
          <w:rFonts w:asciiTheme="minorHAnsi" w:hAnsiTheme="minorHAnsi"/>
        </w:rPr>
        <w:t xml:space="preserve"> </w:t>
      </w:r>
      <w:r w:rsidR="00004445">
        <w:rPr>
          <w:rFonts w:asciiTheme="minorHAnsi" w:hAnsiTheme="minorHAnsi"/>
        </w:rPr>
        <w:fldChar w:fldCharType="begin"/>
      </w:r>
      <w:r w:rsidR="004B0BD6">
        <w:rPr>
          <w:rFonts w:asciiTheme="minorHAnsi" w:hAnsiTheme="minorHAnsi"/>
        </w:rPr>
        <w:instrText xml:space="preserve"> REF _Ref329034857 \r \h </w:instrText>
      </w:r>
      <w:r w:rsidR="00004445">
        <w:rPr>
          <w:rFonts w:asciiTheme="minorHAnsi" w:hAnsiTheme="minorHAnsi"/>
        </w:rPr>
      </w:r>
      <w:r w:rsidR="00004445">
        <w:rPr>
          <w:rFonts w:asciiTheme="minorHAnsi" w:hAnsiTheme="minorHAnsi"/>
        </w:rPr>
        <w:fldChar w:fldCharType="separate"/>
      </w:r>
      <w:r w:rsidR="00A84D28">
        <w:rPr>
          <w:rFonts w:asciiTheme="minorHAnsi" w:hAnsiTheme="minorHAnsi"/>
        </w:rPr>
        <w:t>13.2</w:t>
      </w:r>
      <w:r w:rsidR="00004445">
        <w:rPr>
          <w:rFonts w:asciiTheme="minorHAnsi" w:hAnsiTheme="minorHAnsi"/>
        </w:rPr>
        <w:fldChar w:fldCharType="end"/>
      </w:r>
      <w:r w:rsidR="004B0BD6">
        <w:rPr>
          <w:rFonts w:asciiTheme="minorHAnsi" w:hAnsiTheme="minorHAnsi"/>
        </w:rPr>
        <w:t xml:space="preserve"> above;</w:t>
      </w:r>
    </w:p>
    <w:p w:rsidR="00594AAC" w:rsidRPr="002F2828" w:rsidRDefault="00AC2F9C" w:rsidP="00594AAC">
      <w:pPr>
        <w:pStyle w:val="Para2"/>
        <w:rPr>
          <w:rFonts w:asciiTheme="minorHAnsi" w:hAnsiTheme="minorHAnsi"/>
        </w:rPr>
      </w:pPr>
      <w:r w:rsidRPr="002F2828">
        <w:rPr>
          <w:rFonts w:asciiTheme="minorHAnsi" w:hAnsiTheme="minorHAnsi"/>
        </w:rPr>
        <w:t>D</w:t>
      </w:r>
      <w:r w:rsidR="00594AAC" w:rsidRPr="002F2828">
        <w:rPr>
          <w:rFonts w:asciiTheme="minorHAnsi" w:hAnsiTheme="minorHAnsi"/>
        </w:rPr>
        <w:t>etails of emergency response and contingency plans.</w:t>
      </w:r>
    </w:p>
    <w:p w:rsidR="00F56F86" w:rsidRDefault="00594AAC">
      <w:pPr>
        <w:pStyle w:val="UnnumberedL3"/>
        <w:ind w:left="1418"/>
        <w:rPr>
          <w:rStyle w:val="Emphasis-Italics"/>
          <w:rFonts w:asciiTheme="minorHAnsi" w:hAnsiTheme="minorHAnsi"/>
          <w:b/>
          <w:i w:val="0"/>
          <w:iCs/>
        </w:rPr>
      </w:pPr>
      <w:bookmarkStart w:id="239" w:name="_Toc307315463"/>
      <w:r w:rsidRPr="002F2828">
        <w:rPr>
          <w:rStyle w:val="Emphasis-Italics"/>
          <w:rFonts w:asciiTheme="minorHAnsi" w:hAnsiTheme="minorHAnsi"/>
        </w:rPr>
        <w:t xml:space="preserve">Asset risk management forms a component of a </w:t>
      </w:r>
      <w:proofErr w:type="spellStart"/>
      <w:r w:rsidR="005D0135" w:rsidRPr="000532A1">
        <w:rPr>
          <w:rStyle w:val="Emphasis-Italics"/>
          <w:rFonts w:asciiTheme="minorHAnsi" w:hAnsiTheme="minorHAnsi"/>
          <w:b/>
        </w:rPr>
        <w:t>GDB</w:t>
      </w:r>
      <w:r w:rsidRPr="002F2828">
        <w:rPr>
          <w:rStyle w:val="Emphasis-Italics"/>
          <w:rFonts w:asciiTheme="minorHAnsi" w:hAnsiTheme="minorHAnsi"/>
        </w:rPr>
        <w:t>’s</w:t>
      </w:r>
      <w:proofErr w:type="spellEnd"/>
      <w:r w:rsidRPr="002F2828">
        <w:rPr>
          <w:rStyle w:val="Emphasis-Italics"/>
          <w:rFonts w:asciiTheme="minorHAnsi" w:hAnsiTheme="minorHAnsi"/>
        </w:rPr>
        <w:t xml:space="preserve"> overall risk management plan or policy, focusing on the risks to assets and maintaining service levels</w:t>
      </w:r>
      <w:r w:rsidR="0099003F">
        <w:rPr>
          <w:rStyle w:val="Emphasis-Italics"/>
          <w:rFonts w:asciiTheme="minorHAnsi" w:hAnsiTheme="minorHAnsi"/>
        </w:rPr>
        <w:t xml:space="preserve">. </w:t>
      </w:r>
      <w:proofErr w:type="spellStart"/>
      <w:r w:rsidR="005D0135" w:rsidRPr="000532A1">
        <w:rPr>
          <w:rStyle w:val="Emphasis-Italics"/>
          <w:rFonts w:asciiTheme="minorHAnsi" w:hAnsiTheme="minorHAnsi"/>
          <w:b/>
        </w:rPr>
        <w:t>AMP</w:t>
      </w:r>
      <w:r w:rsidRPr="002F2828">
        <w:rPr>
          <w:rStyle w:val="Emphasis-Italics"/>
          <w:rFonts w:asciiTheme="minorHAnsi" w:hAnsiTheme="minorHAnsi"/>
        </w:rPr>
        <w:t>s</w:t>
      </w:r>
      <w:proofErr w:type="spellEnd"/>
      <w:r w:rsidRPr="002F2828">
        <w:rPr>
          <w:rStyle w:val="Emphasis-Italics"/>
          <w:rFonts w:asciiTheme="minorHAnsi" w:hAnsiTheme="minorHAnsi"/>
        </w:rPr>
        <w:t xml:space="preserve"> should demonstrate how the </w:t>
      </w:r>
      <w:r w:rsidR="009764C2" w:rsidRPr="009764C2">
        <w:rPr>
          <w:rStyle w:val="Emphasis-Italics"/>
          <w:rFonts w:asciiTheme="minorHAnsi" w:hAnsiTheme="minorHAnsi"/>
        </w:rPr>
        <w:t>GDB</w:t>
      </w:r>
      <w:r w:rsidRPr="002F2828">
        <w:rPr>
          <w:rStyle w:val="Emphasis-Italics"/>
          <w:rFonts w:asciiTheme="minorHAnsi" w:hAnsiTheme="minorHAnsi"/>
        </w:rPr>
        <w:t xml:space="preserve"> identifies and assesses asset related risks and describe the main risks within the network</w:t>
      </w:r>
      <w:r w:rsidR="0099003F">
        <w:rPr>
          <w:rStyle w:val="Emphasis-Italics"/>
          <w:rFonts w:asciiTheme="minorHAnsi" w:hAnsiTheme="minorHAnsi"/>
        </w:rPr>
        <w:t xml:space="preserve">. </w:t>
      </w:r>
      <w:r w:rsidRPr="002F2828">
        <w:rPr>
          <w:rStyle w:val="Emphasis-Italics"/>
          <w:rFonts w:asciiTheme="minorHAnsi" w:hAnsiTheme="minorHAnsi"/>
        </w:rPr>
        <w:t>The focus should be on credible low-probability, high-impact risks</w:t>
      </w:r>
      <w:r w:rsidR="0099003F">
        <w:rPr>
          <w:rStyle w:val="Emphasis-Italics"/>
          <w:rFonts w:asciiTheme="minorHAnsi" w:hAnsiTheme="minorHAnsi"/>
        </w:rPr>
        <w:t xml:space="preserve">. </w:t>
      </w:r>
      <w:r w:rsidRPr="002F2828">
        <w:rPr>
          <w:rStyle w:val="Emphasis-Italics"/>
          <w:rFonts w:asciiTheme="minorHAnsi" w:hAnsiTheme="minorHAnsi"/>
        </w:rPr>
        <w:t>Risk evaluation may highlight the need for specific development projects or maintenance programmes</w:t>
      </w:r>
      <w:r w:rsidR="0099003F">
        <w:rPr>
          <w:rStyle w:val="Emphasis-Italics"/>
          <w:rFonts w:asciiTheme="minorHAnsi" w:hAnsiTheme="minorHAnsi"/>
        </w:rPr>
        <w:t xml:space="preserve">. </w:t>
      </w:r>
      <w:r w:rsidRPr="002F2828">
        <w:rPr>
          <w:rStyle w:val="Emphasis-Italics"/>
          <w:rFonts w:asciiTheme="minorHAnsi" w:hAnsiTheme="minorHAnsi"/>
        </w:rPr>
        <w:t>Where this is the case, the resulting projects or actions should be discussed, linking back to the development plan or maintenance programme.</w:t>
      </w:r>
      <w:bookmarkEnd w:id="239"/>
    </w:p>
    <w:p w:rsidR="00F56F86" w:rsidRDefault="00594AAC">
      <w:pPr>
        <w:pStyle w:val="Heading2"/>
      </w:pPr>
      <w:r w:rsidRPr="002F2828">
        <w:t>Evaluation of performance</w:t>
      </w:r>
    </w:p>
    <w:p w:rsidR="00594AAC" w:rsidRPr="002F2828" w:rsidRDefault="00594AAC" w:rsidP="00594AAC">
      <w:pPr>
        <w:pStyle w:val="Para1"/>
        <w:rPr>
          <w:rFonts w:asciiTheme="minorHAnsi" w:hAnsiTheme="minorHAnsi"/>
        </w:rPr>
      </w:pPr>
      <w:bookmarkStart w:id="240" w:name="_Toc307315464"/>
      <w:proofErr w:type="spellStart"/>
      <w:r w:rsidRPr="002F2828">
        <w:rPr>
          <w:rFonts w:asciiTheme="minorHAnsi" w:hAnsiTheme="minorHAnsi"/>
          <w:b/>
        </w:rPr>
        <w:t>AMP</w:t>
      </w:r>
      <w:r w:rsidRPr="002F2828">
        <w:rPr>
          <w:rFonts w:asciiTheme="minorHAnsi" w:hAnsiTheme="minorHAnsi"/>
        </w:rPr>
        <w:t>s</w:t>
      </w:r>
      <w:proofErr w:type="spellEnd"/>
      <w:r w:rsidRPr="002F2828">
        <w:rPr>
          <w:rFonts w:asciiTheme="minorHAnsi" w:hAnsiTheme="minorHAnsi"/>
        </w:rPr>
        <w:t xml:space="preserve"> must provide details of performance measurement, evaluation, and improvement, including</w:t>
      </w:r>
      <w:bookmarkEnd w:id="240"/>
      <w:r w:rsidRPr="002F2828">
        <w:rPr>
          <w:rFonts w:asciiTheme="minorHAnsi" w:hAnsiTheme="minorHAnsi"/>
        </w:rPr>
        <w:t>—</w:t>
      </w:r>
    </w:p>
    <w:p w:rsidR="00594AAC" w:rsidRPr="002F2828" w:rsidRDefault="00AC2F9C" w:rsidP="00594AAC">
      <w:pPr>
        <w:pStyle w:val="Para2"/>
        <w:rPr>
          <w:rFonts w:asciiTheme="minorHAnsi" w:hAnsiTheme="minorHAnsi"/>
        </w:rPr>
      </w:pPr>
      <w:bookmarkStart w:id="241" w:name="_Ref308456361"/>
      <w:r w:rsidRPr="002F2828">
        <w:rPr>
          <w:rFonts w:asciiTheme="minorHAnsi" w:hAnsiTheme="minorHAnsi"/>
        </w:rPr>
        <w:t>A</w:t>
      </w:r>
      <w:r w:rsidR="00594AAC" w:rsidRPr="002F2828">
        <w:rPr>
          <w:rFonts w:asciiTheme="minorHAnsi" w:hAnsiTheme="minorHAnsi"/>
        </w:rPr>
        <w:t xml:space="preserve"> review of progress against plan, both physical and financial</w:t>
      </w:r>
      <w:bookmarkEnd w:id="241"/>
      <w:r w:rsidR="004B0BD6">
        <w:rPr>
          <w:rFonts w:asciiTheme="minorHAnsi" w:hAnsiTheme="minorHAnsi"/>
        </w:rPr>
        <w:t>;</w:t>
      </w:r>
    </w:p>
    <w:p w:rsidR="00594AAC" w:rsidRPr="002F2828" w:rsidRDefault="00594AAC" w:rsidP="00F82684">
      <w:pPr>
        <w:pStyle w:val="Para3"/>
        <w:numPr>
          <w:ilvl w:val="2"/>
          <w:numId w:val="68"/>
        </w:numPr>
        <w:rPr>
          <w:rStyle w:val="Emphasis-Italics"/>
          <w:rFonts w:asciiTheme="minorHAnsi" w:hAnsiTheme="minorHAnsi"/>
        </w:rPr>
      </w:pPr>
      <w:r w:rsidRPr="002F2828">
        <w:rPr>
          <w:rStyle w:val="Emphasis-Italics"/>
          <w:rFonts w:asciiTheme="minorHAnsi" w:hAnsiTheme="minorHAnsi"/>
        </w:rPr>
        <w:t xml:space="preserve">referring to the most recent disclosures made </w:t>
      </w:r>
      <w:r w:rsidR="00381209">
        <w:rPr>
          <w:rStyle w:val="Emphasis-Italics"/>
          <w:rFonts w:asciiTheme="minorHAnsi" w:hAnsiTheme="minorHAnsi"/>
        </w:rPr>
        <w:t>under</w:t>
      </w:r>
      <w:r w:rsidR="0020267E">
        <w:rPr>
          <w:rStyle w:val="Emphasis-Italics"/>
          <w:rFonts w:asciiTheme="minorHAnsi" w:hAnsiTheme="minorHAnsi"/>
        </w:rPr>
        <w:t xml:space="preserve"> </w:t>
      </w:r>
      <w:r w:rsidR="00381209">
        <w:rPr>
          <w:rStyle w:val="Emphasis-Italics"/>
          <w:rFonts w:asciiTheme="minorHAnsi" w:hAnsiTheme="minorHAnsi"/>
        </w:rPr>
        <w:t>sub</w:t>
      </w:r>
      <w:r w:rsidR="0020267E">
        <w:rPr>
          <w:rFonts w:asciiTheme="minorHAnsi" w:hAnsiTheme="minorHAnsi"/>
          <w:i/>
        </w:rPr>
        <w:t xml:space="preserve">clause </w:t>
      </w:r>
      <w:r w:rsidR="00004445">
        <w:rPr>
          <w:rFonts w:asciiTheme="minorHAnsi" w:hAnsiTheme="minorHAnsi"/>
          <w:i/>
        </w:rPr>
        <w:fldChar w:fldCharType="begin"/>
      </w:r>
      <w:r w:rsidR="00381209">
        <w:rPr>
          <w:rFonts w:asciiTheme="minorHAnsi" w:hAnsiTheme="minorHAnsi"/>
          <w:i/>
        </w:rPr>
        <w:instrText xml:space="preserve"> REF _Ref329077161 \r \h </w:instrText>
      </w:r>
      <w:r w:rsidR="00004445">
        <w:rPr>
          <w:rFonts w:asciiTheme="minorHAnsi" w:hAnsiTheme="minorHAnsi"/>
          <w:i/>
        </w:rPr>
      </w:r>
      <w:r w:rsidR="00004445">
        <w:rPr>
          <w:rFonts w:asciiTheme="minorHAnsi" w:hAnsiTheme="minorHAnsi"/>
          <w:i/>
        </w:rPr>
        <w:fldChar w:fldCharType="separate"/>
      </w:r>
      <w:r w:rsidR="00A84D28">
        <w:rPr>
          <w:rFonts w:asciiTheme="minorHAnsi" w:hAnsiTheme="minorHAnsi"/>
          <w:i/>
        </w:rPr>
        <w:t>2.5.1(1)</w:t>
      </w:r>
      <w:r w:rsidR="00004445">
        <w:rPr>
          <w:rFonts w:asciiTheme="minorHAnsi" w:hAnsiTheme="minorHAnsi"/>
          <w:i/>
        </w:rPr>
        <w:fldChar w:fldCharType="end"/>
      </w:r>
      <w:r w:rsidR="0020267E">
        <w:rPr>
          <w:rFonts w:asciiTheme="minorHAnsi" w:hAnsiTheme="minorHAnsi"/>
          <w:i/>
        </w:rPr>
        <w:t xml:space="preserve"> of the determination</w:t>
      </w:r>
      <w:r w:rsidR="0020267E">
        <w:rPr>
          <w:rStyle w:val="Emphasis-Italics"/>
          <w:rFonts w:asciiTheme="minorHAnsi" w:hAnsiTheme="minorHAnsi"/>
        </w:rPr>
        <w:t>, discussing any signific</w:t>
      </w:r>
      <w:r w:rsidRPr="002F2828">
        <w:rPr>
          <w:rStyle w:val="Emphasis-Italics"/>
          <w:rFonts w:asciiTheme="minorHAnsi" w:hAnsiTheme="minorHAnsi"/>
        </w:rPr>
        <w:t>ant differences and highlighting reasons for substantial variances</w:t>
      </w:r>
    </w:p>
    <w:p w:rsidR="00594AAC" w:rsidRPr="002F2828" w:rsidRDefault="00594AAC" w:rsidP="00F82684">
      <w:pPr>
        <w:pStyle w:val="Para3"/>
        <w:numPr>
          <w:ilvl w:val="2"/>
          <w:numId w:val="68"/>
        </w:numPr>
        <w:rPr>
          <w:rStyle w:val="Emphasis-Italics"/>
          <w:rFonts w:asciiTheme="minorHAnsi" w:hAnsiTheme="minorHAnsi"/>
        </w:rPr>
      </w:pPr>
      <w:r w:rsidRPr="002F2828">
        <w:rPr>
          <w:rStyle w:val="Emphasis-Italics"/>
          <w:rFonts w:asciiTheme="minorHAnsi" w:hAnsiTheme="minorHAnsi"/>
        </w:rPr>
        <w:t xml:space="preserve">commenting on the progress of development projects against that planned in the previous </w:t>
      </w:r>
      <w:r w:rsidRPr="002F2828">
        <w:rPr>
          <w:rStyle w:val="Emphasis-Italics"/>
          <w:rFonts w:asciiTheme="minorHAnsi" w:hAnsiTheme="minorHAnsi"/>
          <w:b/>
        </w:rPr>
        <w:t>AMP</w:t>
      </w:r>
      <w:r w:rsidRPr="002F2828" w:rsidDel="00BA5607">
        <w:rPr>
          <w:rStyle w:val="Emphasis-Italics"/>
          <w:rFonts w:asciiTheme="minorHAnsi" w:hAnsiTheme="minorHAnsi"/>
        </w:rPr>
        <w:t xml:space="preserve"> </w:t>
      </w:r>
      <w:r w:rsidRPr="002F2828">
        <w:rPr>
          <w:rStyle w:val="Emphasis-Italics"/>
          <w:rFonts w:asciiTheme="minorHAnsi" w:hAnsiTheme="minorHAnsi"/>
        </w:rPr>
        <w:t>and provide reasons for substantial variances along with any significant construction or other problems experienced</w:t>
      </w:r>
    </w:p>
    <w:p w:rsidR="00594AAC" w:rsidRPr="002F2828" w:rsidRDefault="00594AAC" w:rsidP="00F82684">
      <w:pPr>
        <w:pStyle w:val="Para3"/>
        <w:numPr>
          <w:ilvl w:val="2"/>
          <w:numId w:val="68"/>
        </w:numPr>
        <w:rPr>
          <w:rStyle w:val="Emphasis-Italics"/>
          <w:rFonts w:asciiTheme="minorHAnsi" w:hAnsiTheme="minorHAnsi"/>
        </w:rPr>
      </w:pPr>
      <w:proofErr w:type="gramStart"/>
      <w:r w:rsidRPr="002F2828">
        <w:rPr>
          <w:rStyle w:val="Emphasis-Italics"/>
          <w:rFonts w:asciiTheme="minorHAnsi" w:hAnsiTheme="minorHAnsi"/>
        </w:rPr>
        <w:t>commenting</w:t>
      </w:r>
      <w:proofErr w:type="gramEnd"/>
      <w:r w:rsidRPr="002F2828">
        <w:rPr>
          <w:rStyle w:val="Emphasis-Italics"/>
          <w:rFonts w:asciiTheme="minorHAnsi" w:hAnsiTheme="minorHAnsi"/>
        </w:rPr>
        <w:t xml:space="preserve"> on progress against maintenance initiatives and programmes and discuss the effectiveness of these programmes noted.</w:t>
      </w:r>
    </w:p>
    <w:p w:rsidR="00594AAC" w:rsidRPr="002F2828" w:rsidRDefault="00AC2F9C" w:rsidP="00594AAC">
      <w:pPr>
        <w:pStyle w:val="Para2"/>
        <w:rPr>
          <w:rFonts w:asciiTheme="minorHAnsi" w:hAnsiTheme="minorHAnsi"/>
        </w:rPr>
      </w:pPr>
      <w:bookmarkStart w:id="242" w:name="_Ref308455906"/>
      <w:r w:rsidRPr="002F2828">
        <w:rPr>
          <w:rFonts w:asciiTheme="minorHAnsi" w:hAnsiTheme="minorHAnsi"/>
        </w:rPr>
        <w:t>A</w:t>
      </w:r>
      <w:r w:rsidR="00594AAC" w:rsidRPr="002F2828">
        <w:rPr>
          <w:rFonts w:asciiTheme="minorHAnsi" w:hAnsiTheme="minorHAnsi"/>
        </w:rPr>
        <w:t>n evaluation and comparison of actual service level performance against targeted performance</w:t>
      </w:r>
      <w:bookmarkEnd w:id="242"/>
    </w:p>
    <w:p w:rsidR="00594AAC" w:rsidRPr="002F2828" w:rsidRDefault="00594AAC" w:rsidP="00F82684">
      <w:pPr>
        <w:pStyle w:val="Para3"/>
        <w:numPr>
          <w:ilvl w:val="2"/>
          <w:numId w:val="69"/>
        </w:numPr>
        <w:rPr>
          <w:rStyle w:val="Emphasis-Italics"/>
          <w:rFonts w:asciiTheme="minorHAnsi" w:hAnsiTheme="minorHAnsi"/>
        </w:rPr>
      </w:pPr>
      <w:proofErr w:type="gramStart"/>
      <w:r w:rsidRPr="002F2828">
        <w:rPr>
          <w:rStyle w:val="Emphasis-Italics"/>
          <w:rFonts w:asciiTheme="minorHAnsi" w:hAnsiTheme="minorHAnsi"/>
        </w:rPr>
        <w:t>in</w:t>
      </w:r>
      <w:proofErr w:type="gramEnd"/>
      <w:r w:rsidRPr="002F2828">
        <w:rPr>
          <w:rStyle w:val="Emphasis-Italics"/>
          <w:rFonts w:asciiTheme="minorHAnsi" w:hAnsiTheme="minorHAnsi"/>
        </w:rPr>
        <w:t xml:space="preserve"> particular, comparing the actual and target service level performance for all the targets discussed </w:t>
      </w:r>
      <w:r w:rsidR="00381209">
        <w:rPr>
          <w:rStyle w:val="Emphasis-Italics"/>
          <w:rFonts w:asciiTheme="minorHAnsi" w:hAnsiTheme="minorHAnsi"/>
        </w:rPr>
        <w:t>in the previous</w:t>
      </w:r>
      <w:r w:rsidR="00381209" w:rsidRPr="002F2828">
        <w:rPr>
          <w:rStyle w:val="Emphasis-Italics"/>
          <w:rFonts w:asciiTheme="minorHAnsi" w:hAnsiTheme="minorHAnsi"/>
        </w:rPr>
        <w:t xml:space="preserve"> </w:t>
      </w:r>
      <w:r w:rsidR="00381209" w:rsidRPr="002F2828">
        <w:rPr>
          <w:rStyle w:val="Emphasis-Italics"/>
          <w:rFonts w:asciiTheme="minorHAnsi" w:hAnsiTheme="minorHAnsi"/>
          <w:b/>
        </w:rPr>
        <w:t>AMP</w:t>
      </w:r>
      <w:r w:rsidR="00381209" w:rsidRPr="002F2828">
        <w:rPr>
          <w:rStyle w:val="Emphasis-Italics"/>
          <w:rFonts w:asciiTheme="minorHAnsi" w:hAnsiTheme="minorHAnsi"/>
        </w:rPr>
        <w:t xml:space="preserve"> </w:t>
      </w:r>
      <w:r w:rsidRPr="002F2828">
        <w:rPr>
          <w:rStyle w:val="Emphasis-Italics"/>
          <w:rFonts w:asciiTheme="minorHAnsi" w:hAnsiTheme="minorHAnsi"/>
        </w:rPr>
        <w:t xml:space="preserve">under </w:t>
      </w:r>
      <w:r w:rsidR="000532A1">
        <w:rPr>
          <w:rStyle w:val="Emphasis-Italics"/>
          <w:rFonts w:asciiTheme="minorHAnsi" w:hAnsiTheme="minorHAnsi"/>
        </w:rPr>
        <w:t xml:space="preserve">clause </w:t>
      </w:r>
      <w:r w:rsidR="00004445">
        <w:rPr>
          <w:rStyle w:val="Emphasis-Italics"/>
          <w:rFonts w:asciiTheme="minorHAnsi" w:hAnsiTheme="minorHAnsi"/>
        </w:rPr>
        <w:fldChar w:fldCharType="begin"/>
      </w:r>
      <w:r w:rsidR="000532A1">
        <w:rPr>
          <w:rStyle w:val="Emphasis-Italics"/>
          <w:rFonts w:asciiTheme="minorHAnsi" w:hAnsiTheme="minorHAnsi"/>
        </w:rPr>
        <w:instrText xml:space="preserve"> REF _Ref307423302 \r \h </w:instrText>
      </w:r>
      <w:r w:rsidR="00004445">
        <w:rPr>
          <w:rStyle w:val="Emphasis-Italics"/>
          <w:rFonts w:asciiTheme="minorHAnsi" w:hAnsiTheme="minorHAnsi"/>
        </w:rPr>
      </w:r>
      <w:r w:rsidR="00004445">
        <w:rPr>
          <w:rStyle w:val="Emphasis-Italics"/>
          <w:rFonts w:asciiTheme="minorHAnsi" w:hAnsiTheme="minorHAnsi"/>
        </w:rPr>
        <w:fldChar w:fldCharType="separate"/>
      </w:r>
      <w:r w:rsidR="00A84D28">
        <w:rPr>
          <w:rStyle w:val="Emphasis-Italics"/>
          <w:rFonts w:asciiTheme="minorHAnsi" w:hAnsiTheme="minorHAnsi"/>
        </w:rPr>
        <w:t>5</w:t>
      </w:r>
      <w:r w:rsidR="00004445">
        <w:rPr>
          <w:rStyle w:val="Emphasis-Italics"/>
          <w:rFonts w:asciiTheme="minorHAnsi" w:hAnsiTheme="minorHAnsi"/>
        </w:rPr>
        <w:fldChar w:fldCharType="end"/>
      </w:r>
      <w:r w:rsidR="000532A1">
        <w:rPr>
          <w:rStyle w:val="Emphasis-Italics"/>
          <w:rFonts w:asciiTheme="minorHAnsi" w:hAnsiTheme="minorHAnsi"/>
        </w:rPr>
        <w:t xml:space="preserve"> </w:t>
      </w:r>
      <w:r w:rsidR="00381209">
        <w:rPr>
          <w:rStyle w:val="Emphasis-Italics"/>
          <w:rFonts w:asciiTheme="minorHAnsi" w:hAnsiTheme="minorHAnsi"/>
        </w:rPr>
        <w:t xml:space="preserve">above </w:t>
      </w:r>
      <w:r w:rsidRPr="002F2828">
        <w:rPr>
          <w:rStyle w:val="Emphasis-Italics"/>
          <w:rFonts w:asciiTheme="minorHAnsi" w:hAnsiTheme="minorHAnsi"/>
        </w:rPr>
        <w:t>and explain any significant variances</w:t>
      </w:r>
      <w:r w:rsidR="009D039D">
        <w:rPr>
          <w:rStyle w:val="Emphasis-Italics"/>
          <w:rFonts w:asciiTheme="minorHAnsi" w:hAnsiTheme="minorHAnsi"/>
        </w:rPr>
        <w:t>.</w:t>
      </w:r>
    </w:p>
    <w:p w:rsidR="00594AAC" w:rsidRPr="002F2828" w:rsidRDefault="00AC2F9C" w:rsidP="00594AAC">
      <w:pPr>
        <w:pStyle w:val="Para2"/>
        <w:rPr>
          <w:rFonts w:asciiTheme="minorHAnsi" w:hAnsiTheme="minorHAnsi"/>
        </w:rPr>
      </w:pPr>
      <w:bookmarkStart w:id="243" w:name="_Ref308455908"/>
      <w:r w:rsidRPr="002F2828">
        <w:rPr>
          <w:rFonts w:asciiTheme="minorHAnsi" w:hAnsiTheme="minorHAnsi"/>
        </w:rPr>
        <w:t>A</w:t>
      </w:r>
      <w:r w:rsidR="00594AAC" w:rsidRPr="002F2828">
        <w:rPr>
          <w:rFonts w:asciiTheme="minorHAnsi" w:hAnsiTheme="minorHAnsi"/>
        </w:rPr>
        <w:t xml:space="preserve">n evaluation and comparison of the results of the asset management maturity assessment disclosed in the Report </w:t>
      </w:r>
      <w:r w:rsidR="004B0BD6">
        <w:rPr>
          <w:rFonts w:asciiTheme="minorHAnsi" w:hAnsiTheme="minorHAnsi"/>
        </w:rPr>
        <w:t xml:space="preserve">on Asset </w:t>
      </w:r>
      <w:r w:rsidR="006F4287">
        <w:rPr>
          <w:rFonts w:asciiTheme="minorHAnsi" w:hAnsiTheme="minorHAnsi"/>
        </w:rPr>
        <w:t xml:space="preserve">Management </w:t>
      </w:r>
      <w:r w:rsidR="004B0BD6">
        <w:rPr>
          <w:rFonts w:asciiTheme="minorHAnsi" w:hAnsiTheme="minorHAnsi"/>
        </w:rPr>
        <w:t xml:space="preserve">Maturity </w:t>
      </w:r>
      <w:r w:rsidR="00594AAC" w:rsidRPr="002F2828">
        <w:rPr>
          <w:rFonts w:asciiTheme="minorHAnsi" w:hAnsiTheme="minorHAnsi"/>
        </w:rPr>
        <w:t>set out in Schedule 1</w:t>
      </w:r>
      <w:r w:rsidR="004B0BD6">
        <w:rPr>
          <w:rFonts w:asciiTheme="minorHAnsi" w:hAnsiTheme="minorHAnsi"/>
        </w:rPr>
        <w:t>3</w:t>
      </w:r>
      <w:r w:rsidR="00594AAC" w:rsidRPr="002F2828">
        <w:rPr>
          <w:rFonts w:asciiTheme="minorHAnsi" w:hAnsiTheme="minorHAnsi"/>
        </w:rPr>
        <w:t xml:space="preserve"> against relevant objectives of the </w:t>
      </w:r>
      <w:proofErr w:type="spellStart"/>
      <w:r w:rsidR="00F61B9A" w:rsidRPr="002F2828">
        <w:rPr>
          <w:rFonts w:asciiTheme="minorHAnsi" w:hAnsiTheme="minorHAnsi"/>
          <w:b/>
        </w:rPr>
        <w:t>GDB</w:t>
      </w:r>
      <w:r w:rsidR="00594AAC" w:rsidRPr="002F2828">
        <w:rPr>
          <w:rFonts w:asciiTheme="minorHAnsi" w:hAnsiTheme="minorHAnsi"/>
        </w:rPr>
        <w:t>’s</w:t>
      </w:r>
      <w:proofErr w:type="spellEnd"/>
      <w:r w:rsidR="00594AAC" w:rsidRPr="002F2828">
        <w:rPr>
          <w:rFonts w:asciiTheme="minorHAnsi" w:hAnsiTheme="minorHAnsi"/>
        </w:rPr>
        <w:t xml:space="preserve"> asset management and planning processes</w:t>
      </w:r>
      <w:bookmarkEnd w:id="243"/>
      <w:r w:rsidR="004B0BD6">
        <w:rPr>
          <w:rFonts w:asciiTheme="minorHAnsi" w:hAnsiTheme="minorHAnsi"/>
        </w:rPr>
        <w:t>.</w:t>
      </w:r>
    </w:p>
    <w:p w:rsidR="00594AAC" w:rsidRPr="002F2828" w:rsidRDefault="00AC2F9C" w:rsidP="00594AAC">
      <w:pPr>
        <w:pStyle w:val="Para2"/>
        <w:rPr>
          <w:rFonts w:asciiTheme="minorHAnsi" w:hAnsiTheme="minorHAnsi"/>
        </w:rPr>
      </w:pPr>
      <w:r w:rsidRPr="002F2828">
        <w:rPr>
          <w:rFonts w:asciiTheme="minorHAnsi" w:hAnsiTheme="minorHAnsi"/>
        </w:rPr>
        <w:t>A</w:t>
      </w:r>
      <w:r w:rsidR="00594AAC" w:rsidRPr="002F2828">
        <w:rPr>
          <w:rFonts w:asciiTheme="minorHAnsi" w:hAnsiTheme="minorHAnsi"/>
        </w:rPr>
        <w:t>n analysis of gaps identified in subclause</w:t>
      </w:r>
      <w:r w:rsidR="00C066FF" w:rsidRPr="002F2828">
        <w:rPr>
          <w:rFonts w:asciiTheme="minorHAnsi" w:hAnsiTheme="minorHAnsi"/>
        </w:rPr>
        <w:t>s</w:t>
      </w:r>
      <w:r w:rsidR="00594AAC" w:rsidRPr="002F2828">
        <w:rPr>
          <w:rFonts w:asciiTheme="minorHAnsi" w:hAnsiTheme="minorHAnsi"/>
        </w:rPr>
        <w:t xml:space="preserve"> </w:t>
      </w:r>
      <w:fldSimple w:instr=" REF _Ref308455906 \w \h  \* MERGEFORMAT ">
        <w:r w:rsidR="00A84D28">
          <w:t>14.2</w:t>
        </w:r>
      </w:fldSimple>
      <w:r w:rsidR="00594AAC" w:rsidRPr="002F2828">
        <w:rPr>
          <w:rFonts w:asciiTheme="minorHAnsi" w:hAnsiTheme="minorHAnsi"/>
        </w:rPr>
        <w:t xml:space="preserve"> and </w:t>
      </w:r>
      <w:fldSimple w:instr=" REF _Ref308455908 \w \h  \* MERGEFORMAT ">
        <w:r w:rsidR="00A84D28">
          <w:t>14.3</w:t>
        </w:r>
      </w:fldSimple>
      <w:r w:rsidR="00594AAC" w:rsidRPr="002F2828">
        <w:t xml:space="preserve"> </w:t>
      </w:r>
      <w:r w:rsidR="000532A1">
        <w:rPr>
          <w:rFonts w:asciiTheme="minorHAnsi" w:hAnsiTheme="minorHAnsi"/>
        </w:rPr>
        <w:t>above</w:t>
      </w:r>
      <w:r w:rsidR="0099003F">
        <w:rPr>
          <w:rFonts w:asciiTheme="minorHAnsi" w:hAnsiTheme="minorHAnsi"/>
        </w:rPr>
        <w:t xml:space="preserve">. </w:t>
      </w:r>
      <w:r w:rsidR="00594AAC" w:rsidRPr="002F2828">
        <w:rPr>
          <w:rFonts w:asciiTheme="minorHAnsi" w:hAnsiTheme="minorHAnsi"/>
        </w:rPr>
        <w:t xml:space="preserve">Where significant gaps exist (not caused by one-off factors), the </w:t>
      </w:r>
      <w:r w:rsidR="00594AAC" w:rsidRPr="002F2828">
        <w:rPr>
          <w:rFonts w:asciiTheme="minorHAnsi" w:hAnsiTheme="minorHAnsi"/>
          <w:b/>
        </w:rPr>
        <w:t>AMP</w:t>
      </w:r>
      <w:r w:rsidR="00594AAC" w:rsidRPr="002F2828">
        <w:rPr>
          <w:rFonts w:asciiTheme="minorHAnsi" w:hAnsiTheme="minorHAnsi"/>
        </w:rPr>
        <w:t xml:space="preserve"> must describe any planned initiatives to address the situation.</w:t>
      </w:r>
    </w:p>
    <w:p w:rsidR="00F56F86" w:rsidRDefault="00594AAC">
      <w:pPr>
        <w:pStyle w:val="Heading2"/>
      </w:pPr>
      <w:r w:rsidRPr="002F2828">
        <w:t>Capability to deliver</w:t>
      </w:r>
    </w:p>
    <w:p w:rsidR="00594AAC" w:rsidRPr="002F2828" w:rsidRDefault="00594AAC" w:rsidP="00594AAC">
      <w:pPr>
        <w:pStyle w:val="Para1"/>
        <w:rPr>
          <w:rFonts w:asciiTheme="minorHAnsi" w:hAnsiTheme="minorHAnsi"/>
        </w:rPr>
      </w:pPr>
      <w:proofErr w:type="spellStart"/>
      <w:r w:rsidRPr="002F2828">
        <w:rPr>
          <w:rFonts w:asciiTheme="minorHAnsi" w:hAnsiTheme="minorHAnsi"/>
          <w:b/>
        </w:rPr>
        <w:t>AMP</w:t>
      </w:r>
      <w:r w:rsidRPr="002F2828">
        <w:rPr>
          <w:rFonts w:asciiTheme="minorHAnsi" w:hAnsiTheme="minorHAnsi"/>
        </w:rPr>
        <w:t>s</w:t>
      </w:r>
      <w:proofErr w:type="spellEnd"/>
      <w:r w:rsidRPr="002F2828">
        <w:rPr>
          <w:rFonts w:asciiTheme="minorHAnsi" w:hAnsiTheme="minorHAnsi"/>
        </w:rPr>
        <w:t xml:space="preserve"> must describe the processes used by the </w:t>
      </w:r>
      <w:r w:rsidR="00821B6F" w:rsidRPr="002F2828">
        <w:rPr>
          <w:rFonts w:asciiTheme="minorHAnsi" w:hAnsiTheme="minorHAnsi"/>
          <w:b/>
        </w:rPr>
        <w:t>GDB</w:t>
      </w:r>
      <w:r w:rsidRPr="002F2828">
        <w:rPr>
          <w:rFonts w:asciiTheme="minorHAnsi" w:hAnsiTheme="minorHAnsi"/>
        </w:rPr>
        <w:t xml:space="preserve"> to ensure that:</w:t>
      </w:r>
    </w:p>
    <w:p w:rsidR="00594AAC" w:rsidRPr="002F2828" w:rsidRDefault="00C066FF" w:rsidP="00594AAC">
      <w:pPr>
        <w:pStyle w:val="Para2"/>
        <w:rPr>
          <w:rFonts w:asciiTheme="minorHAnsi" w:hAnsiTheme="minorHAnsi"/>
        </w:rPr>
      </w:pPr>
      <w:r w:rsidRPr="002F2828">
        <w:rPr>
          <w:rFonts w:asciiTheme="minorHAnsi" w:hAnsiTheme="minorHAnsi"/>
        </w:rPr>
        <w:t>T</w:t>
      </w:r>
      <w:r w:rsidR="00594AAC" w:rsidRPr="002F2828">
        <w:rPr>
          <w:rFonts w:asciiTheme="minorHAnsi" w:hAnsiTheme="minorHAnsi"/>
        </w:rPr>
        <w:t xml:space="preserve">he </w:t>
      </w:r>
      <w:r w:rsidR="00594AAC" w:rsidRPr="002F2828">
        <w:rPr>
          <w:rFonts w:asciiTheme="minorHAnsi" w:hAnsiTheme="minorHAnsi"/>
          <w:b/>
        </w:rPr>
        <w:t>AMP</w:t>
      </w:r>
      <w:r w:rsidR="00594AAC" w:rsidRPr="002F2828">
        <w:rPr>
          <w:rFonts w:asciiTheme="minorHAnsi" w:hAnsiTheme="minorHAnsi"/>
        </w:rPr>
        <w:t xml:space="preserve"> is realistic and the objectives set </w:t>
      </w:r>
      <w:r w:rsidR="00B56941" w:rsidRPr="002F2828">
        <w:rPr>
          <w:rFonts w:asciiTheme="minorHAnsi" w:hAnsiTheme="minorHAnsi"/>
        </w:rPr>
        <w:t>out in the plan can be achieved</w:t>
      </w:r>
    </w:p>
    <w:p w:rsidR="00594AAC" w:rsidRPr="002F2828" w:rsidRDefault="00C066FF" w:rsidP="00117C44">
      <w:pPr>
        <w:pStyle w:val="Para2"/>
        <w:rPr>
          <w:rStyle w:val="Emphasis-Italics"/>
          <w:rFonts w:asciiTheme="minorHAnsi" w:hAnsiTheme="minorHAnsi"/>
          <w:i w:val="0"/>
        </w:rPr>
      </w:pPr>
      <w:r w:rsidRPr="002F2828">
        <w:rPr>
          <w:rFonts w:asciiTheme="minorHAnsi" w:hAnsiTheme="minorHAnsi"/>
        </w:rPr>
        <w:t>T</w:t>
      </w:r>
      <w:r w:rsidR="00594AAC" w:rsidRPr="002F2828">
        <w:rPr>
          <w:rFonts w:asciiTheme="minorHAnsi" w:hAnsiTheme="minorHAnsi"/>
        </w:rPr>
        <w:t xml:space="preserve">he organisation structure and the processes for authorisation and business capabilities will support the implementation of the </w:t>
      </w:r>
      <w:r w:rsidR="00594AAC" w:rsidRPr="002F2828">
        <w:rPr>
          <w:rFonts w:asciiTheme="minorHAnsi" w:hAnsiTheme="minorHAnsi"/>
          <w:b/>
        </w:rPr>
        <w:t>AMP</w:t>
      </w:r>
      <w:r w:rsidR="00594AAC" w:rsidRPr="002F2828">
        <w:rPr>
          <w:rFonts w:asciiTheme="minorHAnsi" w:hAnsiTheme="minorHAnsi"/>
        </w:rPr>
        <w:t xml:space="preserve"> plans.</w:t>
      </w:r>
    </w:p>
    <w:p w:rsidR="0083364C" w:rsidRPr="002F2828" w:rsidRDefault="0083364C" w:rsidP="00594AAC">
      <w:pPr>
        <w:pStyle w:val="SchHead6ClausesubtextL2"/>
        <w:numPr>
          <w:ilvl w:val="0"/>
          <w:numId w:val="0"/>
        </w:numPr>
        <w:ind w:left="709"/>
        <w:rPr>
          <w:rFonts w:asciiTheme="minorHAnsi" w:hAnsiTheme="minorHAnsi"/>
        </w:rPr>
        <w:sectPr w:rsidR="0083364C" w:rsidRPr="002F2828" w:rsidSect="00223E26">
          <w:pgSz w:w="11907" w:h="16840" w:code="9"/>
          <w:pgMar w:top="1440" w:right="1800" w:bottom="1079" w:left="1800" w:header="706" w:footer="706" w:gutter="0"/>
          <w:cols w:space="708"/>
          <w:docGrid w:linePitch="360"/>
        </w:sectPr>
      </w:pPr>
      <w:bookmarkStart w:id="244" w:name="_Toc310798049"/>
      <w:bookmarkStart w:id="245" w:name="_Toc310842171"/>
      <w:bookmarkStart w:id="246" w:name="_Toc310881619"/>
      <w:bookmarkStart w:id="247" w:name="_Toc310884687"/>
      <w:bookmarkStart w:id="248" w:name="_Toc310888432"/>
      <w:bookmarkStart w:id="249" w:name="_Toc310795745"/>
      <w:bookmarkStart w:id="250" w:name="_Toc310798050"/>
      <w:bookmarkStart w:id="251" w:name="_Toc310842172"/>
      <w:bookmarkStart w:id="252" w:name="_Toc310881620"/>
      <w:bookmarkStart w:id="253" w:name="_Toc310884688"/>
      <w:bookmarkStart w:id="254" w:name="_Toc310888433"/>
      <w:bookmarkStart w:id="255" w:name="_Toc310795746"/>
      <w:bookmarkStart w:id="256" w:name="_Toc310798051"/>
      <w:bookmarkStart w:id="257" w:name="_Toc310842173"/>
      <w:bookmarkStart w:id="258" w:name="_Toc310881621"/>
      <w:bookmarkStart w:id="259" w:name="_Toc310884689"/>
      <w:bookmarkStart w:id="260" w:name="_Toc310888434"/>
      <w:bookmarkStart w:id="261" w:name="_Toc310795747"/>
      <w:bookmarkStart w:id="262" w:name="_Toc310798052"/>
      <w:bookmarkStart w:id="263" w:name="_Toc310842174"/>
      <w:bookmarkStart w:id="264" w:name="_Toc310881622"/>
      <w:bookmarkStart w:id="265" w:name="_Toc310884690"/>
      <w:bookmarkStart w:id="266" w:name="_Toc310888435"/>
      <w:bookmarkStart w:id="267" w:name="_Toc310795748"/>
      <w:bookmarkStart w:id="268" w:name="_Toc310798053"/>
      <w:bookmarkStart w:id="269" w:name="_Toc310842175"/>
      <w:bookmarkStart w:id="270" w:name="_Toc310881623"/>
      <w:bookmarkStart w:id="271" w:name="_Toc310884691"/>
      <w:bookmarkStart w:id="272" w:name="_Toc310888436"/>
      <w:bookmarkStart w:id="273" w:name="_Toc310795749"/>
      <w:bookmarkStart w:id="274" w:name="_Toc310798054"/>
      <w:bookmarkStart w:id="275" w:name="_Toc310842176"/>
      <w:bookmarkStart w:id="276" w:name="_Toc310881624"/>
      <w:bookmarkStart w:id="277" w:name="_Toc310884692"/>
      <w:bookmarkStart w:id="278" w:name="_Toc310888437"/>
      <w:bookmarkStart w:id="279" w:name="_Toc310795750"/>
      <w:bookmarkStart w:id="280" w:name="_Toc310798055"/>
      <w:bookmarkStart w:id="281" w:name="_Toc310842177"/>
      <w:bookmarkStart w:id="282" w:name="_Toc310881625"/>
      <w:bookmarkStart w:id="283" w:name="_Toc310884693"/>
      <w:bookmarkStart w:id="284" w:name="_Toc310888438"/>
      <w:bookmarkStart w:id="285" w:name="_Toc310795751"/>
      <w:bookmarkStart w:id="286" w:name="_Toc310798056"/>
      <w:bookmarkStart w:id="287" w:name="_Toc310842178"/>
      <w:bookmarkStart w:id="288" w:name="_Toc310881626"/>
      <w:bookmarkStart w:id="289" w:name="_Toc310884694"/>
      <w:bookmarkStart w:id="290" w:name="_Toc310888439"/>
      <w:bookmarkStart w:id="291" w:name="_Toc310795752"/>
      <w:bookmarkStart w:id="292" w:name="_Toc310798057"/>
      <w:bookmarkStart w:id="293" w:name="_Toc310842179"/>
      <w:bookmarkStart w:id="294" w:name="_Toc310881627"/>
      <w:bookmarkStart w:id="295" w:name="_Toc310884695"/>
      <w:bookmarkStart w:id="296" w:name="_Toc310888440"/>
      <w:bookmarkStart w:id="297" w:name="_Toc310795753"/>
      <w:bookmarkStart w:id="298" w:name="_Toc310798058"/>
      <w:bookmarkStart w:id="299" w:name="_Toc310842180"/>
      <w:bookmarkStart w:id="300" w:name="_Toc310881628"/>
      <w:bookmarkStart w:id="301" w:name="_Toc310884696"/>
      <w:bookmarkStart w:id="302" w:name="_Toc310888441"/>
      <w:bookmarkStart w:id="303" w:name="_Toc310795754"/>
      <w:bookmarkStart w:id="304" w:name="_Toc310798059"/>
      <w:bookmarkStart w:id="305" w:name="_Toc310842181"/>
      <w:bookmarkStart w:id="306" w:name="_Toc310881629"/>
      <w:bookmarkStart w:id="307" w:name="_Toc310884697"/>
      <w:bookmarkStart w:id="308" w:name="_Toc310888442"/>
      <w:bookmarkStart w:id="309" w:name="_Toc310795755"/>
      <w:bookmarkStart w:id="310" w:name="_Toc310798060"/>
      <w:bookmarkStart w:id="311" w:name="_Toc310842182"/>
      <w:bookmarkStart w:id="312" w:name="_Toc310881630"/>
      <w:bookmarkStart w:id="313" w:name="_Toc310884698"/>
      <w:bookmarkStart w:id="314" w:name="_Toc310888443"/>
      <w:bookmarkStart w:id="315" w:name="_Toc310795756"/>
      <w:bookmarkStart w:id="316" w:name="_Toc310798061"/>
      <w:bookmarkStart w:id="317" w:name="_Toc310842183"/>
      <w:bookmarkStart w:id="318" w:name="_Toc310881631"/>
      <w:bookmarkStart w:id="319" w:name="_Toc310884699"/>
      <w:bookmarkStart w:id="320" w:name="_Toc310888444"/>
      <w:bookmarkStart w:id="321" w:name="_Toc310795757"/>
      <w:bookmarkStart w:id="322" w:name="_Toc310798062"/>
      <w:bookmarkStart w:id="323" w:name="_Toc310842184"/>
      <w:bookmarkStart w:id="324" w:name="_Toc310881632"/>
      <w:bookmarkStart w:id="325" w:name="_Toc310884700"/>
      <w:bookmarkStart w:id="326" w:name="_Toc310888445"/>
      <w:bookmarkStart w:id="327" w:name="_Toc310795758"/>
      <w:bookmarkStart w:id="328" w:name="_Toc310798063"/>
      <w:bookmarkStart w:id="329" w:name="_Toc310842185"/>
      <w:bookmarkStart w:id="330" w:name="_Toc310881633"/>
      <w:bookmarkStart w:id="331" w:name="_Toc310884701"/>
      <w:bookmarkStart w:id="332" w:name="_Toc310888446"/>
      <w:bookmarkStart w:id="333" w:name="_Toc310795759"/>
      <w:bookmarkStart w:id="334" w:name="_Toc310798064"/>
      <w:bookmarkStart w:id="335" w:name="_Toc310842186"/>
      <w:bookmarkStart w:id="336" w:name="_Toc310881634"/>
      <w:bookmarkStart w:id="337" w:name="_Toc310884702"/>
      <w:bookmarkStart w:id="338" w:name="_Toc310888447"/>
      <w:bookmarkStart w:id="339" w:name="_Toc310795760"/>
      <w:bookmarkStart w:id="340" w:name="_Toc310798065"/>
      <w:bookmarkStart w:id="341" w:name="_Toc310842187"/>
      <w:bookmarkStart w:id="342" w:name="_Toc310881635"/>
      <w:bookmarkStart w:id="343" w:name="_Toc310884703"/>
      <w:bookmarkStart w:id="344" w:name="_Toc310888448"/>
      <w:bookmarkStart w:id="345" w:name="_Toc310795761"/>
      <w:bookmarkStart w:id="346" w:name="_Toc310798066"/>
      <w:bookmarkStart w:id="347" w:name="_Toc310842188"/>
      <w:bookmarkStart w:id="348" w:name="_Toc310881636"/>
      <w:bookmarkStart w:id="349" w:name="_Toc310884704"/>
      <w:bookmarkStart w:id="350" w:name="_Toc310888449"/>
      <w:bookmarkStart w:id="351" w:name="_Toc310795762"/>
      <w:bookmarkStart w:id="352" w:name="_Toc310798067"/>
      <w:bookmarkStart w:id="353" w:name="_Toc310842189"/>
      <w:bookmarkStart w:id="354" w:name="_Toc310881637"/>
      <w:bookmarkStart w:id="355" w:name="_Toc310884705"/>
      <w:bookmarkStart w:id="356" w:name="_Toc310888450"/>
      <w:bookmarkStart w:id="357" w:name="_Toc310795763"/>
      <w:bookmarkStart w:id="358" w:name="_Toc310798068"/>
      <w:bookmarkStart w:id="359" w:name="_Toc310842190"/>
      <w:bookmarkStart w:id="360" w:name="_Toc310881638"/>
      <w:bookmarkStart w:id="361" w:name="_Toc310884706"/>
      <w:bookmarkStart w:id="362" w:name="_Toc310888451"/>
      <w:bookmarkStart w:id="363" w:name="_Toc310795764"/>
      <w:bookmarkStart w:id="364" w:name="_Toc310798069"/>
      <w:bookmarkStart w:id="365" w:name="_Toc310842191"/>
      <w:bookmarkStart w:id="366" w:name="_Toc310881639"/>
      <w:bookmarkStart w:id="367" w:name="_Toc310884707"/>
      <w:bookmarkStart w:id="368" w:name="_Toc310888452"/>
      <w:bookmarkStart w:id="369" w:name="_Toc310795765"/>
      <w:bookmarkStart w:id="370" w:name="_Toc310798070"/>
      <w:bookmarkStart w:id="371" w:name="_Toc310842192"/>
      <w:bookmarkStart w:id="372" w:name="_Toc310881640"/>
      <w:bookmarkStart w:id="373" w:name="_Toc310884708"/>
      <w:bookmarkStart w:id="374" w:name="_Toc310888453"/>
      <w:bookmarkStart w:id="375" w:name="_Toc310795766"/>
      <w:bookmarkStart w:id="376" w:name="_Toc310798071"/>
      <w:bookmarkStart w:id="377" w:name="_Toc310842193"/>
      <w:bookmarkStart w:id="378" w:name="_Toc310881641"/>
      <w:bookmarkStart w:id="379" w:name="_Toc310884709"/>
      <w:bookmarkStart w:id="380" w:name="_Toc310888454"/>
      <w:bookmarkStart w:id="381" w:name="_Toc310795767"/>
      <w:bookmarkStart w:id="382" w:name="_Toc310798072"/>
      <w:bookmarkStart w:id="383" w:name="_Toc310842194"/>
      <w:bookmarkStart w:id="384" w:name="_Toc310881642"/>
      <w:bookmarkStart w:id="385" w:name="_Toc310884710"/>
      <w:bookmarkStart w:id="386" w:name="_Toc310888455"/>
      <w:bookmarkStart w:id="387" w:name="_Toc310795768"/>
      <w:bookmarkStart w:id="388" w:name="_Toc310798073"/>
      <w:bookmarkStart w:id="389" w:name="_Toc310842195"/>
      <w:bookmarkStart w:id="390" w:name="_Toc310881643"/>
      <w:bookmarkStart w:id="391" w:name="_Toc310884711"/>
      <w:bookmarkStart w:id="392" w:name="_Toc310888456"/>
      <w:bookmarkStart w:id="393" w:name="_Toc310795769"/>
      <w:bookmarkStart w:id="394" w:name="_Toc310798074"/>
      <w:bookmarkStart w:id="395" w:name="_Toc310842196"/>
      <w:bookmarkStart w:id="396" w:name="_Toc310881644"/>
      <w:bookmarkStart w:id="397" w:name="_Toc310884712"/>
      <w:bookmarkStart w:id="398" w:name="_Toc310888457"/>
      <w:bookmarkStart w:id="399" w:name="_Toc310795770"/>
      <w:bookmarkStart w:id="400" w:name="_Toc310798075"/>
      <w:bookmarkStart w:id="401" w:name="_Toc310842197"/>
      <w:bookmarkStart w:id="402" w:name="_Toc310881645"/>
      <w:bookmarkStart w:id="403" w:name="_Toc310884713"/>
      <w:bookmarkStart w:id="404" w:name="_Toc310888458"/>
      <w:bookmarkStart w:id="405" w:name="_Toc310795771"/>
      <w:bookmarkStart w:id="406" w:name="_Toc310798076"/>
      <w:bookmarkStart w:id="407" w:name="_Toc310842198"/>
      <w:bookmarkStart w:id="408" w:name="_Toc310881646"/>
      <w:bookmarkStart w:id="409" w:name="_Toc310884714"/>
      <w:bookmarkStart w:id="410" w:name="_Toc310888459"/>
      <w:bookmarkStart w:id="411" w:name="_Toc310795772"/>
      <w:bookmarkStart w:id="412" w:name="_Toc310798077"/>
      <w:bookmarkStart w:id="413" w:name="_Toc310842199"/>
      <w:bookmarkStart w:id="414" w:name="_Toc310881647"/>
      <w:bookmarkStart w:id="415" w:name="_Toc310884715"/>
      <w:bookmarkStart w:id="416" w:name="_Toc310888460"/>
      <w:bookmarkStart w:id="417" w:name="_Toc310795773"/>
      <w:bookmarkStart w:id="418" w:name="_Toc310798078"/>
      <w:bookmarkStart w:id="419" w:name="_Toc310842200"/>
      <w:bookmarkStart w:id="420" w:name="_Toc310881648"/>
      <w:bookmarkStart w:id="421" w:name="_Toc310884716"/>
      <w:bookmarkStart w:id="422" w:name="_Toc310888461"/>
      <w:bookmarkStart w:id="423" w:name="_Toc310795774"/>
      <w:bookmarkStart w:id="424" w:name="_Toc310798079"/>
      <w:bookmarkStart w:id="425" w:name="_Toc310842201"/>
      <w:bookmarkStart w:id="426" w:name="_Toc310881649"/>
      <w:bookmarkStart w:id="427" w:name="_Toc310884717"/>
      <w:bookmarkStart w:id="428" w:name="_Toc310888462"/>
      <w:bookmarkStart w:id="429" w:name="_Toc310795775"/>
      <w:bookmarkStart w:id="430" w:name="_Toc310798080"/>
      <w:bookmarkStart w:id="431" w:name="_Toc310842202"/>
      <w:bookmarkStart w:id="432" w:name="_Toc310881650"/>
      <w:bookmarkStart w:id="433" w:name="_Toc310884718"/>
      <w:bookmarkStart w:id="434" w:name="_Toc310888463"/>
      <w:bookmarkStart w:id="435" w:name="_Toc310795776"/>
      <w:bookmarkStart w:id="436" w:name="_Toc310798081"/>
      <w:bookmarkStart w:id="437" w:name="_Toc310842203"/>
      <w:bookmarkStart w:id="438" w:name="_Toc310881651"/>
      <w:bookmarkStart w:id="439" w:name="_Toc310884719"/>
      <w:bookmarkStart w:id="440" w:name="_Toc310888464"/>
      <w:bookmarkStart w:id="441" w:name="_Toc310795777"/>
      <w:bookmarkStart w:id="442" w:name="_Toc310798082"/>
      <w:bookmarkStart w:id="443" w:name="_Toc310842204"/>
      <w:bookmarkStart w:id="444" w:name="_Toc310881652"/>
      <w:bookmarkStart w:id="445" w:name="_Toc310884720"/>
      <w:bookmarkStart w:id="446" w:name="_Toc310888465"/>
      <w:bookmarkStart w:id="447" w:name="_Toc310795778"/>
      <w:bookmarkStart w:id="448" w:name="_Toc310798083"/>
      <w:bookmarkStart w:id="449" w:name="_Toc310842205"/>
      <w:bookmarkStart w:id="450" w:name="_Toc310881653"/>
      <w:bookmarkStart w:id="451" w:name="_Toc310884721"/>
      <w:bookmarkStart w:id="452" w:name="_Toc310888466"/>
      <w:bookmarkStart w:id="453" w:name="_Toc310795779"/>
      <w:bookmarkStart w:id="454" w:name="_Toc310798084"/>
      <w:bookmarkStart w:id="455" w:name="_Toc310842206"/>
      <w:bookmarkStart w:id="456" w:name="_Toc310881654"/>
      <w:bookmarkStart w:id="457" w:name="_Toc310884722"/>
      <w:bookmarkStart w:id="458" w:name="_Toc310888467"/>
      <w:bookmarkStart w:id="459" w:name="_Toc310795780"/>
      <w:bookmarkStart w:id="460" w:name="_Toc310798085"/>
      <w:bookmarkStart w:id="461" w:name="_Toc310842207"/>
      <w:bookmarkStart w:id="462" w:name="_Toc310881655"/>
      <w:bookmarkStart w:id="463" w:name="_Toc310884723"/>
      <w:bookmarkStart w:id="464" w:name="_Toc310888468"/>
      <w:bookmarkStart w:id="465" w:name="_Toc310795781"/>
      <w:bookmarkStart w:id="466" w:name="_Toc310798086"/>
      <w:bookmarkStart w:id="467" w:name="_Toc310842208"/>
      <w:bookmarkStart w:id="468" w:name="_Toc310881656"/>
      <w:bookmarkStart w:id="469" w:name="_Toc310884724"/>
      <w:bookmarkStart w:id="470" w:name="_Toc310888469"/>
      <w:bookmarkStart w:id="471" w:name="_Toc310795782"/>
      <w:bookmarkStart w:id="472" w:name="_Toc310798087"/>
      <w:bookmarkStart w:id="473" w:name="_Toc310842209"/>
      <w:bookmarkStart w:id="474" w:name="_Toc310881657"/>
      <w:bookmarkStart w:id="475" w:name="_Toc310884725"/>
      <w:bookmarkStart w:id="476" w:name="_Toc310888470"/>
      <w:bookmarkStart w:id="477" w:name="_Toc310795783"/>
      <w:bookmarkStart w:id="478" w:name="_Toc310798088"/>
      <w:bookmarkStart w:id="479" w:name="_Toc310842210"/>
      <w:bookmarkStart w:id="480" w:name="_Toc310881658"/>
      <w:bookmarkStart w:id="481" w:name="_Toc310884726"/>
      <w:bookmarkStart w:id="482" w:name="_Toc310888471"/>
      <w:bookmarkStart w:id="483" w:name="_Toc310798089"/>
      <w:bookmarkStart w:id="484" w:name="_Toc310842211"/>
      <w:bookmarkStart w:id="485" w:name="_Toc310881659"/>
      <w:bookmarkStart w:id="486" w:name="_Toc310884727"/>
      <w:bookmarkStart w:id="487" w:name="_Toc310888472"/>
      <w:bookmarkStart w:id="488" w:name="_Toc310798090"/>
      <w:bookmarkStart w:id="489" w:name="_Toc310842212"/>
      <w:bookmarkStart w:id="490" w:name="_Toc310881660"/>
      <w:bookmarkStart w:id="491" w:name="_Toc310884728"/>
      <w:bookmarkStart w:id="492" w:name="_Toc310888473"/>
      <w:bookmarkStart w:id="493" w:name="_Toc310798091"/>
      <w:bookmarkStart w:id="494" w:name="_Toc310842213"/>
      <w:bookmarkStart w:id="495" w:name="_Toc310881661"/>
      <w:bookmarkStart w:id="496" w:name="_Toc310884729"/>
      <w:bookmarkStart w:id="497" w:name="_Toc310888474"/>
      <w:bookmarkStart w:id="498" w:name="_Toc310798092"/>
      <w:bookmarkStart w:id="499" w:name="_Toc310842214"/>
      <w:bookmarkStart w:id="500" w:name="_Toc310881662"/>
      <w:bookmarkStart w:id="501" w:name="_Toc310884730"/>
      <w:bookmarkStart w:id="502" w:name="_Toc310888475"/>
      <w:bookmarkStart w:id="503" w:name="_Toc310798093"/>
      <w:bookmarkStart w:id="504" w:name="_Toc310842215"/>
      <w:bookmarkStart w:id="505" w:name="_Toc310881663"/>
      <w:bookmarkStart w:id="506" w:name="_Toc310884731"/>
      <w:bookmarkStart w:id="507" w:name="_Toc310888476"/>
      <w:bookmarkStart w:id="508" w:name="_Toc310798094"/>
      <w:bookmarkStart w:id="509" w:name="_Toc310842216"/>
      <w:bookmarkStart w:id="510" w:name="_Toc310881664"/>
      <w:bookmarkStart w:id="511" w:name="_Toc310884732"/>
      <w:bookmarkStart w:id="512" w:name="_Toc310888477"/>
      <w:bookmarkStart w:id="513" w:name="_Toc310798095"/>
      <w:bookmarkStart w:id="514" w:name="_Toc310842217"/>
      <w:bookmarkStart w:id="515" w:name="_Toc310881665"/>
      <w:bookmarkStart w:id="516" w:name="_Toc310884733"/>
      <w:bookmarkStart w:id="517" w:name="_Toc310888478"/>
      <w:bookmarkStart w:id="518" w:name="_Toc310798096"/>
      <w:bookmarkStart w:id="519" w:name="_Toc310842218"/>
      <w:bookmarkStart w:id="520" w:name="_Toc310881666"/>
      <w:bookmarkStart w:id="521" w:name="_Toc310884734"/>
      <w:bookmarkStart w:id="522" w:name="_Toc310888479"/>
      <w:bookmarkStart w:id="523" w:name="_Toc310798097"/>
      <w:bookmarkStart w:id="524" w:name="_Toc310842219"/>
      <w:bookmarkStart w:id="525" w:name="_Toc310881667"/>
      <w:bookmarkStart w:id="526" w:name="_Toc310884735"/>
      <w:bookmarkStart w:id="527" w:name="_Toc310888480"/>
      <w:bookmarkStart w:id="528" w:name="_Toc310798098"/>
      <w:bookmarkStart w:id="529" w:name="_Toc310842220"/>
      <w:bookmarkStart w:id="530" w:name="_Toc310881668"/>
      <w:bookmarkStart w:id="531" w:name="_Toc310884736"/>
      <w:bookmarkStart w:id="532" w:name="_Toc310888481"/>
      <w:bookmarkStart w:id="533" w:name="_Toc310798099"/>
      <w:bookmarkStart w:id="534" w:name="_Toc310842221"/>
      <w:bookmarkStart w:id="535" w:name="_Toc310881669"/>
      <w:bookmarkStart w:id="536" w:name="_Toc310884737"/>
      <w:bookmarkStart w:id="537" w:name="_Toc310888482"/>
      <w:bookmarkStart w:id="538" w:name="_Toc310798100"/>
      <w:bookmarkStart w:id="539" w:name="_Toc310842222"/>
      <w:bookmarkStart w:id="540" w:name="_Toc310881670"/>
      <w:bookmarkStart w:id="541" w:name="_Toc310884738"/>
      <w:bookmarkStart w:id="542" w:name="_Toc310888483"/>
      <w:bookmarkStart w:id="543" w:name="_Toc310798101"/>
      <w:bookmarkStart w:id="544" w:name="_Toc310842223"/>
      <w:bookmarkStart w:id="545" w:name="_Toc310881671"/>
      <w:bookmarkStart w:id="546" w:name="_Toc310884739"/>
      <w:bookmarkStart w:id="547" w:name="_Toc310888484"/>
      <w:bookmarkStart w:id="548" w:name="_Toc310798102"/>
      <w:bookmarkStart w:id="549" w:name="_Toc310842224"/>
      <w:bookmarkStart w:id="550" w:name="_Toc310881672"/>
      <w:bookmarkStart w:id="551" w:name="_Toc310884740"/>
      <w:bookmarkStart w:id="552" w:name="_Toc310888485"/>
      <w:bookmarkStart w:id="553" w:name="_Toc310798103"/>
      <w:bookmarkStart w:id="554" w:name="_Toc310842225"/>
      <w:bookmarkStart w:id="555" w:name="_Toc310881673"/>
      <w:bookmarkStart w:id="556" w:name="_Toc310884741"/>
      <w:bookmarkStart w:id="557" w:name="_Toc310888486"/>
      <w:bookmarkStart w:id="558" w:name="_Toc310798104"/>
      <w:bookmarkStart w:id="559" w:name="_Toc310842226"/>
      <w:bookmarkStart w:id="560" w:name="_Toc310881674"/>
      <w:bookmarkStart w:id="561" w:name="_Toc310884742"/>
      <w:bookmarkStart w:id="562" w:name="_Toc310888487"/>
      <w:bookmarkStart w:id="563" w:name="_Toc310798105"/>
      <w:bookmarkStart w:id="564" w:name="_Toc310842227"/>
      <w:bookmarkStart w:id="565" w:name="_Toc310881675"/>
      <w:bookmarkStart w:id="566" w:name="_Toc310884743"/>
      <w:bookmarkStart w:id="567" w:name="_Toc310888488"/>
      <w:bookmarkStart w:id="568" w:name="_Toc310798106"/>
      <w:bookmarkStart w:id="569" w:name="_Toc310842228"/>
      <w:bookmarkStart w:id="570" w:name="_Toc310881676"/>
      <w:bookmarkStart w:id="571" w:name="_Toc310884744"/>
      <w:bookmarkStart w:id="572" w:name="_Toc310888489"/>
      <w:bookmarkStart w:id="573" w:name="_Toc310798107"/>
      <w:bookmarkStart w:id="574" w:name="_Toc310842229"/>
      <w:bookmarkStart w:id="575" w:name="_Toc310881677"/>
      <w:bookmarkStart w:id="576" w:name="_Toc310884745"/>
      <w:bookmarkStart w:id="577" w:name="_Toc310888490"/>
      <w:bookmarkStart w:id="578" w:name="_Toc310798108"/>
      <w:bookmarkStart w:id="579" w:name="_Toc310842230"/>
      <w:bookmarkStart w:id="580" w:name="_Toc310881678"/>
      <w:bookmarkStart w:id="581" w:name="_Toc310884746"/>
      <w:bookmarkStart w:id="582" w:name="_Toc310888491"/>
      <w:bookmarkStart w:id="583" w:name="_Toc310798109"/>
      <w:bookmarkStart w:id="584" w:name="_Toc310842231"/>
      <w:bookmarkStart w:id="585" w:name="_Toc310881679"/>
      <w:bookmarkStart w:id="586" w:name="_Toc310884747"/>
      <w:bookmarkStart w:id="587" w:name="_Toc310888492"/>
      <w:bookmarkStart w:id="588" w:name="_Toc310798110"/>
      <w:bookmarkStart w:id="589" w:name="_Toc310842232"/>
      <w:bookmarkStart w:id="590" w:name="_Toc310881680"/>
      <w:bookmarkStart w:id="591" w:name="_Toc310884748"/>
      <w:bookmarkStart w:id="592" w:name="_Toc310888493"/>
      <w:bookmarkStart w:id="593" w:name="_Toc310798111"/>
      <w:bookmarkStart w:id="594" w:name="_Toc310842233"/>
      <w:bookmarkStart w:id="595" w:name="_Toc310881681"/>
      <w:bookmarkStart w:id="596" w:name="_Toc310884749"/>
      <w:bookmarkStart w:id="597" w:name="_Toc310888494"/>
      <w:bookmarkStart w:id="598" w:name="_Toc310798112"/>
      <w:bookmarkStart w:id="599" w:name="_Toc310842234"/>
      <w:bookmarkStart w:id="600" w:name="_Toc310881682"/>
      <w:bookmarkStart w:id="601" w:name="_Toc310884750"/>
      <w:bookmarkStart w:id="602" w:name="_Toc310888495"/>
      <w:bookmarkStart w:id="603" w:name="_Toc310798113"/>
      <w:bookmarkStart w:id="604" w:name="_Toc310842235"/>
      <w:bookmarkStart w:id="605" w:name="_Toc310881683"/>
      <w:bookmarkStart w:id="606" w:name="_Toc310884751"/>
      <w:bookmarkStart w:id="607" w:name="_Toc310888496"/>
      <w:bookmarkStart w:id="608" w:name="_Toc310798114"/>
      <w:bookmarkStart w:id="609" w:name="_Toc310842236"/>
      <w:bookmarkStart w:id="610" w:name="_Toc310881684"/>
      <w:bookmarkStart w:id="611" w:name="_Toc310884752"/>
      <w:bookmarkStart w:id="612" w:name="_Toc310888497"/>
      <w:bookmarkStart w:id="613" w:name="_Toc310798115"/>
      <w:bookmarkStart w:id="614" w:name="_Toc310842237"/>
      <w:bookmarkStart w:id="615" w:name="_Toc310881685"/>
      <w:bookmarkStart w:id="616" w:name="_Toc310884753"/>
      <w:bookmarkStart w:id="617" w:name="_Toc310888498"/>
      <w:bookmarkStart w:id="618" w:name="_Toc310798116"/>
      <w:bookmarkStart w:id="619" w:name="_Toc310842238"/>
      <w:bookmarkStart w:id="620" w:name="_Toc310881686"/>
      <w:bookmarkStart w:id="621" w:name="_Toc310884754"/>
      <w:bookmarkStart w:id="622" w:name="_Toc310888499"/>
      <w:bookmarkStart w:id="623" w:name="_Toc310798117"/>
      <w:bookmarkStart w:id="624" w:name="_Toc310842239"/>
      <w:bookmarkStart w:id="625" w:name="_Toc310881687"/>
      <w:bookmarkStart w:id="626" w:name="_Toc310884755"/>
      <w:bookmarkStart w:id="627" w:name="_Toc310888500"/>
      <w:bookmarkStart w:id="628" w:name="_Toc310798118"/>
      <w:bookmarkStart w:id="629" w:name="_Toc310842240"/>
      <w:bookmarkStart w:id="630" w:name="_Toc310881688"/>
      <w:bookmarkStart w:id="631" w:name="_Toc310884756"/>
      <w:bookmarkStart w:id="632" w:name="_Toc310888501"/>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p>
    <w:p w:rsidR="00626EDC" w:rsidRDefault="0081120A" w:rsidP="00626EDC">
      <w:pPr>
        <w:pStyle w:val="Heading1"/>
        <w:spacing w:line="264" w:lineRule="auto"/>
        <w:jc w:val="center"/>
        <w:rPr>
          <w:noProof/>
          <w:lang w:eastAsia="en-NZ"/>
        </w:rPr>
      </w:pPr>
      <w:bookmarkStart w:id="633" w:name="_Toc310787349"/>
      <w:bookmarkStart w:id="634" w:name="_Toc310795789"/>
      <w:bookmarkStart w:id="635" w:name="_Toc310798123"/>
      <w:bookmarkStart w:id="636" w:name="_Toc310842245"/>
      <w:bookmarkStart w:id="637" w:name="_Toc310881732"/>
      <w:bookmarkStart w:id="638" w:name="_Toc310884800"/>
      <w:bookmarkStart w:id="639" w:name="_Toc310888545"/>
      <w:bookmarkStart w:id="640" w:name="_Toc310787350"/>
      <w:bookmarkStart w:id="641" w:name="_Toc310795790"/>
      <w:bookmarkStart w:id="642" w:name="_Toc310798124"/>
      <w:bookmarkStart w:id="643" w:name="_Toc310842246"/>
      <w:bookmarkStart w:id="644" w:name="_Toc310881733"/>
      <w:bookmarkStart w:id="645" w:name="_Toc310884801"/>
      <w:bookmarkStart w:id="646" w:name="_Toc310888546"/>
      <w:bookmarkStart w:id="647" w:name="_Toc310787351"/>
      <w:bookmarkStart w:id="648" w:name="_Toc310795791"/>
      <w:bookmarkStart w:id="649" w:name="_Toc310798125"/>
      <w:bookmarkStart w:id="650" w:name="_Toc310842247"/>
      <w:bookmarkStart w:id="651" w:name="_Toc310881734"/>
      <w:bookmarkStart w:id="652" w:name="_Toc310884802"/>
      <w:bookmarkStart w:id="653" w:name="_Toc310888547"/>
      <w:bookmarkStart w:id="654" w:name="_Toc310787353"/>
      <w:bookmarkStart w:id="655" w:name="_Toc310795793"/>
      <w:bookmarkStart w:id="656" w:name="_Toc310798127"/>
      <w:bookmarkStart w:id="657" w:name="_Toc310842249"/>
      <w:bookmarkStart w:id="658" w:name="_Toc310881736"/>
      <w:bookmarkStart w:id="659" w:name="_Toc310884804"/>
      <w:bookmarkStart w:id="660" w:name="_Toc310888549"/>
      <w:bookmarkStart w:id="661" w:name="_Toc310787354"/>
      <w:bookmarkStart w:id="662" w:name="_Toc310795794"/>
      <w:bookmarkStart w:id="663" w:name="_Toc310798128"/>
      <w:bookmarkStart w:id="664" w:name="_Toc310842250"/>
      <w:bookmarkStart w:id="665" w:name="_Toc310881737"/>
      <w:bookmarkStart w:id="666" w:name="_Toc310884805"/>
      <w:bookmarkStart w:id="667" w:name="_Toc310888550"/>
      <w:bookmarkStart w:id="668" w:name="_Toc310787355"/>
      <w:bookmarkStart w:id="669" w:name="_Toc310795795"/>
      <w:bookmarkStart w:id="670" w:name="_Toc310798129"/>
      <w:bookmarkStart w:id="671" w:name="_Toc310842251"/>
      <w:bookmarkStart w:id="672" w:name="_Toc310881738"/>
      <w:bookmarkStart w:id="673" w:name="_Toc310884806"/>
      <w:bookmarkStart w:id="674" w:name="_Toc310888551"/>
      <w:bookmarkStart w:id="675" w:name="_Toc310787358"/>
      <w:bookmarkStart w:id="676" w:name="_Toc310795798"/>
      <w:bookmarkStart w:id="677" w:name="_Toc310798132"/>
      <w:bookmarkStart w:id="678" w:name="_Toc310842254"/>
      <w:bookmarkStart w:id="679" w:name="_Toc310881741"/>
      <w:bookmarkStart w:id="680" w:name="_Toc310884809"/>
      <w:bookmarkStart w:id="681" w:name="_Toc310888554"/>
      <w:bookmarkStart w:id="682" w:name="_Toc310787359"/>
      <w:bookmarkStart w:id="683" w:name="_Toc310795799"/>
      <w:bookmarkStart w:id="684" w:name="_Toc310798133"/>
      <w:bookmarkStart w:id="685" w:name="_Toc310842255"/>
      <w:bookmarkStart w:id="686" w:name="_Toc310881742"/>
      <w:bookmarkStart w:id="687" w:name="_Toc310884810"/>
      <w:bookmarkStart w:id="688" w:name="_Toc310888555"/>
      <w:bookmarkStart w:id="689" w:name="_Toc310787360"/>
      <w:bookmarkStart w:id="690" w:name="_Toc310795800"/>
      <w:bookmarkStart w:id="691" w:name="_Toc310798134"/>
      <w:bookmarkStart w:id="692" w:name="_Toc310842256"/>
      <w:bookmarkStart w:id="693" w:name="_Toc310881743"/>
      <w:bookmarkStart w:id="694" w:name="_Toc310884811"/>
      <w:bookmarkStart w:id="695" w:name="_Toc310888556"/>
      <w:bookmarkStart w:id="696" w:name="_Toc328596060"/>
      <w:bookmarkStart w:id="697" w:name="_Ref308527737"/>
      <w:bookmarkStart w:id="698" w:name="_Toc308544688"/>
      <w:bookmarkStart w:id="699" w:name="_Toc308544711"/>
      <w:bookmarkStart w:id="700" w:name="_Toc311198555"/>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r>
        <w:rPr>
          <w:noProof/>
          <w:lang w:eastAsia="en-NZ"/>
        </w:rPr>
        <w:drawing>
          <wp:anchor distT="0" distB="0" distL="114300" distR="114300" simplePos="0" relativeHeight="251658240" behindDoc="0" locked="0" layoutInCell="1" allowOverlap="1">
            <wp:simplePos x="0" y="0"/>
            <wp:positionH relativeFrom="column">
              <wp:posOffset>-390525</wp:posOffset>
            </wp:positionH>
            <wp:positionV relativeFrom="paragraph">
              <wp:posOffset>501650</wp:posOffset>
            </wp:positionV>
            <wp:extent cx="6543675" cy="7296150"/>
            <wp:effectExtent l="19050" t="0" r="9525" b="0"/>
            <wp:wrapSquare wrapText="bothSides"/>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5" cstate="print"/>
                    <a:srcRect/>
                    <a:stretch>
                      <a:fillRect/>
                    </a:stretch>
                  </pic:blipFill>
                  <pic:spPr bwMode="auto">
                    <a:xfrm>
                      <a:off x="0" y="0"/>
                      <a:ext cx="6543675" cy="7296150"/>
                    </a:xfrm>
                    <a:prstGeom prst="rect">
                      <a:avLst/>
                    </a:prstGeom>
                    <a:noFill/>
                    <a:ln w="9525">
                      <a:noFill/>
                      <a:miter lim="800000"/>
                      <a:headEnd/>
                      <a:tailEnd/>
                    </a:ln>
                  </pic:spPr>
                </pic:pic>
              </a:graphicData>
            </a:graphic>
          </wp:anchor>
        </w:drawing>
      </w:r>
      <w:bookmarkStart w:id="701" w:name="_Toc329301635"/>
      <w:r w:rsidR="00626EDC" w:rsidRPr="00604256">
        <w:t>Schedule 1</w:t>
      </w:r>
      <w:r w:rsidR="00626EDC" w:rsidRPr="00604256">
        <w:tab/>
      </w:r>
      <w:r w:rsidR="00626EDC" w:rsidRPr="00604256">
        <w:tab/>
      </w:r>
      <w:r w:rsidR="00626EDC">
        <w:t>Analytical Ratios</w:t>
      </w:r>
      <w:bookmarkEnd w:id="696"/>
      <w:bookmarkEnd w:id="701"/>
    </w:p>
    <w:p w:rsidR="00626EDC" w:rsidRDefault="00626EDC" w:rsidP="00626EDC">
      <w:pPr>
        <w:pStyle w:val="Singlespacedparagraph"/>
        <w:rPr>
          <w:lang w:eastAsia="en-NZ"/>
        </w:rPr>
      </w:pPr>
    </w:p>
    <w:p w:rsidR="0081120A" w:rsidRDefault="0081120A" w:rsidP="00626EDC">
      <w:pPr>
        <w:pStyle w:val="Singlespacedparagraph"/>
        <w:rPr>
          <w:lang w:eastAsia="en-NZ"/>
        </w:rPr>
      </w:pPr>
    </w:p>
    <w:p w:rsidR="0081120A" w:rsidRDefault="0081120A" w:rsidP="00626EDC">
      <w:pPr>
        <w:pStyle w:val="Singlespacedparagraph"/>
        <w:rPr>
          <w:lang w:eastAsia="en-NZ"/>
        </w:rPr>
      </w:pPr>
    </w:p>
    <w:p w:rsidR="0081120A" w:rsidRDefault="0081120A" w:rsidP="00626EDC">
      <w:pPr>
        <w:pStyle w:val="Singlespacedparagraph"/>
        <w:rPr>
          <w:lang w:eastAsia="en-NZ"/>
        </w:rPr>
      </w:pPr>
    </w:p>
    <w:p w:rsidR="00626EDC" w:rsidRDefault="00626EDC" w:rsidP="00626EDC">
      <w:pPr>
        <w:rPr>
          <w:lang w:eastAsia="en-NZ"/>
        </w:rPr>
        <w:sectPr w:rsidR="00626EDC" w:rsidSect="0005720D">
          <w:headerReference w:type="first" r:id="rId16"/>
          <w:pgSz w:w="11907" w:h="16840" w:code="9"/>
          <w:pgMar w:top="1440" w:right="1440" w:bottom="1440" w:left="1440" w:header="1134" w:footer="431" w:gutter="0"/>
          <w:cols w:space="720"/>
          <w:docGrid w:linePitch="326"/>
        </w:sectPr>
      </w:pPr>
    </w:p>
    <w:p w:rsidR="00626EDC" w:rsidRDefault="00626EDC" w:rsidP="00626EDC">
      <w:pPr>
        <w:pStyle w:val="Heading1"/>
        <w:spacing w:line="264" w:lineRule="auto"/>
        <w:jc w:val="center"/>
      </w:pPr>
      <w:bookmarkStart w:id="702" w:name="_Toc328596061"/>
      <w:bookmarkStart w:id="703" w:name="_Toc329301636"/>
      <w:r w:rsidRPr="00604256">
        <w:t>Schedule 2</w:t>
      </w:r>
      <w:r w:rsidRPr="00604256">
        <w:tab/>
      </w:r>
      <w:r w:rsidRPr="00604256">
        <w:tab/>
      </w:r>
      <w:bookmarkEnd w:id="702"/>
      <w:r>
        <w:t>Comparison of Forecasts to Actual Expenditure</w:t>
      </w:r>
      <w:bookmarkEnd w:id="703"/>
    </w:p>
    <w:p w:rsidR="00626EDC" w:rsidRDefault="00FA636F" w:rsidP="00626EDC">
      <w:pPr>
        <w:pStyle w:val="Singlespacedparagraph"/>
      </w:pPr>
      <w:r w:rsidRPr="00FA636F">
        <w:rPr>
          <w:noProof/>
          <w:lang w:eastAsia="en-NZ"/>
        </w:rPr>
        <w:drawing>
          <wp:inline distT="0" distB="0" distL="0" distR="0">
            <wp:extent cx="5732145" cy="7933162"/>
            <wp:effectExtent l="19050" t="0" r="1905"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7" cstate="print"/>
                    <a:srcRect/>
                    <a:stretch>
                      <a:fillRect/>
                    </a:stretch>
                  </pic:blipFill>
                  <pic:spPr bwMode="auto">
                    <a:xfrm>
                      <a:off x="0" y="0"/>
                      <a:ext cx="5732145" cy="7933162"/>
                    </a:xfrm>
                    <a:prstGeom prst="rect">
                      <a:avLst/>
                    </a:prstGeom>
                    <a:noFill/>
                    <a:ln w="9525">
                      <a:noFill/>
                      <a:miter lim="800000"/>
                      <a:headEnd/>
                      <a:tailEnd/>
                    </a:ln>
                  </pic:spPr>
                </pic:pic>
              </a:graphicData>
            </a:graphic>
          </wp:inline>
        </w:drawing>
      </w:r>
    </w:p>
    <w:p w:rsidR="00FA636F" w:rsidRDefault="00FA636F" w:rsidP="00626EDC">
      <w:pPr>
        <w:pStyle w:val="Singlespacedparagraph"/>
      </w:pPr>
    </w:p>
    <w:p w:rsidR="00626EDC" w:rsidRDefault="00626EDC" w:rsidP="00626EDC">
      <w:pPr>
        <w:sectPr w:rsidR="00626EDC" w:rsidSect="0005720D">
          <w:pgSz w:w="11907" w:h="16840" w:code="9"/>
          <w:pgMar w:top="1440" w:right="1440" w:bottom="1440" w:left="1440" w:header="1134" w:footer="431" w:gutter="0"/>
          <w:cols w:space="720"/>
          <w:docGrid w:linePitch="326"/>
        </w:sectPr>
      </w:pPr>
    </w:p>
    <w:p w:rsidR="00626EDC" w:rsidRDefault="00551B16" w:rsidP="00626EDC">
      <w:pPr>
        <w:pStyle w:val="Heading1"/>
        <w:spacing w:line="264" w:lineRule="auto"/>
        <w:jc w:val="center"/>
      </w:pPr>
      <w:bookmarkStart w:id="704" w:name="_Toc328596062"/>
      <w:r>
        <w:rPr>
          <w:noProof/>
          <w:lang w:eastAsia="en-NZ"/>
        </w:rPr>
        <w:drawing>
          <wp:anchor distT="0" distB="0" distL="114300" distR="114300" simplePos="0" relativeHeight="251659264" behindDoc="0" locked="0" layoutInCell="1" allowOverlap="1">
            <wp:simplePos x="0" y="0"/>
            <wp:positionH relativeFrom="column">
              <wp:posOffset>-301625</wp:posOffset>
            </wp:positionH>
            <wp:positionV relativeFrom="paragraph">
              <wp:posOffset>652145</wp:posOffset>
            </wp:positionV>
            <wp:extent cx="6372225" cy="7229475"/>
            <wp:effectExtent l="19050" t="0" r="9525" b="0"/>
            <wp:wrapSquare wrapText="bothSides"/>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8" cstate="print"/>
                    <a:srcRect/>
                    <a:stretch>
                      <a:fillRect/>
                    </a:stretch>
                  </pic:blipFill>
                  <pic:spPr bwMode="auto">
                    <a:xfrm>
                      <a:off x="0" y="0"/>
                      <a:ext cx="6372225" cy="7229475"/>
                    </a:xfrm>
                    <a:prstGeom prst="rect">
                      <a:avLst/>
                    </a:prstGeom>
                    <a:noFill/>
                    <a:ln w="9525">
                      <a:noFill/>
                      <a:miter lim="800000"/>
                      <a:headEnd/>
                      <a:tailEnd/>
                    </a:ln>
                  </pic:spPr>
                </pic:pic>
              </a:graphicData>
            </a:graphic>
          </wp:anchor>
        </w:drawing>
      </w:r>
      <w:bookmarkStart w:id="705" w:name="_Toc329301637"/>
      <w:r w:rsidR="00626EDC" w:rsidRPr="00604256">
        <w:t>Schedule 3</w:t>
      </w:r>
      <w:r w:rsidR="00626EDC" w:rsidRPr="00604256">
        <w:tab/>
      </w:r>
      <w:r w:rsidR="00626EDC" w:rsidRPr="00604256">
        <w:tab/>
        <w:t xml:space="preserve">Report on </w:t>
      </w:r>
      <w:r w:rsidR="00626EDC">
        <w:t>Return on Investment</w:t>
      </w:r>
      <w:bookmarkEnd w:id="704"/>
      <w:bookmarkEnd w:id="705"/>
    </w:p>
    <w:p w:rsidR="00626EDC" w:rsidRDefault="00626EDC" w:rsidP="00626EDC">
      <w:pPr>
        <w:pStyle w:val="Singlespacedparagraph"/>
      </w:pPr>
    </w:p>
    <w:p w:rsidR="00551B16" w:rsidRDefault="00551B16">
      <w:r>
        <w:br w:type="page"/>
      </w:r>
    </w:p>
    <w:p w:rsidR="00FA636F" w:rsidRDefault="00FA636F" w:rsidP="00626EDC">
      <w:pPr>
        <w:pStyle w:val="Singlespacedparagraph"/>
      </w:pPr>
    </w:p>
    <w:p w:rsidR="00551B16" w:rsidRPr="00050BC3" w:rsidRDefault="00551B16" w:rsidP="00626EDC">
      <w:pPr>
        <w:pStyle w:val="Singlespacedparagraph"/>
      </w:pPr>
      <w:r>
        <w:rPr>
          <w:noProof/>
          <w:lang w:eastAsia="en-NZ"/>
        </w:rPr>
        <w:drawing>
          <wp:anchor distT="0" distB="0" distL="114300" distR="114300" simplePos="0" relativeHeight="251660288" behindDoc="0" locked="0" layoutInCell="1" allowOverlap="1">
            <wp:simplePos x="0" y="0"/>
            <wp:positionH relativeFrom="column">
              <wp:posOffset>-428625</wp:posOffset>
            </wp:positionH>
            <wp:positionV relativeFrom="paragraph">
              <wp:posOffset>46990</wp:posOffset>
            </wp:positionV>
            <wp:extent cx="6686550" cy="6381750"/>
            <wp:effectExtent l="19050" t="0" r="0" b="0"/>
            <wp:wrapSquare wrapText="bothSides"/>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9" cstate="print"/>
                    <a:srcRect/>
                    <a:stretch>
                      <a:fillRect/>
                    </a:stretch>
                  </pic:blipFill>
                  <pic:spPr bwMode="auto">
                    <a:xfrm>
                      <a:off x="0" y="0"/>
                      <a:ext cx="6686550" cy="6381750"/>
                    </a:xfrm>
                    <a:prstGeom prst="rect">
                      <a:avLst/>
                    </a:prstGeom>
                    <a:noFill/>
                    <a:ln w="9525">
                      <a:noFill/>
                      <a:miter lim="800000"/>
                      <a:headEnd/>
                      <a:tailEnd/>
                    </a:ln>
                  </pic:spPr>
                </pic:pic>
              </a:graphicData>
            </a:graphic>
          </wp:anchor>
        </w:drawing>
      </w:r>
    </w:p>
    <w:p w:rsidR="00626EDC" w:rsidRDefault="00626EDC" w:rsidP="00626EDC">
      <w:pPr>
        <w:sectPr w:rsidR="00626EDC" w:rsidSect="0005720D">
          <w:pgSz w:w="11907" w:h="16840" w:code="9"/>
          <w:pgMar w:top="1440" w:right="1440" w:bottom="1440" w:left="1440" w:header="1134" w:footer="431" w:gutter="0"/>
          <w:cols w:space="720"/>
          <w:docGrid w:linePitch="326"/>
        </w:sectPr>
      </w:pPr>
    </w:p>
    <w:p w:rsidR="00626EDC" w:rsidRDefault="00E008D1" w:rsidP="00626EDC">
      <w:pPr>
        <w:pStyle w:val="Heading1"/>
        <w:spacing w:line="264" w:lineRule="auto"/>
        <w:jc w:val="center"/>
      </w:pPr>
      <w:bookmarkStart w:id="706" w:name="_Toc328596063"/>
      <w:r>
        <w:rPr>
          <w:noProof/>
          <w:lang w:eastAsia="en-NZ"/>
        </w:rPr>
        <w:drawing>
          <wp:anchor distT="0" distB="0" distL="114300" distR="114300" simplePos="0" relativeHeight="251667456" behindDoc="0" locked="0" layoutInCell="1" allowOverlap="1">
            <wp:simplePos x="0" y="0"/>
            <wp:positionH relativeFrom="column">
              <wp:posOffset>-914400</wp:posOffset>
            </wp:positionH>
            <wp:positionV relativeFrom="paragraph">
              <wp:posOffset>2559050</wp:posOffset>
            </wp:positionV>
            <wp:extent cx="7607935" cy="3641725"/>
            <wp:effectExtent l="0" t="1962150" r="0" b="1978025"/>
            <wp:wrapSquare wrapText="bothSides"/>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20" cstate="print"/>
                    <a:srcRect/>
                    <a:stretch>
                      <a:fillRect/>
                    </a:stretch>
                  </pic:blipFill>
                  <pic:spPr bwMode="auto">
                    <a:xfrm rot="16200000">
                      <a:off x="0" y="0"/>
                      <a:ext cx="7607935" cy="3641725"/>
                    </a:xfrm>
                    <a:prstGeom prst="rect">
                      <a:avLst/>
                    </a:prstGeom>
                    <a:noFill/>
                    <a:ln w="9525">
                      <a:noFill/>
                      <a:miter lim="800000"/>
                      <a:headEnd/>
                      <a:tailEnd/>
                    </a:ln>
                  </pic:spPr>
                </pic:pic>
              </a:graphicData>
            </a:graphic>
          </wp:anchor>
        </w:drawing>
      </w:r>
      <w:bookmarkStart w:id="707" w:name="_Toc329301638"/>
      <w:r w:rsidR="00626EDC" w:rsidRPr="00604256">
        <w:t>Schedule 3</w:t>
      </w:r>
      <w:r w:rsidR="00626EDC">
        <w:t>a</w:t>
      </w:r>
      <w:r w:rsidR="00626EDC" w:rsidRPr="00604256">
        <w:tab/>
      </w:r>
      <w:r w:rsidR="00626EDC" w:rsidRPr="00604256">
        <w:tab/>
      </w:r>
      <w:r w:rsidR="00626EDC">
        <w:t>Term Credit Spread Differential Allowance</w:t>
      </w:r>
      <w:bookmarkEnd w:id="706"/>
      <w:bookmarkEnd w:id="707"/>
    </w:p>
    <w:p w:rsidR="00626EDC" w:rsidRDefault="00626EDC" w:rsidP="00626EDC">
      <w:pPr>
        <w:pStyle w:val="Singlespacedparagraph"/>
      </w:pPr>
    </w:p>
    <w:p w:rsidR="00626EDC" w:rsidRDefault="00626EDC" w:rsidP="00626EDC">
      <w:pPr>
        <w:pStyle w:val="Singlespacedparagraph"/>
      </w:pPr>
    </w:p>
    <w:p w:rsidR="00626EDC" w:rsidRDefault="00626EDC" w:rsidP="00626EDC">
      <w:pPr>
        <w:pStyle w:val="Singlespacedparagraph"/>
        <w:sectPr w:rsidR="00626EDC" w:rsidSect="00551B16">
          <w:pgSz w:w="11907" w:h="16840" w:code="9"/>
          <w:pgMar w:top="1440" w:right="1440" w:bottom="1276" w:left="1440" w:header="1134" w:footer="431" w:gutter="0"/>
          <w:cols w:space="720"/>
          <w:docGrid w:linePitch="326"/>
        </w:sectPr>
      </w:pPr>
    </w:p>
    <w:p w:rsidR="00626EDC" w:rsidRPr="00050BC3" w:rsidRDefault="00551B16" w:rsidP="00626EDC">
      <w:pPr>
        <w:pStyle w:val="Heading1"/>
        <w:spacing w:line="264" w:lineRule="auto"/>
        <w:jc w:val="center"/>
      </w:pPr>
      <w:bookmarkStart w:id="708" w:name="_Toc328596064"/>
      <w:r>
        <w:rPr>
          <w:noProof/>
          <w:lang w:eastAsia="en-NZ"/>
        </w:rPr>
        <w:drawing>
          <wp:anchor distT="0" distB="0" distL="114300" distR="114300" simplePos="0" relativeHeight="251662336" behindDoc="0" locked="0" layoutInCell="1" allowOverlap="1">
            <wp:simplePos x="0" y="0"/>
            <wp:positionH relativeFrom="column">
              <wp:posOffset>-457200</wp:posOffset>
            </wp:positionH>
            <wp:positionV relativeFrom="paragraph">
              <wp:posOffset>718820</wp:posOffset>
            </wp:positionV>
            <wp:extent cx="6677025" cy="7534275"/>
            <wp:effectExtent l="19050" t="0" r="9525" b="0"/>
            <wp:wrapSquare wrapText="bothSides"/>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21" cstate="print"/>
                    <a:srcRect/>
                    <a:stretch>
                      <a:fillRect/>
                    </a:stretch>
                  </pic:blipFill>
                  <pic:spPr bwMode="auto">
                    <a:xfrm>
                      <a:off x="0" y="0"/>
                      <a:ext cx="6677025" cy="7534275"/>
                    </a:xfrm>
                    <a:prstGeom prst="rect">
                      <a:avLst/>
                    </a:prstGeom>
                    <a:noFill/>
                    <a:ln w="9525">
                      <a:noFill/>
                      <a:miter lim="800000"/>
                      <a:headEnd/>
                      <a:tailEnd/>
                    </a:ln>
                  </pic:spPr>
                </pic:pic>
              </a:graphicData>
            </a:graphic>
          </wp:anchor>
        </w:drawing>
      </w:r>
      <w:bookmarkStart w:id="709" w:name="_Toc329301639"/>
      <w:r w:rsidR="00626EDC">
        <w:t>Schedule 4</w:t>
      </w:r>
      <w:r w:rsidR="00626EDC">
        <w:tab/>
      </w:r>
      <w:r w:rsidR="00626EDC">
        <w:tab/>
        <w:t>Report on Value of the Regulatory Asset Base (Rolled Forward)</w:t>
      </w:r>
      <w:bookmarkEnd w:id="708"/>
      <w:bookmarkEnd w:id="709"/>
    </w:p>
    <w:p w:rsidR="00BB3047" w:rsidRDefault="00BB3047">
      <w:r>
        <w:br w:type="page"/>
      </w:r>
    </w:p>
    <w:p w:rsidR="00626EDC" w:rsidRDefault="00BB3047" w:rsidP="00626EDC">
      <w:pPr>
        <w:pStyle w:val="Singlespacedparagraph"/>
      </w:pPr>
      <w:r>
        <w:rPr>
          <w:noProof/>
          <w:lang w:eastAsia="en-NZ"/>
        </w:rPr>
        <w:drawing>
          <wp:anchor distT="0" distB="0" distL="114300" distR="114300" simplePos="0" relativeHeight="251663360" behindDoc="0" locked="0" layoutInCell="1" allowOverlap="1">
            <wp:simplePos x="0" y="0"/>
            <wp:positionH relativeFrom="column">
              <wp:posOffset>-452120</wp:posOffset>
            </wp:positionH>
            <wp:positionV relativeFrom="paragraph">
              <wp:posOffset>196850</wp:posOffset>
            </wp:positionV>
            <wp:extent cx="6771640" cy="7677150"/>
            <wp:effectExtent l="19050" t="0" r="0" b="0"/>
            <wp:wrapSquare wrapText="bothSides"/>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22" cstate="print"/>
                    <a:srcRect/>
                    <a:stretch>
                      <a:fillRect/>
                    </a:stretch>
                  </pic:blipFill>
                  <pic:spPr bwMode="auto">
                    <a:xfrm>
                      <a:off x="0" y="0"/>
                      <a:ext cx="6771640" cy="7677150"/>
                    </a:xfrm>
                    <a:prstGeom prst="rect">
                      <a:avLst/>
                    </a:prstGeom>
                    <a:noFill/>
                    <a:ln w="9525">
                      <a:noFill/>
                      <a:miter lim="800000"/>
                      <a:headEnd/>
                      <a:tailEnd/>
                    </a:ln>
                  </pic:spPr>
                </pic:pic>
              </a:graphicData>
            </a:graphic>
          </wp:anchor>
        </w:drawing>
      </w:r>
    </w:p>
    <w:p w:rsidR="00BB3047" w:rsidRDefault="00BB3047">
      <w:r>
        <w:br w:type="page"/>
      </w:r>
    </w:p>
    <w:p w:rsidR="00626EDC" w:rsidRDefault="00BB3047" w:rsidP="00626EDC">
      <w:pPr>
        <w:pStyle w:val="Singlespacedparagraph"/>
      </w:pPr>
      <w:r w:rsidRPr="00BB3047">
        <w:rPr>
          <w:noProof/>
          <w:lang w:eastAsia="en-NZ"/>
        </w:rPr>
        <w:drawing>
          <wp:anchor distT="0" distB="0" distL="114300" distR="114300" simplePos="0" relativeHeight="251664384" behindDoc="0" locked="0" layoutInCell="1" allowOverlap="1">
            <wp:simplePos x="0" y="0"/>
            <wp:positionH relativeFrom="column">
              <wp:posOffset>-738505</wp:posOffset>
            </wp:positionH>
            <wp:positionV relativeFrom="paragraph">
              <wp:posOffset>2661285</wp:posOffset>
            </wp:positionV>
            <wp:extent cx="7867015" cy="2442845"/>
            <wp:effectExtent l="0" t="2686050" r="0" b="2700655"/>
            <wp:wrapSquare wrapText="bothSides"/>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23" cstate="print"/>
                    <a:srcRect/>
                    <a:stretch>
                      <a:fillRect/>
                    </a:stretch>
                  </pic:blipFill>
                  <pic:spPr bwMode="auto">
                    <a:xfrm rot="16200000">
                      <a:off x="0" y="0"/>
                      <a:ext cx="7867015" cy="2442845"/>
                    </a:xfrm>
                    <a:prstGeom prst="rect">
                      <a:avLst/>
                    </a:prstGeom>
                    <a:noFill/>
                    <a:ln w="9525">
                      <a:noFill/>
                      <a:miter lim="800000"/>
                      <a:headEnd/>
                      <a:tailEnd/>
                    </a:ln>
                  </pic:spPr>
                </pic:pic>
              </a:graphicData>
            </a:graphic>
          </wp:anchor>
        </w:drawing>
      </w:r>
    </w:p>
    <w:p w:rsidR="00626EDC" w:rsidRDefault="00626EDC" w:rsidP="00626EDC">
      <w:pPr>
        <w:pStyle w:val="Singlespacedparagraph"/>
      </w:pPr>
    </w:p>
    <w:p w:rsidR="00BB3047" w:rsidRDefault="00BB3047" w:rsidP="00626EDC">
      <w:pPr>
        <w:pStyle w:val="Singlespacedparagraph"/>
        <w:sectPr w:rsidR="00BB3047" w:rsidSect="00551B16">
          <w:pgSz w:w="11907" w:h="16840" w:code="9"/>
          <w:pgMar w:top="1440" w:right="1440" w:bottom="1134" w:left="1440" w:header="1134" w:footer="431" w:gutter="0"/>
          <w:cols w:space="720"/>
          <w:docGrid w:linePitch="326"/>
        </w:sectPr>
      </w:pPr>
    </w:p>
    <w:p w:rsidR="00626EDC" w:rsidRDefault="00626EDC" w:rsidP="00626EDC">
      <w:pPr>
        <w:pStyle w:val="Heading1"/>
        <w:spacing w:line="264" w:lineRule="auto"/>
        <w:jc w:val="center"/>
      </w:pPr>
      <w:bookmarkStart w:id="710" w:name="_Toc328596065"/>
      <w:bookmarkStart w:id="711" w:name="_Toc329301640"/>
      <w:r>
        <w:t>Schedule 4a</w:t>
      </w:r>
      <w:r w:rsidRPr="00604256">
        <w:tab/>
      </w:r>
      <w:r w:rsidRPr="00604256">
        <w:tab/>
        <w:t xml:space="preserve">Report on </w:t>
      </w:r>
      <w:r>
        <w:t>Asset Allocations</w:t>
      </w:r>
      <w:bookmarkEnd w:id="710"/>
      <w:bookmarkEnd w:id="711"/>
    </w:p>
    <w:p w:rsidR="00626EDC" w:rsidRDefault="00E008D1" w:rsidP="00626EDC">
      <w:pPr>
        <w:pStyle w:val="Singlespacedparagraph"/>
      </w:pPr>
      <w:r>
        <w:rPr>
          <w:noProof/>
          <w:lang w:eastAsia="en-NZ"/>
        </w:rPr>
        <w:drawing>
          <wp:anchor distT="0" distB="0" distL="114300" distR="114300" simplePos="0" relativeHeight="251665408" behindDoc="0" locked="0" layoutInCell="1" allowOverlap="1">
            <wp:simplePos x="0" y="0"/>
            <wp:positionH relativeFrom="column">
              <wp:posOffset>-651510</wp:posOffset>
            </wp:positionH>
            <wp:positionV relativeFrom="paragraph">
              <wp:posOffset>238760</wp:posOffset>
            </wp:positionV>
            <wp:extent cx="7074535" cy="6705600"/>
            <wp:effectExtent l="19050" t="0" r="0" b="0"/>
            <wp:wrapSquare wrapText="bothSides"/>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24" cstate="print"/>
                    <a:srcRect/>
                    <a:stretch>
                      <a:fillRect/>
                    </a:stretch>
                  </pic:blipFill>
                  <pic:spPr bwMode="auto">
                    <a:xfrm>
                      <a:off x="0" y="0"/>
                      <a:ext cx="7074535" cy="6705600"/>
                    </a:xfrm>
                    <a:prstGeom prst="rect">
                      <a:avLst/>
                    </a:prstGeom>
                    <a:noFill/>
                    <a:ln w="9525">
                      <a:noFill/>
                      <a:miter lim="800000"/>
                      <a:headEnd/>
                      <a:tailEnd/>
                    </a:ln>
                  </pic:spPr>
                </pic:pic>
              </a:graphicData>
            </a:graphic>
          </wp:anchor>
        </w:drawing>
      </w:r>
    </w:p>
    <w:p w:rsidR="00E008D1" w:rsidRDefault="00E008D1">
      <w:r>
        <w:br w:type="page"/>
      </w:r>
    </w:p>
    <w:p w:rsidR="00626EDC" w:rsidRDefault="00E008D1" w:rsidP="00626EDC">
      <w:pPr>
        <w:pStyle w:val="Singlespacedparagraph"/>
      </w:pPr>
      <w:r w:rsidRPr="00E008D1">
        <w:rPr>
          <w:noProof/>
          <w:lang w:eastAsia="en-NZ"/>
        </w:rPr>
        <w:drawing>
          <wp:anchor distT="0" distB="0" distL="114300" distR="114300" simplePos="0" relativeHeight="251666432" behindDoc="0" locked="0" layoutInCell="1" allowOverlap="1">
            <wp:simplePos x="0" y="0"/>
            <wp:positionH relativeFrom="column">
              <wp:posOffset>19050</wp:posOffset>
            </wp:positionH>
            <wp:positionV relativeFrom="paragraph">
              <wp:posOffset>1677</wp:posOffset>
            </wp:positionV>
            <wp:extent cx="5732864" cy="3424687"/>
            <wp:effectExtent l="19050" t="0" r="1186" b="0"/>
            <wp:wrapSquare wrapText="bothSides"/>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25" cstate="print"/>
                    <a:srcRect/>
                    <a:stretch>
                      <a:fillRect/>
                    </a:stretch>
                  </pic:blipFill>
                  <pic:spPr bwMode="auto">
                    <a:xfrm>
                      <a:off x="0" y="0"/>
                      <a:ext cx="5732864" cy="3424687"/>
                    </a:xfrm>
                    <a:prstGeom prst="rect">
                      <a:avLst/>
                    </a:prstGeom>
                    <a:noFill/>
                    <a:ln w="9525">
                      <a:noFill/>
                      <a:miter lim="800000"/>
                      <a:headEnd/>
                      <a:tailEnd/>
                    </a:ln>
                  </pic:spPr>
                </pic:pic>
              </a:graphicData>
            </a:graphic>
          </wp:anchor>
        </w:drawing>
      </w:r>
    </w:p>
    <w:p w:rsidR="00E008D1" w:rsidRDefault="00E008D1" w:rsidP="00626EDC">
      <w:pPr>
        <w:pStyle w:val="Singlespacedparagraph"/>
      </w:pPr>
    </w:p>
    <w:p w:rsidR="00E008D1" w:rsidRDefault="00E008D1" w:rsidP="00626EDC">
      <w:pPr>
        <w:pStyle w:val="Singlespacedparagraph"/>
      </w:pPr>
    </w:p>
    <w:p w:rsidR="00626EDC" w:rsidRDefault="00626EDC" w:rsidP="00626EDC">
      <w:pPr>
        <w:pStyle w:val="Singlespacedparagraph"/>
        <w:sectPr w:rsidR="00626EDC" w:rsidSect="0005720D">
          <w:pgSz w:w="11907" w:h="16840" w:code="9"/>
          <w:pgMar w:top="1440" w:right="1440" w:bottom="1440" w:left="1440" w:header="1134" w:footer="431" w:gutter="0"/>
          <w:cols w:space="720"/>
          <w:docGrid w:linePitch="326"/>
        </w:sectPr>
      </w:pPr>
    </w:p>
    <w:p w:rsidR="00626EDC" w:rsidRDefault="00126228" w:rsidP="00626EDC">
      <w:pPr>
        <w:pStyle w:val="Heading1"/>
        <w:spacing w:line="264" w:lineRule="auto"/>
        <w:jc w:val="center"/>
      </w:pPr>
      <w:bookmarkStart w:id="712" w:name="_Toc328596066"/>
      <w:r>
        <w:rPr>
          <w:noProof/>
          <w:lang w:eastAsia="en-NZ"/>
        </w:rPr>
        <w:drawing>
          <wp:anchor distT="0" distB="0" distL="114300" distR="114300" simplePos="0" relativeHeight="251668480" behindDoc="0" locked="0" layoutInCell="1" allowOverlap="1">
            <wp:simplePos x="0" y="0"/>
            <wp:positionH relativeFrom="column">
              <wp:posOffset>-681990</wp:posOffset>
            </wp:positionH>
            <wp:positionV relativeFrom="paragraph">
              <wp:posOffset>1003935</wp:posOffset>
            </wp:positionV>
            <wp:extent cx="6875145" cy="5868670"/>
            <wp:effectExtent l="0" t="476250" r="0" b="494030"/>
            <wp:wrapSquare wrapText="bothSides"/>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26" cstate="print"/>
                    <a:srcRect/>
                    <a:stretch>
                      <a:fillRect/>
                    </a:stretch>
                  </pic:blipFill>
                  <pic:spPr bwMode="auto">
                    <a:xfrm rot="16200000">
                      <a:off x="0" y="0"/>
                      <a:ext cx="6875145" cy="5868670"/>
                    </a:xfrm>
                    <a:prstGeom prst="rect">
                      <a:avLst/>
                    </a:prstGeom>
                    <a:noFill/>
                    <a:ln w="9525">
                      <a:noFill/>
                      <a:miter lim="800000"/>
                      <a:headEnd/>
                      <a:tailEnd/>
                    </a:ln>
                  </pic:spPr>
                </pic:pic>
              </a:graphicData>
            </a:graphic>
          </wp:anchor>
        </w:drawing>
      </w:r>
      <w:bookmarkStart w:id="713" w:name="_Toc329301641"/>
      <w:r w:rsidR="00626EDC">
        <w:t>Schedule 4b</w:t>
      </w:r>
      <w:r w:rsidR="00626EDC" w:rsidRPr="00604256">
        <w:tab/>
      </w:r>
      <w:r w:rsidR="00626EDC" w:rsidRPr="00604256">
        <w:tab/>
        <w:t xml:space="preserve">Report </w:t>
      </w:r>
      <w:r w:rsidR="00626EDC">
        <w:t>Supporting Asset Allocations</w:t>
      </w:r>
      <w:bookmarkEnd w:id="712"/>
      <w:bookmarkEnd w:id="713"/>
    </w:p>
    <w:p w:rsidR="00626EDC" w:rsidRDefault="00626EDC" w:rsidP="00626EDC">
      <w:pPr>
        <w:pStyle w:val="Singlespacedparagraph"/>
      </w:pPr>
    </w:p>
    <w:p w:rsidR="00626EDC" w:rsidRDefault="00626EDC" w:rsidP="00626EDC">
      <w:pPr>
        <w:pStyle w:val="Singlespacedparagraph"/>
      </w:pPr>
    </w:p>
    <w:p w:rsidR="00626EDC" w:rsidRDefault="00626EDC" w:rsidP="00626EDC">
      <w:pPr>
        <w:pStyle w:val="Singlespacedparagraph"/>
        <w:sectPr w:rsidR="00626EDC" w:rsidSect="0005720D">
          <w:pgSz w:w="11907" w:h="16840" w:code="9"/>
          <w:pgMar w:top="1440" w:right="1440" w:bottom="1440" w:left="1440" w:header="1134" w:footer="431" w:gutter="0"/>
          <w:cols w:space="720"/>
          <w:docGrid w:linePitch="326"/>
        </w:sectPr>
      </w:pPr>
    </w:p>
    <w:p w:rsidR="00626EDC" w:rsidRDefault="00626EDC" w:rsidP="00626EDC">
      <w:pPr>
        <w:pStyle w:val="Heading1"/>
        <w:spacing w:line="264" w:lineRule="auto"/>
        <w:jc w:val="center"/>
      </w:pPr>
      <w:bookmarkStart w:id="714" w:name="_Toc328596068"/>
      <w:bookmarkStart w:id="715" w:name="_Toc329301642"/>
      <w:r>
        <w:t>Schedule 4c</w:t>
      </w:r>
      <w:r>
        <w:tab/>
      </w:r>
      <w:r w:rsidRPr="00604256">
        <w:tab/>
      </w:r>
      <w:r>
        <w:t>Report on Transitional Financial Information</w:t>
      </w:r>
      <w:bookmarkEnd w:id="714"/>
      <w:bookmarkEnd w:id="715"/>
    </w:p>
    <w:p w:rsidR="00DB6BE5" w:rsidRDefault="0004332B" w:rsidP="00626EDC">
      <w:pPr>
        <w:pStyle w:val="Singlespacedparagraph"/>
      </w:pPr>
      <w:r>
        <w:rPr>
          <w:noProof/>
          <w:lang w:eastAsia="en-NZ"/>
        </w:rPr>
        <w:drawing>
          <wp:anchor distT="0" distB="0" distL="114300" distR="114300" simplePos="0" relativeHeight="251669504" behindDoc="0" locked="0" layoutInCell="1" allowOverlap="1">
            <wp:simplePos x="0" y="0"/>
            <wp:positionH relativeFrom="column">
              <wp:posOffset>-507365</wp:posOffset>
            </wp:positionH>
            <wp:positionV relativeFrom="paragraph">
              <wp:posOffset>83185</wp:posOffset>
            </wp:positionV>
            <wp:extent cx="6777990" cy="7590790"/>
            <wp:effectExtent l="19050" t="0" r="3810" b="0"/>
            <wp:wrapSquare wrapText="bothSides"/>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27" cstate="print"/>
                    <a:srcRect/>
                    <a:stretch>
                      <a:fillRect/>
                    </a:stretch>
                  </pic:blipFill>
                  <pic:spPr bwMode="auto">
                    <a:xfrm>
                      <a:off x="0" y="0"/>
                      <a:ext cx="6777990" cy="7590790"/>
                    </a:xfrm>
                    <a:prstGeom prst="rect">
                      <a:avLst/>
                    </a:prstGeom>
                    <a:noFill/>
                    <a:ln w="9525">
                      <a:noFill/>
                      <a:miter lim="800000"/>
                      <a:headEnd/>
                      <a:tailEnd/>
                    </a:ln>
                  </pic:spPr>
                </pic:pic>
              </a:graphicData>
            </a:graphic>
          </wp:anchor>
        </w:drawing>
      </w:r>
    </w:p>
    <w:p w:rsidR="0004332B" w:rsidRDefault="0004332B">
      <w:r>
        <w:br w:type="page"/>
      </w:r>
    </w:p>
    <w:p w:rsidR="00626EDC" w:rsidRDefault="0004332B" w:rsidP="00626EDC">
      <w:pPr>
        <w:pStyle w:val="Singlespacedparagraph"/>
      </w:pPr>
      <w:r>
        <w:rPr>
          <w:noProof/>
          <w:lang w:eastAsia="en-NZ"/>
        </w:rPr>
        <w:drawing>
          <wp:anchor distT="0" distB="0" distL="114300" distR="114300" simplePos="0" relativeHeight="251670528" behindDoc="0" locked="0" layoutInCell="1" allowOverlap="1">
            <wp:simplePos x="0" y="0"/>
            <wp:positionH relativeFrom="column">
              <wp:posOffset>-508635</wp:posOffset>
            </wp:positionH>
            <wp:positionV relativeFrom="paragraph">
              <wp:posOffset>173990</wp:posOffset>
            </wp:positionV>
            <wp:extent cx="6798310" cy="6728460"/>
            <wp:effectExtent l="19050" t="0" r="2540" b="0"/>
            <wp:wrapSquare wrapText="bothSides"/>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28" cstate="print"/>
                    <a:srcRect/>
                    <a:stretch>
                      <a:fillRect/>
                    </a:stretch>
                  </pic:blipFill>
                  <pic:spPr bwMode="auto">
                    <a:xfrm>
                      <a:off x="0" y="0"/>
                      <a:ext cx="6798310" cy="6728460"/>
                    </a:xfrm>
                    <a:prstGeom prst="rect">
                      <a:avLst/>
                    </a:prstGeom>
                    <a:noFill/>
                    <a:ln w="9525">
                      <a:noFill/>
                      <a:miter lim="800000"/>
                      <a:headEnd/>
                      <a:tailEnd/>
                    </a:ln>
                  </pic:spPr>
                </pic:pic>
              </a:graphicData>
            </a:graphic>
          </wp:anchor>
        </w:drawing>
      </w:r>
    </w:p>
    <w:p w:rsidR="0004332B" w:rsidRDefault="0004332B" w:rsidP="00626EDC">
      <w:pPr>
        <w:pStyle w:val="Singlespacedparagraph"/>
      </w:pPr>
    </w:p>
    <w:p w:rsidR="0004332B" w:rsidRDefault="0004332B" w:rsidP="00626EDC">
      <w:pPr>
        <w:pStyle w:val="Singlespacedparagraph"/>
      </w:pPr>
    </w:p>
    <w:p w:rsidR="00626EDC" w:rsidRDefault="00626EDC" w:rsidP="00626EDC">
      <w:pPr>
        <w:pStyle w:val="Singlespacedparagraph"/>
      </w:pPr>
    </w:p>
    <w:p w:rsidR="00626EDC" w:rsidRDefault="00626EDC" w:rsidP="00626EDC">
      <w:pPr>
        <w:pStyle w:val="Singlespacedparagraph"/>
        <w:sectPr w:rsidR="00626EDC" w:rsidSect="0005720D">
          <w:pgSz w:w="11907" w:h="16840" w:code="9"/>
          <w:pgMar w:top="1440" w:right="1440" w:bottom="1440" w:left="1440" w:header="1134" w:footer="431" w:gutter="0"/>
          <w:cols w:space="720"/>
          <w:docGrid w:linePitch="326"/>
        </w:sectPr>
      </w:pPr>
    </w:p>
    <w:p w:rsidR="00626EDC" w:rsidRDefault="0004332B" w:rsidP="00626EDC">
      <w:pPr>
        <w:pStyle w:val="Heading1"/>
        <w:spacing w:line="264" w:lineRule="auto"/>
        <w:jc w:val="center"/>
      </w:pPr>
      <w:bookmarkStart w:id="716" w:name="_Toc328596069"/>
      <w:r>
        <w:rPr>
          <w:noProof/>
          <w:lang w:eastAsia="en-NZ"/>
        </w:rPr>
        <w:drawing>
          <wp:anchor distT="0" distB="0" distL="114300" distR="114300" simplePos="0" relativeHeight="251671552" behindDoc="0" locked="0" layoutInCell="1" allowOverlap="1">
            <wp:simplePos x="0" y="0"/>
            <wp:positionH relativeFrom="column">
              <wp:posOffset>-636905</wp:posOffset>
            </wp:positionH>
            <wp:positionV relativeFrom="paragraph">
              <wp:posOffset>639445</wp:posOffset>
            </wp:positionV>
            <wp:extent cx="6916420" cy="6650355"/>
            <wp:effectExtent l="19050" t="0" r="0" b="0"/>
            <wp:wrapSquare wrapText="bothSides"/>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29" cstate="print"/>
                    <a:srcRect/>
                    <a:stretch>
                      <a:fillRect/>
                    </a:stretch>
                  </pic:blipFill>
                  <pic:spPr bwMode="auto">
                    <a:xfrm>
                      <a:off x="0" y="0"/>
                      <a:ext cx="6916420" cy="6650355"/>
                    </a:xfrm>
                    <a:prstGeom prst="rect">
                      <a:avLst/>
                    </a:prstGeom>
                    <a:noFill/>
                    <a:ln w="9525">
                      <a:noFill/>
                      <a:miter lim="800000"/>
                      <a:headEnd/>
                      <a:tailEnd/>
                    </a:ln>
                  </pic:spPr>
                </pic:pic>
              </a:graphicData>
            </a:graphic>
          </wp:anchor>
        </w:drawing>
      </w:r>
      <w:bookmarkStart w:id="717" w:name="_Toc329301643"/>
      <w:r w:rsidR="00626EDC">
        <w:t>Schedule 5</w:t>
      </w:r>
      <w:r w:rsidR="00626EDC" w:rsidRPr="00604256">
        <w:tab/>
      </w:r>
      <w:r w:rsidR="00626EDC" w:rsidRPr="00604256">
        <w:tab/>
        <w:t xml:space="preserve">Report on </w:t>
      </w:r>
      <w:r w:rsidR="00626EDC">
        <w:t>Regulatory Profit</w:t>
      </w:r>
      <w:bookmarkEnd w:id="716"/>
      <w:bookmarkEnd w:id="717"/>
    </w:p>
    <w:p w:rsidR="00626EDC" w:rsidRDefault="00626EDC" w:rsidP="00626EDC">
      <w:pPr>
        <w:pStyle w:val="Singlespacedparagraph"/>
      </w:pPr>
    </w:p>
    <w:p w:rsidR="00626EDC" w:rsidRDefault="00626EDC" w:rsidP="00626EDC">
      <w:pPr>
        <w:pStyle w:val="Singlespacedparagraph"/>
      </w:pPr>
    </w:p>
    <w:p w:rsidR="0004332B" w:rsidRDefault="0004332B">
      <w:r>
        <w:br w:type="page"/>
      </w:r>
    </w:p>
    <w:p w:rsidR="0004332B" w:rsidRDefault="0004332B" w:rsidP="00626EDC">
      <w:pPr>
        <w:pStyle w:val="Singlespacedparagraph"/>
      </w:pPr>
      <w:r>
        <w:rPr>
          <w:noProof/>
          <w:lang w:eastAsia="en-NZ"/>
        </w:rPr>
        <w:drawing>
          <wp:anchor distT="0" distB="0" distL="114300" distR="114300" simplePos="0" relativeHeight="251672576" behindDoc="0" locked="0" layoutInCell="1" allowOverlap="1">
            <wp:simplePos x="0" y="0"/>
            <wp:positionH relativeFrom="column">
              <wp:posOffset>-395605</wp:posOffset>
            </wp:positionH>
            <wp:positionV relativeFrom="paragraph">
              <wp:posOffset>70485</wp:posOffset>
            </wp:positionV>
            <wp:extent cx="6563360" cy="8004810"/>
            <wp:effectExtent l="19050" t="0" r="8890" b="0"/>
            <wp:wrapSquare wrapText="bothSides"/>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30" cstate="print"/>
                    <a:srcRect/>
                    <a:stretch>
                      <a:fillRect/>
                    </a:stretch>
                  </pic:blipFill>
                  <pic:spPr bwMode="auto">
                    <a:xfrm>
                      <a:off x="0" y="0"/>
                      <a:ext cx="6563360" cy="8004810"/>
                    </a:xfrm>
                    <a:prstGeom prst="rect">
                      <a:avLst/>
                    </a:prstGeom>
                    <a:noFill/>
                    <a:ln w="9525">
                      <a:noFill/>
                      <a:miter lim="800000"/>
                      <a:headEnd/>
                      <a:tailEnd/>
                    </a:ln>
                  </pic:spPr>
                </pic:pic>
              </a:graphicData>
            </a:graphic>
          </wp:anchor>
        </w:drawing>
      </w:r>
    </w:p>
    <w:p w:rsidR="0004332B" w:rsidRDefault="0004332B" w:rsidP="00626EDC">
      <w:pPr>
        <w:pStyle w:val="Singlespacedparagraph"/>
      </w:pPr>
    </w:p>
    <w:p w:rsidR="00626EDC" w:rsidRDefault="00626EDC" w:rsidP="00626EDC">
      <w:pPr>
        <w:pStyle w:val="Singlespacedparagraph"/>
        <w:sectPr w:rsidR="00626EDC" w:rsidSect="0005720D">
          <w:pgSz w:w="11907" w:h="16840" w:code="9"/>
          <w:pgMar w:top="1440" w:right="1440" w:bottom="1440" w:left="1440" w:header="1134" w:footer="431" w:gutter="0"/>
          <w:cols w:space="720"/>
          <w:docGrid w:linePitch="326"/>
        </w:sectPr>
      </w:pPr>
    </w:p>
    <w:p w:rsidR="00626EDC" w:rsidRDefault="00626EDC" w:rsidP="00626EDC">
      <w:pPr>
        <w:pStyle w:val="Heading1"/>
        <w:spacing w:line="264" w:lineRule="auto"/>
        <w:jc w:val="center"/>
      </w:pPr>
      <w:bookmarkStart w:id="718" w:name="_Toc328596070"/>
      <w:bookmarkStart w:id="719" w:name="_Toc329301644"/>
      <w:r>
        <w:t>Schedule 5a</w:t>
      </w:r>
      <w:r w:rsidRPr="00604256">
        <w:tab/>
      </w:r>
      <w:r w:rsidRPr="00604256">
        <w:tab/>
        <w:t xml:space="preserve">Report on </w:t>
      </w:r>
      <w:r>
        <w:t>Regulatory Tax Allowance</w:t>
      </w:r>
      <w:bookmarkEnd w:id="718"/>
      <w:bookmarkEnd w:id="719"/>
    </w:p>
    <w:p w:rsidR="00626EDC" w:rsidRDefault="0004332B" w:rsidP="00626EDC">
      <w:pPr>
        <w:pStyle w:val="Singlespacedparagraph"/>
      </w:pPr>
      <w:r>
        <w:rPr>
          <w:noProof/>
          <w:lang w:eastAsia="en-NZ"/>
        </w:rPr>
        <w:drawing>
          <wp:anchor distT="0" distB="0" distL="114300" distR="114300" simplePos="0" relativeHeight="251673600" behindDoc="0" locked="0" layoutInCell="1" allowOverlap="1">
            <wp:simplePos x="0" y="0"/>
            <wp:positionH relativeFrom="column">
              <wp:posOffset>-401955</wp:posOffset>
            </wp:positionH>
            <wp:positionV relativeFrom="paragraph">
              <wp:posOffset>158115</wp:posOffset>
            </wp:positionV>
            <wp:extent cx="6567805" cy="6938010"/>
            <wp:effectExtent l="19050" t="0" r="4445" b="0"/>
            <wp:wrapSquare wrapText="bothSides"/>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31" cstate="print"/>
                    <a:srcRect/>
                    <a:stretch>
                      <a:fillRect/>
                    </a:stretch>
                  </pic:blipFill>
                  <pic:spPr bwMode="auto">
                    <a:xfrm>
                      <a:off x="0" y="0"/>
                      <a:ext cx="6567805" cy="6938010"/>
                    </a:xfrm>
                    <a:prstGeom prst="rect">
                      <a:avLst/>
                    </a:prstGeom>
                    <a:noFill/>
                    <a:ln w="9525">
                      <a:noFill/>
                      <a:miter lim="800000"/>
                      <a:headEnd/>
                      <a:tailEnd/>
                    </a:ln>
                  </pic:spPr>
                </pic:pic>
              </a:graphicData>
            </a:graphic>
          </wp:anchor>
        </w:drawing>
      </w:r>
    </w:p>
    <w:p w:rsidR="0004332B" w:rsidRDefault="0004332B">
      <w:r>
        <w:br w:type="page"/>
      </w:r>
    </w:p>
    <w:p w:rsidR="0004332B" w:rsidRDefault="0004332B" w:rsidP="00626EDC">
      <w:pPr>
        <w:pStyle w:val="Singlespacedparagraph"/>
      </w:pPr>
    </w:p>
    <w:p w:rsidR="0004332B" w:rsidRDefault="007A7B4A" w:rsidP="00626EDC">
      <w:pPr>
        <w:pStyle w:val="Singlespacedparagraph"/>
      </w:pPr>
      <w:r>
        <w:rPr>
          <w:noProof/>
          <w:lang w:eastAsia="en-NZ"/>
        </w:rPr>
        <w:drawing>
          <wp:anchor distT="0" distB="0" distL="114300" distR="114300" simplePos="0" relativeHeight="251674624" behindDoc="0" locked="0" layoutInCell="1" allowOverlap="1">
            <wp:simplePos x="0" y="0"/>
            <wp:positionH relativeFrom="column">
              <wp:posOffset>-523240</wp:posOffset>
            </wp:positionH>
            <wp:positionV relativeFrom="paragraph">
              <wp:posOffset>390525</wp:posOffset>
            </wp:positionV>
            <wp:extent cx="6682105" cy="5496560"/>
            <wp:effectExtent l="19050" t="0" r="4445" b="0"/>
            <wp:wrapSquare wrapText="bothSides"/>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32" cstate="print"/>
                    <a:srcRect/>
                    <a:stretch>
                      <a:fillRect/>
                    </a:stretch>
                  </pic:blipFill>
                  <pic:spPr bwMode="auto">
                    <a:xfrm>
                      <a:off x="0" y="0"/>
                      <a:ext cx="6682105" cy="5496560"/>
                    </a:xfrm>
                    <a:prstGeom prst="rect">
                      <a:avLst/>
                    </a:prstGeom>
                    <a:noFill/>
                    <a:ln w="9525">
                      <a:noFill/>
                      <a:miter lim="800000"/>
                      <a:headEnd/>
                      <a:tailEnd/>
                    </a:ln>
                  </pic:spPr>
                </pic:pic>
              </a:graphicData>
            </a:graphic>
          </wp:anchor>
        </w:drawing>
      </w:r>
    </w:p>
    <w:p w:rsidR="00626EDC" w:rsidRDefault="00626EDC" w:rsidP="00626EDC">
      <w:pPr>
        <w:pStyle w:val="Singlespacedparagraph"/>
        <w:sectPr w:rsidR="00626EDC" w:rsidSect="0005720D">
          <w:pgSz w:w="11907" w:h="16840" w:code="9"/>
          <w:pgMar w:top="1440" w:right="1440" w:bottom="1440" w:left="1440" w:header="1134" w:footer="431" w:gutter="0"/>
          <w:cols w:space="720"/>
          <w:docGrid w:linePitch="326"/>
        </w:sectPr>
      </w:pPr>
    </w:p>
    <w:p w:rsidR="00626EDC" w:rsidRDefault="00626EDC" w:rsidP="00626EDC">
      <w:pPr>
        <w:pStyle w:val="Heading1"/>
        <w:spacing w:line="264" w:lineRule="auto"/>
        <w:jc w:val="center"/>
      </w:pPr>
      <w:bookmarkStart w:id="720" w:name="_Toc328596071"/>
      <w:bookmarkStart w:id="721" w:name="_Toc329301645"/>
      <w:r>
        <w:t>Schedule 5b</w:t>
      </w:r>
      <w:r w:rsidRPr="00604256">
        <w:tab/>
      </w:r>
      <w:r w:rsidRPr="00604256">
        <w:tab/>
        <w:t xml:space="preserve">Report on </w:t>
      </w:r>
      <w:r>
        <w:t>Related Party Transactions</w:t>
      </w:r>
      <w:bookmarkEnd w:id="720"/>
      <w:bookmarkEnd w:id="721"/>
    </w:p>
    <w:p w:rsidR="00626EDC" w:rsidRDefault="005321E7" w:rsidP="00626EDC">
      <w:pPr>
        <w:pStyle w:val="Singlespacedparagraph"/>
      </w:pPr>
      <w:r>
        <w:rPr>
          <w:noProof/>
          <w:lang w:eastAsia="en-NZ"/>
        </w:rPr>
        <w:drawing>
          <wp:anchor distT="0" distB="0" distL="114300" distR="114300" simplePos="0" relativeHeight="251675648" behindDoc="0" locked="0" layoutInCell="1" allowOverlap="1">
            <wp:simplePos x="0" y="0"/>
            <wp:positionH relativeFrom="column">
              <wp:posOffset>-662305</wp:posOffset>
            </wp:positionH>
            <wp:positionV relativeFrom="paragraph">
              <wp:posOffset>83185</wp:posOffset>
            </wp:positionV>
            <wp:extent cx="7096760" cy="7556500"/>
            <wp:effectExtent l="19050" t="0" r="8890" b="0"/>
            <wp:wrapSquare wrapText="bothSides"/>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33" cstate="print"/>
                    <a:srcRect/>
                    <a:stretch>
                      <a:fillRect/>
                    </a:stretch>
                  </pic:blipFill>
                  <pic:spPr bwMode="auto">
                    <a:xfrm>
                      <a:off x="0" y="0"/>
                      <a:ext cx="7096760" cy="7556500"/>
                    </a:xfrm>
                    <a:prstGeom prst="rect">
                      <a:avLst/>
                    </a:prstGeom>
                    <a:noFill/>
                    <a:ln w="9525">
                      <a:noFill/>
                      <a:miter lim="800000"/>
                      <a:headEnd/>
                      <a:tailEnd/>
                    </a:ln>
                  </pic:spPr>
                </pic:pic>
              </a:graphicData>
            </a:graphic>
          </wp:anchor>
        </w:drawing>
      </w:r>
    </w:p>
    <w:p w:rsidR="00626EDC" w:rsidRDefault="00626EDC" w:rsidP="00626EDC">
      <w:pPr>
        <w:pStyle w:val="Singlespacedparagraph"/>
      </w:pPr>
    </w:p>
    <w:p w:rsidR="00626EDC" w:rsidRDefault="00626EDC" w:rsidP="00626EDC">
      <w:pPr>
        <w:pStyle w:val="Singlespacedparagraph"/>
        <w:sectPr w:rsidR="00626EDC" w:rsidSect="0005720D">
          <w:pgSz w:w="11907" w:h="16840" w:code="9"/>
          <w:pgMar w:top="1440" w:right="1440" w:bottom="1440" w:left="1440" w:header="1134" w:footer="431" w:gutter="0"/>
          <w:cols w:space="720"/>
          <w:docGrid w:linePitch="326"/>
        </w:sectPr>
      </w:pPr>
    </w:p>
    <w:p w:rsidR="00626EDC" w:rsidRDefault="00626EDC" w:rsidP="00626EDC">
      <w:pPr>
        <w:pStyle w:val="Heading1"/>
        <w:spacing w:line="264" w:lineRule="auto"/>
        <w:jc w:val="center"/>
      </w:pPr>
      <w:bookmarkStart w:id="722" w:name="_Toc328596072"/>
      <w:bookmarkStart w:id="723" w:name="_Toc329301646"/>
      <w:r>
        <w:t>Schedule 5c</w:t>
      </w:r>
      <w:r w:rsidRPr="00604256">
        <w:tab/>
      </w:r>
      <w:r w:rsidRPr="00604256">
        <w:tab/>
        <w:t xml:space="preserve">Report on </w:t>
      </w:r>
      <w:r>
        <w:t>Cost Allocations</w:t>
      </w:r>
      <w:bookmarkEnd w:id="722"/>
      <w:bookmarkEnd w:id="723"/>
    </w:p>
    <w:p w:rsidR="00626EDC" w:rsidRDefault="005321E7" w:rsidP="00626EDC">
      <w:pPr>
        <w:pStyle w:val="Singlespacedparagraph"/>
      </w:pPr>
      <w:r>
        <w:rPr>
          <w:noProof/>
          <w:lang w:eastAsia="en-NZ"/>
        </w:rPr>
        <w:drawing>
          <wp:anchor distT="0" distB="0" distL="114300" distR="114300" simplePos="0" relativeHeight="251676672" behindDoc="0" locked="0" layoutInCell="1" allowOverlap="1">
            <wp:simplePos x="0" y="0"/>
            <wp:positionH relativeFrom="column">
              <wp:posOffset>-578485</wp:posOffset>
            </wp:positionH>
            <wp:positionV relativeFrom="paragraph">
              <wp:posOffset>129540</wp:posOffset>
            </wp:positionV>
            <wp:extent cx="6937375" cy="7171055"/>
            <wp:effectExtent l="19050" t="0" r="0" b="0"/>
            <wp:wrapSquare wrapText="bothSides"/>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34" cstate="print"/>
                    <a:srcRect/>
                    <a:stretch>
                      <a:fillRect/>
                    </a:stretch>
                  </pic:blipFill>
                  <pic:spPr bwMode="auto">
                    <a:xfrm>
                      <a:off x="0" y="0"/>
                      <a:ext cx="6937375" cy="7171055"/>
                    </a:xfrm>
                    <a:prstGeom prst="rect">
                      <a:avLst/>
                    </a:prstGeom>
                    <a:noFill/>
                    <a:ln w="9525">
                      <a:noFill/>
                      <a:miter lim="800000"/>
                      <a:headEnd/>
                      <a:tailEnd/>
                    </a:ln>
                  </pic:spPr>
                </pic:pic>
              </a:graphicData>
            </a:graphic>
          </wp:anchor>
        </w:drawing>
      </w:r>
    </w:p>
    <w:p w:rsidR="005321E7" w:rsidRDefault="005321E7">
      <w:r>
        <w:br w:type="page"/>
      </w:r>
    </w:p>
    <w:p w:rsidR="005321E7" w:rsidRDefault="005321E7" w:rsidP="00626EDC">
      <w:pPr>
        <w:pStyle w:val="Singlespacedparagraph"/>
      </w:pPr>
      <w:r w:rsidRPr="005321E7">
        <w:rPr>
          <w:noProof/>
          <w:lang w:eastAsia="en-NZ"/>
        </w:rPr>
        <w:drawing>
          <wp:anchor distT="0" distB="0" distL="114300" distR="114300" simplePos="0" relativeHeight="251677696" behindDoc="0" locked="0" layoutInCell="1" allowOverlap="1">
            <wp:simplePos x="0" y="0"/>
            <wp:positionH relativeFrom="column">
              <wp:posOffset>-939800</wp:posOffset>
            </wp:positionH>
            <wp:positionV relativeFrom="paragraph">
              <wp:posOffset>1708150</wp:posOffset>
            </wp:positionV>
            <wp:extent cx="7607935" cy="4660265"/>
            <wp:effectExtent l="0" t="1447800" r="0" b="1473835"/>
            <wp:wrapSquare wrapText="bothSides"/>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35" cstate="print"/>
                    <a:srcRect/>
                    <a:stretch>
                      <a:fillRect/>
                    </a:stretch>
                  </pic:blipFill>
                  <pic:spPr bwMode="auto">
                    <a:xfrm rot="16200000">
                      <a:off x="0" y="0"/>
                      <a:ext cx="7607935" cy="4660265"/>
                    </a:xfrm>
                    <a:prstGeom prst="rect">
                      <a:avLst/>
                    </a:prstGeom>
                    <a:noFill/>
                    <a:ln w="9525">
                      <a:noFill/>
                      <a:miter lim="800000"/>
                      <a:headEnd/>
                      <a:tailEnd/>
                    </a:ln>
                  </pic:spPr>
                </pic:pic>
              </a:graphicData>
            </a:graphic>
          </wp:anchor>
        </w:drawing>
      </w:r>
    </w:p>
    <w:p w:rsidR="005321E7" w:rsidRDefault="005321E7" w:rsidP="00626EDC">
      <w:pPr>
        <w:pStyle w:val="Singlespacedparagraph"/>
      </w:pPr>
    </w:p>
    <w:p w:rsidR="00626EDC" w:rsidRDefault="00626EDC" w:rsidP="00626EDC">
      <w:pPr>
        <w:pStyle w:val="Singlespacedparagraph"/>
        <w:sectPr w:rsidR="00626EDC" w:rsidSect="0005720D">
          <w:pgSz w:w="11907" w:h="16840" w:code="9"/>
          <w:pgMar w:top="1440" w:right="1440" w:bottom="1440" w:left="1440" w:header="1134" w:footer="431" w:gutter="0"/>
          <w:cols w:space="720"/>
          <w:docGrid w:linePitch="326"/>
        </w:sectPr>
      </w:pPr>
    </w:p>
    <w:p w:rsidR="00626EDC" w:rsidRDefault="00E95077" w:rsidP="00626EDC">
      <w:pPr>
        <w:pStyle w:val="Heading1"/>
        <w:spacing w:line="264" w:lineRule="auto"/>
        <w:jc w:val="center"/>
      </w:pPr>
      <w:bookmarkStart w:id="724" w:name="_Toc328596073"/>
      <w:r>
        <w:rPr>
          <w:noProof/>
          <w:lang w:eastAsia="en-NZ"/>
        </w:rPr>
        <w:drawing>
          <wp:anchor distT="0" distB="0" distL="114300" distR="114300" simplePos="0" relativeHeight="251678720" behindDoc="0" locked="0" layoutInCell="1" allowOverlap="1">
            <wp:simplePos x="0" y="0"/>
            <wp:positionH relativeFrom="column">
              <wp:posOffset>-914400</wp:posOffset>
            </wp:positionH>
            <wp:positionV relativeFrom="paragraph">
              <wp:posOffset>1518285</wp:posOffset>
            </wp:positionV>
            <wp:extent cx="7582535" cy="5584825"/>
            <wp:effectExtent l="0" t="971550" r="0" b="1006475"/>
            <wp:wrapSquare wrapText="bothSides"/>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36" cstate="print"/>
                    <a:srcRect/>
                    <a:stretch>
                      <a:fillRect/>
                    </a:stretch>
                  </pic:blipFill>
                  <pic:spPr bwMode="auto">
                    <a:xfrm rot="16200000">
                      <a:off x="0" y="0"/>
                      <a:ext cx="7582535" cy="5584825"/>
                    </a:xfrm>
                    <a:prstGeom prst="rect">
                      <a:avLst/>
                    </a:prstGeom>
                    <a:noFill/>
                    <a:ln w="9525">
                      <a:noFill/>
                      <a:miter lim="800000"/>
                      <a:headEnd/>
                      <a:tailEnd/>
                    </a:ln>
                  </pic:spPr>
                </pic:pic>
              </a:graphicData>
            </a:graphic>
          </wp:anchor>
        </w:drawing>
      </w:r>
      <w:bookmarkStart w:id="725" w:name="_Toc329301647"/>
      <w:r w:rsidR="00626EDC">
        <w:t>Schedule 5d</w:t>
      </w:r>
      <w:r w:rsidR="00626EDC" w:rsidRPr="00604256">
        <w:tab/>
      </w:r>
      <w:r w:rsidR="00626EDC" w:rsidRPr="00604256">
        <w:tab/>
        <w:t xml:space="preserve">Report </w:t>
      </w:r>
      <w:r w:rsidR="00626EDC">
        <w:t>Supporting Cost Allocations</w:t>
      </w:r>
      <w:bookmarkEnd w:id="724"/>
      <w:bookmarkEnd w:id="725"/>
    </w:p>
    <w:p w:rsidR="00626EDC" w:rsidRDefault="00626EDC" w:rsidP="00626EDC">
      <w:pPr>
        <w:pStyle w:val="Singlespacedparagraph"/>
      </w:pPr>
    </w:p>
    <w:p w:rsidR="00626EDC" w:rsidRDefault="00626EDC" w:rsidP="00626EDC">
      <w:pPr>
        <w:pStyle w:val="Singlespacedparagraph"/>
      </w:pPr>
    </w:p>
    <w:p w:rsidR="00E95077" w:rsidRDefault="00E95077">
      <w:r>
        <w:br w:type="page"/>
      </w:r>
    </w:p>
    <w:p w:rsidR="00E95077" w:rsidRDefault="007A7B4A" w:rsidP="00626EDC">
      <w:pPr>
        <w:pStyle w:val="Singlespacedparagraph"/>
      </w:pPr>
      <w:r>
        <w:rPr>
          <w:noProof/>
          <w:lang w:eastAsia="en-NZ"/>
        </w:rPr>
        <w:drawing>
          <wp:anchor distT="0" distB="0" distL="114300" distR="114300" simplePos="0" relativeHeight="251679744" behindDoc="0" locked="0" layoutInCell="1" allowOverlap="1">
            <wp:simplePos x="0" y="0"/>
            <wp:positionH relativeFrom="column">
              <wp:posOffset>-1190625</wp:posOffset>
            </wp:positionH>
            <wp:positionV relativeFrom="paragraph">
              <wp:posOffset>2711450</wp:posOffset>
            </wp:positionV>
            <wp:extent cx="8282305" cy="2546985"/>
            <wp:effectExtent l="0" t="2857500" r="0" b="2863215"/>
            <wp:wrapSquare wrapText="bothSides"/>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37" cstate="print"/>
                    <a:srcRect/>
                    <a:stretch>
                      <a:fillRect/>
                    </a:stretch>
                  </pic:blipFill>
                  <pic:spPr bwMode="auto">
                    <a:xfrm rot="16200000">
                      <a:off x="0" y="0"/>
                      <a:ext cx="8282305" cy="2546985"/>
                    </a:xfrm>
                    <a:prstGeom prst="rect">
                      <a:avLst/>
                    </a:prstGeom>
                    <a:noFill/>
                    <a:ln w="9525">
                      <a:noFill/>
                      <a:miter lim="800000"/>
                      <a:headEnd/>
                      <a:tailEnd/>
                    </a:ln>
                  </pic:spPr>
                </pic:pic>
              </a:graphicData>
            </a:graphic>
          </wp:anchor>
        </w:drawing>
      </w:r>
    </w:p>
    <w:p w:rsidR="00E95077" w:rsidRDefault="00E95077" w:rsidP="00626EDC">
      <w:pPr>
        <w:pStyle w:val="Singlespacedparagraph"/>
      </w:pPr>
    </w:p>
    <w:p w:rsidR="00626EDC" w:rsidRDefault="00626EDC" w:rsidP="00626EDC">
      <w:pPr>
        <w:pStyle w:val="BodyText"/>
        <w:sectPr w:rsidR="00626EDC" w:rsidSect="0005720D">
          <w:pgSz w:w="11907" w:h="16840" w:code="9"/>
          <w:pgMar w:top="1440" w:right="1440" w:bottom="1440" w:left="1440" w:header="1134" w:footer="431" w:gutter="0"/>
          <w:cols w:space="720"/>
          <w:docGrid w:linePitch="326"/>
        </w:sectPr>
      </w:pPr>
    </w:p>
    <w:p w:rsidR="00D01588" w:rsidRDefault="00626EDC" w:rsidP="00D01588">
      <w:pPr>
        <w:pStyle w:val="Heading1"/>
        <w:spacing w:line="264" w:lineRule="auto"/>
        <w:jc w:val="center"/>
      </w:pPr>
      <w:bookmarkStart w:id="726" w:name="_Toc328596074"/>
      <w:bookmarkStart w:id="727" w:name="_Toc329301648"/>
      <w:r>
        <w:t>Schedule 6</w:t>
      </w:r>
      <w:r w:rsidRPr="00604256">
        <w:tab/>
      </w:r>
      <w:r w:rsidRPr="00604256">
        <w:tab/>
        <w:t xml:space="preserve">Report on </w:t>
      </w:r>
      <w:r>
        <w:t>Capital Expenditure for the Disclosure Year</w:t>
      </w:r>
      <w:bookmarkEnd w:id="726"/>
      <w:r w:rsidR="00D01588" w:rsidRPr="00D01588">
        <w:rPr>
          <w:noProof/>
          <w:lang w:eastAsia="en-NZ"/>
        </w:rPr>
        <w:drawing>
          <wp:anchor distT="0" distB="0" distL="114300" distR="114300" simplePos="0" relativeHeight="251680768" behindDoc="0" locked="0" layoutInCell="1" allowOverlap="1">
            <wp:simplePos x="0" y="0"/>
            <wp:positionH relativeFrom="column">
              <wp:posOffset>383540</wp:posOffset>
            </wp:positionH>
            <wp:positionV relativeFrom="paragraph">
              <wp:posOffset>300355</wp:posOffset>
            </wp:positionV>
            <wp:extent cx="4996180" cy="8533765"/>
            <wp:effectExtent l="19050" t="0" r="0" b="0"/>
            <wp:wrapSquare wrapText="bothSides"/>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38" cstate="print"/>
                    <a:srcRect/>
                    <a:stretch>
                      <a:fillRect/>
                    </a:stretch>
                  </pic:blipFill>
                  <pic:spPr bwMode="auto">
                    <a:xfrm>
                      <a:off x="0" y="0"/>
                      <a:ext cx="4996180" cy="8533765"/>
                    </a:xfrm>
                    <a:prstGeom prst="rect">
                      <a:avLst/>
                    </a:prstGeom>
                    <a:noFill/>
                    <a:ln w="9525">
                      <a:noFill/>
                      <a:miter lim="800000"/>
                      <a:headEnd/>
                      <a:tailEnd/>
                    </a:ln>
                  </pic:spPr>
                </pic:pic>
              </a:graphicData>
            </a:graphic>
          </wp:anchor>
        </w:drawing>
      </w:r>
      <w:bookmarkEnd w:id="727"/>
    </w:p>
    <w:p w:rsidR="00D01588" w:rsidRDefault="00D01588" w:rsidP="00626EDC">
      <w:pPr>
        <w:pStyle w:val="Singlespacedparagraph"/>
      </w:pPr>
      <w:r w:rsidRPr="00D01588">
        <w:rPr>
          <w:noProof/>
          <w:lang w:eastAsia="en-NZ"/>
        </w:rPr>
        <w:drawing>
          <wp:inline distT="0" distB="0" distL="0" distR="0">
            <wp:extent cx="5732145" cy="8524078"/>
            <wp:effectExtent l="19050" t="0" r="1905" b="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39" cstate="print"/>
                    <a:srcRect/>
                    <a:stretch>
                      <a:fillRect/>
                    </a:stretch>
                  </pic:blipFill>
                  <pic:spPr bwMode="auto">
                    <a:xfrm>
                      <a:off x="0" y="0"/>
                      <a:ext cx="5732145" cy="8524078"/>
                    </a:xfrm>
                    <a:prstGeom prst="rect">
                      <a:avLst/>
                    </a:prstGeom>
                    <a:noFill/>
                    <a:ln w="9525">
                      <a:noFill/>
                      <a:miter lim="800000"/>
                      <a:headEnd/>
                      <a:tailEnd/>
                    </a:ln>
                  </pic:spPr>
                </pic:pic>
              </a:graphicData>
            </a:graphic>
          </wp:inline>
        </w:drawing>
      </w:r>
    </w:p>
    <w:p w:rsidR="00D01588" w:rsidRDefault="00D01588" w:rsidP="00626EDC">
      <w:pPr>
        <w:pStyle w:val="Singlespacedparagraph"/>
      </w:pPr>
      <w:r w:rsidRPr="00D01588">
        <w:rPr>
          <w:noProof/>
          <w:lang w:eastAsia="en-NZ"/>
        </w:rPr>
        <w:drawing>
          <wp:inline distT="0" distB="0" distL="0" distR="0">
            <wp:extent cx="5732145" cy="6144641"/>
            <wp:effectExtent l="19050" t="0" r="1905" b="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40" cstate="print"/>
                    <a:srcRect/>
                    <a:stretch>
                      <a:fillRect/>
                    </a:stretch>
                  </pic:blipFill>
                  <pic:spPr bwMode="auto">
                    <a:xfrm>
                      <a:off x="0" y="0"/>
                      <a:ext cx="5732145" cy="6144641"/>
                    </a:xfrm>
                    <a:prstGeom prst="rect">
                      <a:avLst/>
                    </a:prstGeom>
                    <a:noFill/>
                    <a:ln w="9525">
                      <a:noFill/>
                      <a:miter lim="800000"/>
                      <a:headEnd/>
                      <a:tailEnd/>
                    </a:ln>
                  </pic:spPr>
                </pic:pic>
              </a:graphicData>
            </a:graphic>
          </wp:inline>
        </w:drawing>
      </w:r>
    </w:p>
    <w:p w:rsidR="00D01588" w:rsidRDefault="00D01588" w:rsidP="00626EDC">
      <w:pPr>
        <w:pStyle w:val="Singlespacedparagraph"/>
      </w:pPr>
    </w:p>
    <w:p w:rsidR="00D01588" w:rsidRDefault="00D01588" w:rsidP="00626EDC">
      <w:pPr>
        <w:pStyle w:val="Singlespacedparagraph"/>
        <w:sectPr w:rsidR="00D01588" w:rsidSect="0005720D">
          <w:pgSz w:w="11907" w:h="16840" w:code="9"/>
          <w:pgMar w:top="1440" w:right="1440" w:bottom="1440" w:left="1440" w:header="1134" w:footer="431" w:gutter="0"/>
          <w:cols w:space="720"/>
          <w:docGrid w:linePitch="326"/>
        </w:sectPr>
      </w:pPr>
    </w:p>
    <w:p w:rsidR="00626EDC" w:rsidRDefault="00D01588" w:rsidP="00626EDC">
      <w:pPr>
        <w:pStyle w:val="Heading1"/>
        <w:spacing w:line="264" w:lineRule="auto"/>
        <w:jc w:val="center"/>
      </w:pPr>
      <w:bookmarkStart w:id="728" w:name="_Toc328596075"/>
      <w:r>
        <w:rPr>
          <w:noProof/>
          <w:lang w:eastAsia="en-NZ"/>
        </w:rPr>
        <w:drawing>
          <wp:anchor distT="0" distB="0" distL="114300" distR="114300" simplePos="0" relativeHeight="251681792" behindDoc="0" locked="0" layoutInCell="1" allowOverlap="1">
            <wp:simplePos x="0" y="0"/>
            <wp:positionH relativeFrom="column">
              <wp:posOffset>-759460</wp:posOffset>
            </wp:positionH>
            <wp:positionV relativeFrom="paragraph">
              <wp:posOffset>2004695</wp:posOffset>
            </wp:positionV>
            <wp:extent cx="7193915" cy="4365625"/>
            <wp:effectExtent l="0" t="1390650" r="0" b="1406525"/>
            <wp:wrapSquare wrapText="bothSides"/>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41" cstate="print"/>
                    <a:srcRect/>
                    <a:stretch>
                      <a:fillRect/>
                    </a:stretch>
                  </pic:blipFill>
                  <pic:spPr bwMode="auto">
                    <a:xfrm rot="16200000">
                      <a:off x="0" y="0"/>
                      <a:ext cx="7193915" cy="4365625"/>
                    </a:xfrm>
                    <a:prstGeom prst="rect">
                      <a:avLst/>
                    </a:prstGeom>
                    <a:noFill/>
                    <a:ln w="9525">
                      <a:noFill/>
                      <a:miter lim="800000"/>
                      <a:headEnd/>
                      <a:tailEnd/>
                    </a:ln>
                  </pic:spPr>
                </pic:pic>
              </a:graphicData>
            </a:graphic>
          </wp:anchor>
        </w:drawing>
      </w:r>
      <w:bookmarkStart w:id="729" w:name="_Toc329301649"/>
      <w:r w:rsidR="00626EDC">
        <w:t>Schedule 7</w:t>
      </w:r>
      <w:r w:rsidR="00626EDC">
        <w:tab/>
      </w:r>
      <w:r w:rsidR="00626EDC" w:rsidRPr="00604256">
        <w:t xml:space="preserve">Report on </w:t>
      </w:r>
      <w:r w:rsidR="00626EDC">
        <w:t>Operational Expenditure for the Disclosure Year</w:t>
      </w:r>
      <w:bookmarkEnd w:id="728"/>
      <w:bookmarkEnd w:id="729"/>
    </w:p>
    <w:p w:rsidR="00626EDC" w:rsidRDefault="00626EDC" w:rsidP="00626EDC">
      <w:pPr>
        <w:pStyle w:val="Singlespacedparagraph"/>
      </w:pPr>
    </w:p>
    <w:p w:rsidR="00626EDC" w:rsidRDefault="00626EDC" w:rsidP="00626EDC">
      <w:pPr>
        <w:pStyle w:val="Singlespacedparagraph"/>
      </w:pPr>
    </w:p>
    <w:p w:rsidR="00626EDC" w:rsidRDefault="00626EDC" w:rsidP="00626EDC">
      <w:pPr>
        <w:pStyle w:val="Singlespacedparagraph"/>
        <w:sectPr w:rsidR="00626EDC" w:rsidSect="0005720D">
          <w:pgSz w:w="11907" w:h="16840" w:code="9"/>
          <w:pgMar w:top="1440" w:right="1440" w:bottom="1440" w:left="1440" w:header="1134" w:footer="431" w:gutter="0"/>
          <w:cols w:space="720"/>
          <w:docGrid w:linePitch="326"/>
        </w:sectPr>
      </w:pPr>
    </w:p>
    <w:p w:rsidR="00626EDC" w:rsidRDefault="004D11F9" w:rsidP="00626EDC">
      <w:pPr>
        <w:pStyle w:val="Heading1"/>
        <w:spacing w:line="264" w:lineRule="auto"/>
        <w:jc w:val="center"/>
      </w:pPr>
      <w:bookmarkStart w:id="730" w:name="_Toc328596076"/>
      <w:r>
        <w:rPr>
          <w:noProof/>
          <w:lang w:eastAsia="en-NZ"/>
        </w:rPr>
        <w:drawing>
          <wp:anchor distT="0" distB="0" distL="114300" distR="114300" simplePos="0" relativeHeight="251682816" behindDoc="0" locked="0" layoutInCell="1" allowOverlap="1">
            <wp:simplePos x="0" y="0"/>
            <wp:positionH relativeFrom="column">
              <wp:posOffset>-965835</wp:posOffset>
            </wp:positionH>
            <wp:positionV relativeFrom="paragraph">
              <wp:posOffset>1661160</wp:posOffset>
            </wp:positionV>
            <wp:extent cx="7444105" cy="5492115"/>
            <wp:effectExtent l="0" t="952500" r="0" b="984885"/>
            <wp:wrapSquare wrapText="bothSides"/>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42" cstate="print"/>
                    <a:srcRect/>
                    <a:stretch>
                      <a:fillRect/>
                    </a:stretch>
                  </pic:blipFill>
                  <pic:spPr bwMode="auto">
                    <a:xfrm rot="16200000">
                      <a:off x="0" y="0"/>
                      <a:ext cx="7444105" cy="5492115"/>
                    </a:xfrm>
                    <a:prstGeom prst="rect">
                      <a:avLst/>
                    </a:prstGeom>
                    <a:noFill/>
                    <a:ln w="9525">
                      <a:noFill/>
                      <a:miter lim="800000"/>
                      <a:headEnd/>
                      <a:tailEnd/>
                    </a:ln>
                  </pic:spPr>
                </pic:pic>
              </a:graphicData>
            </a:graphic>
          </wp:anchor>
        </w:drawing>
      </w:r>
      <w:bookmarkStart w:id="731" w:name="_Toc329301650"/>
      <w:r w:rsidR="00626EDC">
        <w:t>Schedule 8a</w:t>
      </w:r>
      <w:r w:rsidR="00626EDC" w:rsidRPr="00604256">
        <w:tab/>
      </w:r>
      <w:r w:rsidR="00626EDC" w:rsidRPr="00604256">
        <w:tab/>
        <w:t xml:space="preserve">Report on </w:t>
      </w:r>
      <w:r w:rsidR="00626EDC">
        <w:t>Billed Quantities and Line Charge Revenues (by Type of Charge)</w:t>
      </w:r>
      <w:bookmarkEnd w:id="730"/>
      <w:bookmarkEnd w:id="731"/>
    </w:p>
    <w:p w:rsidR="00626EDC" w:rsidRDefault="00626EDC" w:rsidP="00626EDC">
      <w:pPr>
        <w:pStyle w:val="Singlespacedparagraph"/>
      </w:pPr>
    </w:p>
    <w:p w:rsidR="00626EDC" w:rsidRDefault="00626EDC" w:rsidP="00626EDC">
      <w:pPr>
        <w:pStyle w:val="Singlespacedparagraph"/>
      </w:pPr>
    </w:p>
    <w:p w:rsidR="004D11F9" w:rsidRDefault="004D11F9" w:rsidP="00626EDC">
      <w:pPr>
        <w:pStyle w:val="Singlespacedparagraph"/>
        <w:sectPr w:rsidR="004D11F9" w:rsidSect="0005720D">
          <w:pgSz w:w="11907" w:h="16840" w:code="9"/>
          <w:pgMar w:top="1440" w:right="1440" w:bottom="1440" w:left="1440" w:header="1134" w:footer="431" w:gutter="0"/>
          <w:cols w:space="720"/>
          <w:docGrid w:linePitch="326"/>
        </w:sectPr>
      </w:pPr>
    </w:p>
    <w:p w:rsidR="00626EDC" w:rsidRDefault="00E8636F" w:rsidP="00626EDC">
      <w:pPr>
        <w:pStyle w:val="Heading1"/>
        <w:spacing w:line="264" w:lineRule="auto"/>
        <w:jc w:val="center"/>
      </w:pPr>
      <w:bookmarkStart w:id="732" w:name="_Toc328596077"/>
      <w:r>
        <w:rPr>
          <w:noProof/>
          <w:lang w:eastAsia="en-NZ"/>
        </w:rPr>
        <w:drawing>
          <wp:anchor distT="0" distB="0" distL="114300" distR="114300" simplePos="0" relativeHeight="251683840" behindDoc="0" locked="0" layoutInCell="1" allowOverlap="1">
            <wp:simplePos x="0" y="0"/>
            <wp:positionH relativeFrom="column">
              <wp:posOffset>-956945</wp:posOffset>
            </wp:positionH>
            <wp:positionV relativeFrom="paragraph">
              <wp:posOffset>2404745</wp:posOffset>
            </wp:positionV>
            <wp:extent cx="7513320" cy="3896360"/>
            <wp:effectExtent l="0" t="1790700" r="0" b="1799590"/>
            <wp:wrapSquare wrapText="bothSides"/>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43" cstate="print"/>
                    <a:srcRect/>
                    <a:stretch>
                      <a:fillRect/>
                    </a:stretch>
                  </pic:blipFill>
                  <pic:spPr bwMode="auto">
                    <a:xfrm rot="16200000">
                      <a:off x="0" y="0"/>
                      <a:ext cx="7513320" cy="3896360"/>
                    </a:xfrm>
                    <a:prstGeom prst="rect">
                      <a:avLst/>
                    </a:prstGeom>
                    <a:noFill/>
                    <a:ln w="9525">
                      <a:noFill/>
                      <a:miter lim="800000"/>
                      <a:headEnd/>
                      <a:tailEnd/>
                    </a:ln>
                  </pic:spPr>
                </pic:pic>
              </a:graphicData>
            </a:graphic>
          </wp:anchor>
        </w:drawing>
      </w:r>
      <w:bookmarkStart w:id="733" w:name="_Toc329301651"/>
      <w:r w:rsidR="00626EDC">
        <w:t>Schedule 8b</w:t>
      </w:r>
      <w:r w:rsidR="00626EDC" w:rsidRPr="00604256">
        <w:tab/>
      </w:r>
      <w:r w:rsidR="00626EDC" w:rsidRPr="00604256">
        <w:tab/>
        <w:t xml:space="preserve">Report on </w:t>
      </w:r>
      <w:r w:rsidR="00626EDC">
        <w:t>Billed Quantities and Line Charge Revenues (by Consumer Type)</w:t>
      </w:r>
      <w:bookmarkEnd w:id="732"/>
      <w:bookmarkEnd w:id="733"/>
    </w:p>
    <w:p w:rsidR="00626EDC" w:rsidRDefault="00626EDC" w:rsidP="00626EDC">
      <w:pPr>
        <w:pStyle w:val="Singlespacedparagraph"/>
      </w:pPr>
    </w:p>
    <w:p w:rsidR="00E8636F" w:rsidRDefault="00E8636F">
      <w:r>
        <w:br w:type="page"/>
      </w:r>
    </w:p>
    <w:p w:rsidR="00626EDC" w:rsidRDefault="00E8636F" w:rsidP="00626EDC">
      <w:pPr>
        <w:pStyle w:val="Singlespacedparagraph"/>
      </w:pPr>
      <w:r>
        <w:rPr>
          <w:noProof/>
          <w:lang w:eastAsia="en-NZ"/>
        </w:rPr>
        <w:drawing>
          <wp:anchor distT="0" distB="0" distL="114300" distR="114300" simplePos="0" relativeHeight="251684864" behindDoc="0" locked="0" layoutInCell="1" allowOverlap="1">
            <wp:simplePos x="0" y="0"/>
            <wp:positionH relativeFrom="column">
              <wp:posOffset>-603885</wp:posOffset>
            </wp:positionH>
            <wp:positionV relativeFrom="paragraph">
              <wp:posOffset>1106170</wp:posOffset>
            </wp:positionV>
            <wp:extent cx="6943725" cy="4879975"/>
            <wp:effectExtent l="0" t="1009650" r="0" b="1025525"/>
            <wp:wrapSquare wrapText="bothSides"/>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44" cstate="print"/>
                    <a:srcRect/>
                    <a:stretch>
                      <a:fillRect/>
                    </a:stretch>
                  </pic:blipFill>
                  <pic:spPr bwMode="auto">
                    <a:xfrm rot="16200000">
                      <a:off x="0" y="0"/>
                      <a:ext cx="6943725" cy="4879975"/>
                    </a:xfrm>
                    <a:prstGeom prst="rect">
                      <a:avLst/>
                    </a:prstGeom>
                    <a:noFill/>
                    <a:ln w="9525">
                      <a:noFill/>
                      <a:miter lim="800000"/>
                      <a:headEnd/>
                      <a:tailEnd/>
                    </a:ln>
                  </pic:spPr>
                </pic:pic>
              </a:graphicData>
            </a:graphic>
          </wp:anchor>
        </w:drawing>
      </w:r>
    </w:p>
    <w:p w:rsidR="00E8636F" w:rsidRDefault="00E8636F" w:rsidP="00626EDC">
      <w:pPr>
        <w:pStyle w:val="Singlespacedparagraph"/>
      </w:pPr>
    </w:p>
    <w:p w:rsidR="00626EDC" w:rsidRDefault="00626EDC" w:rsidP="00626EDC">
      <w:pPr>
        <w:pStyle w:val="Singlespacedparagraph"/>
        <w:sectPr w:rsidR="00626EDC" w:rsidSect="00E8636F">
          <w:pgSz w:w="11907" w:h="16840" w:code="9"/>
          <w:pgMar w:top="1440" w:right="1440" w:bottom="1276" w:left="1440" w:header="1134" w:footer="431" w:gutter="0"/>
          <w:cols w:space="720"/>
          <w:docGrid w:linePitch="326"/>
        </w:sectPr>
      </w:pPr>
    </w:p>
    <w:p w:rsidR="00626EDC" w:rsidRDefault="00437B23" w:rsidP="00626EDC">
      <w:pPr>
        <w:pStyle w:val="Heading1"/>
        <w:spacing w:line="264" w:lineRule="auto"/>
        <w:jc w:val="center"/>
      </w:pPr>
      <w:bookmarkStart w:id="734" w:name="_Toc328596078"/>
      <w:r>
        <w:rPr>
          <w:noProof/>
          <w:lang w:eastAsia="en-NZ"/>
        </w:rPr>
        <w:drawing>
          <wp:anchor distT="0" distB="0" distL="114300" distR="114300" simplePos="0" relativeHeight="251685888" behindDoc="0" locked="0" layoutInCell="1" allowOverlap="1">
            <wp:simplePos x="0" y="0"/>
            <wp:positionH relativeFrom="column">
              <wp:posOffset>-802640</wp:posOffset>
            </wp:positionH>
            <wp:positionV relativeFrom="paragraph">
              <wp:posOffset>1656715</wp:posOffset>
            </wp:positionV>
            <wp:extent cx="7349490" cy="5135245"/>
            <wp:effectExtent l="0" t="1085850" r="0" b="1113155"/>
            <wp:wrapSquare wrapText="bothSides"/>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45" cstate="print"/>
                    <a:srcRect/>
                    <a:stretch>
                      <a:fillRect/>
                    </a:stretch>
                  </pic:blipFill>
                  <pic:spPr bwMode="auto">
                    <a:xfrm rot="16200000">
                      <a:off x="0" y="0"/>
                      <a:ext cx="7349490" cy="5135245"/>
                    </a:xfrm>
                    <a:prstGeom prst="rect">
                      <a:avLst/>
                    </a:prstGeom>
                    <a:noFill/>
                    <a:ln w="9525">
                      <a:noFill/>
                      <a:miter lim="800000"/>
                      <a:headEnd/>
                      <a:tailEnd/>
                    </a:ln>
                  </pic:spPr>
                </pic:pic>
              </a:graphicData>
            </a:graphic>
          </wp:anchor>
        </w:drawing>
      </w:r>
      <w:bookmarkStart w:id="735" w:name="_Toc329301652"/>
      <w:r w:rsidR="00626EDC">
        <w:t>Schedule 9a</w:t>
      </w:r>
      <w:r w:rsidR="00626EDC" w:rsidRPr="00604256">
        <w:tab/>
      </w:r>
      <w:r w:rsidR="00626EDC" w:rsidRPr="00604256">
        <w:tab/>
      </w:r>
      <w:r w:rsidR="00626EDC">
        <w:t>Asset Register</w:t>
      </w:r>
      <w:bookmarkEnd w:id="734"/>
      <w:bookmarkEnd w:id="735"/>
    </w:p>
    <w:p w:rsidR="00626EDC" w:rsidRDefault="00626EDC" w:rsidP="00626EDC">
      <w:pPr>
        <w:pStyle w:val="Singlespacedparagraph"/>
      </w:pPr>
    </w:p>
    <w:p w:rsidR="00626EDC" w:rsidRDefault="00626EDC" w:rsidP="00626EDC">
      <w:pPr>
        <w:pStyle w:val="Singlespacedparagraph"/>
      </w:pPr>
    </w:p>
    <w:p w:rsidR="00437B23" w:rsidRDefault="00437B23" w:rsidP="00626EDC">
      <w:pPr>
        <w:pStyle w:val="Singlespacedparagraph"/>
        <w:sectPr w:rsidR="00437B23" w:rsidSect="0005720D">
          <w:pgSz w:w="11907" w:h="16840" w:code="9"/>
          <w:pgMar w:top="1440" w:right="1440" w:bottom="1440" w:left="1440" w:header="1134" w:footer="431" w:gutter="0"/>
          <w:cols w:space="720"/>
          <w:docGrid w:linePitch="326"/>
        </w:sectPr>
      </w:pPr>
    </w:p>
    <w:p w:rsidR="00626EDC" w:rsidRDefault="00DD27CD" w:rsidP="00626EDC">
      <w:pPr>
        <w:pStyle w:val="Heading1"/>
        <w:spacing w:line="264" w:lineRule="auto"/>
        <w:jc w:val="center"/>
      </w:pPr>
      <w:bookmarkStart w:id="736" w:name="_Toc328596079"/>
      <w:r>
        <w:rPr>
          <w:noProof/>
          <w:lang w:eastAsia="en-NZ"/>
        </w:rPr>
        <w:drawing>
          <wp:anchor distT="0" distB="0" distL="114300" distR="114300" simplePos="0" relativeHeight="251686912" behindDoc="0" locked="0" layoutInCell="1" allowOverlap="1">
            <wp:simplePos x="0" y="0"/>
            <wp:positionH relativeFrom="column">
              <wp:posOffset>-788670</wp:posOffset>
            </wp:positionH>
            <wp:positionV relativeFrom="paragraph">
              <wp:posOffset>454025</wp:posOffset>
            </wp:positionV>
            <wp:extent cx="14599285" cy="4975225"/>
            <wp:effectExtent l="19050" t="0" r="0" b="0"/>
            <wp:wrapSquare wrapText="bothSides"/>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46" cstate="print"/>
                    <a:srcRect/>
                    <a:stretch>
                      <a:fillRect/>
                    </a:stretch>
                  </pic:blipFill>
                  <pic:spPr bwMode="auto">
                    <a:xfrm>
                      <a:off x="0" y="0"/>
                      <a:ext cx="14599285" cy="4975225"/>
                    </a:xfrm>
                    <a:prstGeom prst="rect">
                      <a:avLst/>
                    </a:prstGeom>
                    <a:noFill/>
                    <a:ln w="9525">
                      <a:noFill/>
                      <a:miter lim="800000"/>
                      <a:headEnd/>
                      <a:tailEnd/>
                    </a:ln>
                  </pic:spPr>
                </pic:pic>
              </a:graphicData>
            </a:graphic>
          </wp:anchor>
        </w:drawing>
      </w:r>
      <w:bookmarkStart w:id="737" w:name="_Toc329301653"/>
      <w:r w:rsidR="00626EDC">
        <w:t>Schedule 9b</w:t>
      </w:r>
      <w:r w:rsidR="00626EDC" w:rsidRPr="00604256">
        <w:tab/>
      </w:r>
      <w:r w:rsidR="00626EDC" w:rsidRPr="00604256">
        <w:tab/>
      </w:r>
      <w:r w:rsidR="00626EDC">
        <w:t>Asset Age Profile</w:t>
      </w:r>
      <w:bookmarkEnd w:id="736"/>
      <w:bookmarkEnd w:id="737"/>
    </w:p>
    <w:p w:rsidR="00626EDC" w:rsidRDefault="00626EDC" w:rsidP="00626EDC">
      <w:pPr>
        <w:pStyle w:val="Singlespacedparagraph"/>
      </w:pPr>
    </w:p>
    <w:p w:rsidR="00BE6737" w:rsidRDefault="00BE6737" w:rsidP="00626EDC">
      <w:pPr>
        <w:pStyle w:val="Singlespacedparagraph"/>
      </w:pPr>
    </w:p>
    <w:p w:rsidR="00437B23" w:rsidRDefault="00437B23" w:rsidP="00626EDC">
      <w:pPr>
        <w:pStyle w:val="Singlespacedparagraph"/>
      </w:pPr>
    </w:p>
    <w:p w:rsidR="00626EDC" w:rsidRDefault="00626EDC" w:rsidP="00626EDC">
      <w:pPr>
        <w:pStyle w:val="Singlespacedparagraph"/>
        <w:sectPr w:rsidR="00626EDC" w:rsidSect="00BE6737">
          <w:pgSz w:w="23814" w:h="16839" w:orient="landscape" w:code="8"/>
          <w:pgMar w:top="1440" w:right="1440" w:bottom="1440" w:left="1440" w:header="1134" w:footer="431" w:gutter="0"/>
          <w:cols w:space="720"/>
          <w:docGrid w:linePitch="326"/>
        </w:sectPr>
      </w:pPr>
    </w:p>
    <w:p w:rsidR="00626EDC" w:rsidRDefault="00DD27CD" w:rsidP="00626EDC">
      <w:pPr>
        <w:pStyle w:val="Heading1"/>
        <w:spacing w:line="264" w:lineRule="auto"/>
        <w:jc w:val="center"/>
      </w:pPr>
      <w:bookmarkStart w:id="738" w:name="_Toc328596080"/>
      <w:r>
        <w:rPr>
          <w:noProof/>
          <w:lang w:eastAsia="en-NZ"/>
        </w:rPr>
        <w:drawing>
          <wp:anchor distT="0" distB="0" distL="114300" distR="114300" simplePos="0" relativeHeight="251687936" behindDoc="0" locked="0" layoutInCell="1" allowOverlap="1">
            <wp:simplePos x="0" y="0"/>
            <wp:positionH relativeFrom="column">
              <wp:posOffset>-902970</wp:posOffset>
            </wp:positionH>
            <wp:positionV relativeFrom="paragraph">
              <wp:posOffset>2213610</wp:posOffset>
            </wp:positionV>
            <wp:extent cx="7635240" cy="4431665"/>
            <wp:effectExtent l="0" t="1581150" r="0" b="1607185"/>
            <wp:wrapSquare wrapText="bothSides"/>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47" cstate="print"/>
                    <a:srcRect/>
                    <a:stretch>
                      <a:fillRect/>
                    </a:stretch>
                  </pic:blipFill>
                  <pic:spPr bwMode="auto">
                    <a:xfrm rot="16200000">
                      <a:off x="0" y="0"/>
                      <a:ext cx="7635240" cy="4431665"/>
                    </a:xfrm>
                    <a:prstGeom prst="rect">
                      <a:avLst/>
                    </a:prstGeom>
                    <a:noFill/>
                    <a:ln w="9525">
                      <a:noFill/>
                      <a:miter lim="800000"/>
                      <a:headEnd/>
                      <a:tailEnd/>
                    </a:ln>
                  </pic:spPr>
                </pic:pic>
              </a:graphicData>
            </a:graphic>
          </wp:anchor>
        </w:drawing>
      </w:r>
      <w:bookmarkStart w:id="739" w:name="_Toc329301654"/>
      <w:r w:rsidR="00626EDC">
        <w:t>Schedule 9c</w:t>
      </w:r>
      <w:r w:rsidR="00626EDC" w:rsidRPr="00604256">
        <w:tab/>
      </w:r>
      <w:r w:rsidR="00626EDC" w:rsidRPr="00604256">
        <w:tab/>
      </w:r>
      <w:r w:rsidR="00626EDC">
        <w:t>Report on Pipeline Data</w:t>
      </w:r>
      <w:bookmarkEnd w:id="738"/>
      <w:bookmarkEnd w:id="739"/>
    </w:p>
    <w:p w:rsidR="00626EDC" w:rsidRDefault="00626EDC" w:rsidP="00626EDC">
      <w:pPr>
        <w:pStyle w:val="Singlespacedparagraph"/>
      </w:pPr>
    </w:p>
    <w:p w:rsidR="00DD27CD" w:rsidRDefault="00DD27CD" w:rsidP="00626EDC">
      <w:pPr>
        <w:pStyle w:val="Singlespacedparagraph"/>
      </w:pPr>
    </w:p>
    <w:p w:rsidR="00626EDC" w:rsidRDefault="00626EDC" w:rsidP="00626EDC">
      <w:pPr>
        <w:pStyle w:val="Singlespacedparagraph"/>
        <w:sectPr w:rsidR="00626EDC" w:rsidSect="0005720D">
          <w:pgSz w:w="11907" w:h="16840" w:code="9"/>
          <w:pgMar w:top="1440" w:right="1440" w:bottom="1440" w:left="1440" w:header="1134" w:footer="431" w:gutter="0"/>
          <w:cols w:space="720"/>
          <w:docGrid w:linePitch="326"/>
        </w:sectPr>
      </w:pPr>
    </w:p>
    <w:p w:rsidR="00626EDC" w:rsidRDefault="00626EDC" w:rsidP="00626EDC">
      <w:pPr>
        <w:pStyle w:val="Heading1"/>
        <w:spacing w:line="264" w:lineRule="auto"/>
        <w:jc w:val="center"/>
      </w:pPr>
      <w:bookmarkStart w:id="740" w:name="_Toc328596082"/>
      <w:bookmarkStart w:id="741" w:name="_Toc329301655"/>
      <w:r>
        <w:t>Schedule 9d</w:t>
      </w:r>
      <w:r w:rsidRPr="00604256">
        <w:tab/>
      </w:r>
      <w:r w:rsidRPr="00604256">
        <w:tab/>
      </w:r>
      <w:r>
        <w:t>Report on Demand</w:t>
      </w:r>
      <w:bookmarkEnd w:id="740"/>
      <w:bookmarkEnd w:id="741"/>
    </w:p>
    <w:p w:rsidR="00626EDC" w:rsidRDefault="00DD27CD" w:rsidP="00626EDC">
      <w:pPr>
        <w:pStyle w:val="Singlespacedparagraph"/>
      </w:pPr>
      <w:r>
        <w:rPr>
          <w:noProof/>
          <w:lang w:eastAsia="en-NZ"/>
        </w:rPr>
        <w:drawing>
          <wp:anchor distT="0" distB="0" distL="114300" distR="114300" simplePos="0" relativeHeight="251688960" behindDoc="0" locked="0" layoutInCell="1" allowOverlap="1">
            <wp:simplePos x="0" y="0"/>
            <wp:positionH relativeFrom="column">
              <wp:posOffset>-384810</wp:posOffset>
            </wp:positionH>
            <wp:positionV relativeFrom="paragraph">
              <wp:posOffset>317500</wp:posOffset>
            </wp:positionV>
            <wp:extent cx="6523990" cy="6436360"/>
            <wp:effectExtent l="19050" t="0" r="0" b="0"/>
            <wp:wrapSquare wrapText="bothSides"/>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48" cstate="print"/>
                    <a:srcRect/>
                    <a:stretch>
                      <a:fillRect/>
                    </a:stretch>
                  </pic:blipFill>
                  <pic:spPr bwMode="auto">
                    <a:xfrm>
                      <a:off x="0" y="0"/>
                      <a:ext cx="6523990" cy="6436360"/>
                    </a:xfrm>
                    <a:prstGeom prst="rect">
                      <a:avLst/>
                    </a:prstGeom>
                    <a:noFill/>
                    <a:ln w="9525">
                      <a:noFill/>
                      <a:miter lim="800000"/>
                      <a:headEnd/>
                      <a:tailEnd/>
                    </a:ln>
                  </pic:spPr>
                </pic:pic>
              </a:graphicData>
            </a:graphic>
          </wp:anchor>
        </w:drawing>
      </w:r>
    </w:p>
    <w:p w:rsidR="00DD27CD" w:rsidRDefault="00DD27CD" w:rsidP="00626EDC">
      <w:pPr>
        <w:pStyle w:val="Singlespacedparagraph"/>
      </w:pPr>
    </w:p>
    <w:p w:rsidR="00DD27CD" w:rsidRDefault="00DD27CD" w:rsidP="00626EDC">
      <w:pPr>
        <w:pStyle w:val="Singlespacedparagraph"/>
      </w:pPr>
    </w:p>
    <w:p w:rsidR="00626EDC" w:rsidRDefault="00626EDC" w:rsidP="00626EDC">
      <w:pPr>
        <w:pStyle w:val="Singlespacedparagraph"/>
        <w:sectPr w:rsidR="00626EDC" w:rsidSect="0005720D">
          <w:pgSz w:w="11907" w:h="16840" w:code="9"/>
          <w:pgMar w:top="1440" w:right="1440" w:bottom="1440" w:left="1440" w:header="1134" w:footer="431" w:gutter="0"/>
          <w:cols w:space="720"/>
          <w:docGrid w:linePitch="326"/>
        </w:sectPr>
      </w:pPr>
    </w:p>
    <w:p w:rsidR="00626EDC" w:rsidRDefault="00626EDC" w:rsidP="00626EDC">
      <w:pPr>
        <w:pStyle w:val="Heading1"/>
        <w:spacing w:line="264" w:lineRule="auto"/>
        <w:jc w:val="center"/>
      </w:pPr>
      <w:bookmarkStart w:id="742" w:name="_Toc328596083"/>
      <w:bookmarkStart w:id="743" w:name="_Toc329301656"/>
      <w:r>
        <w:t>Schedule 10</w:t>
      </w:r>
      <w:r w:rsidRPr="00604256">
        <w:tab/>
      </w:r>
      <w:r w:rsidRPr="00604256">
        <w:tab/>
      </w:r>
      <w:r>
        <w:t>Report on Network Reliability</w:t>
      </w:r>
      <w:bookmarkEnd w:id="742"/>
      <w:r>
        <w:t xml:space="preserve"> and Interruptions</w:t>
      </w:r>
      <w:bookmarkEnd w:id="743"/>
    </w:p>
    <w:p w:rsidR="00626EDC" w:rsidRDefault="00DD27CD" w:rsidP="00626EDC">
      <w:pPr>
        <w:pStyle w:val="Singlespacedparagraph"/>
      </w:pPr>
      <w:r>
        <w:rPr>
          <w:noProof/>
          <w:lang w:eastAsia="en-NZ"/>
        </w:rPr>
        <w:drawing>
          <wp:anchor distT="0" distB="0" distL="114300" distR="114300" simplePos="0" relativeHeight="251689984" behindDoc="0" locked="0" layoutInCell="1" allowOverlap="1">
            <wp:simplePos x="0" y="0"/>
            <wp:positionH relativeFrom="column">
              <wp:posOffset>-736600</wp:posOffset>
            </wp:positionH>
            <wp:positionV relativeFrom="paragraph">
              <wp:posOffset>365125</wp:posOffset>
            </wp:positionV>
            <wp:extent cx="7267575" cy="6847205"/>
            <wp:effectExtent l="0" t="190500" r="0" b="201295"/>
            <wp:wrapSquare wrapText="bothSides"/>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49" cstate="print"/>
                    <a:srcRect/>
                    <a:stretch>
                      <a:fillRect/>
                    </a:stretch>
                  </pic:blipFill>
                  <pic:spPr bwMode="auto">
                    <a:xfrm rot="16200000">
                      <a:off x="0" y="0"/>
                      <a:ext cx="7267575" cy="6847205"/>
                    </a:xfrm>
                    <a:prstGeom prst="rect">
                      <a:avLst/>
                    </a:prstGeom>
                    <a:noFill/>
                    <a:ln w="9525">
                      <a:noFill/>
                      <a:miter lim="800000"/>
                      <a:headEnd/>
                      <a:tailEnd/>
                    </a:ln>
                  </pic:spPr>
                </pic:pic>
              </a:graphicData>
            </a:graphic>
          </wp:anchor>
        </w:drawing>
      </w:r>
    </w:p>
    <w:p w:rsidR="00DD27CD" w:rsidRDefault="00DD27CD" w:rsidP="00626EDC">
      <w:pPr>
        <w:pStyle w:val="Singlespacedparagraph"/>
      </w:pPr>
    </w:p>
    <w:p w:rsidR="00626EDC" w:rsidRDefault="00626EDC" w:rsidP="00626EDC">
      <w:pPr>
        <w:pStyle w:val="Singlespacedparagraph"/>
        <w:sectPr w:rsidR="00626EDC" w:rsidSect="0005720D">
          <w:pgSz w:w="11907" w:h="16840" w:code="9"/>
          <w:pgMar w:top="1440" w:right="1440" w:bottom="1440" w:left="1440" w:header="1134" w:footer="431" w:gutter="0"/>
          <w:cols w:space="720"/>
          <w:docGrid w:linePitch="326"/>
        </w:sectPr>
      </w:pPr>
    </w:p>
    <w:p w:rsidR="00626EDC" w:rsidRDefault="007B7B1B" w:rsidP="00626EDC">
      <w:pPr>
        <w:pStyle w:val="Heading1"/>
        <w:spacing w:line="264" w:lineRule="auto"/>
        <w:jc w:val="center"/>
      </w:pPr>
      <w:bookmarkStart w:id="744" w:name="_Toc328596084"/>
      <w:r>
        <w:rPr>
          <w:noProof/>
          <w:lang w:eastAsia="en-NZ"/>
        </w:rPr>
        <w:drawing>
          <wp:anchor distT="0" distB="0" distL="114300" distR="114300" simplePos="0" relativeHeight="251691008" behindDoc="0" locked="0" layoutInCell="1" allowOverlap="1">
            <wp:simplePos x="0" y="0"/>
            <wp:positionH relativeFrom="column">
              <wp:posOffset>-1038225</wp:posOffset>
            </wp:positionH>
            <wp:positionV relativeFrom="paragraph">
              <wp:posOffset>1844675</wp:posOffset>
            </wp:positionV>
            <wp:extent cx="7806690" cy="4897755"/>
            <wp:effectExtent l="0" t="1428750" r="0" b="1445895"/>
            <wp:wrapSquare wrapText="bothSides"/>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50" cstate="print"/>
                    <a:srcRect/>
                    <a:stretch>
                      <a:fillRect/>
                    </a:stretch>
                  </pic:blipFill>
                  <pic:spPr bwMode="auto">
                    <a:xfrm rot="16200000">
                      <a:off x="0" y="0"/>
                      <a:ext cx="7806690" cy="4897755"/>
                    </a:xfrm>
                    <a:prstGeom prst="rect">
                      <a:avLst/>
                    </a:prstGeom>
                    <a:noFill/>
                    <a:ln w="9525">
                      <a:noFill/>
                      <a:miter lim="800000"/>
                      <a:headEnd/>
                      <a:tailEnd/>
                    </a:ln>
                  </pic:spPr>
                </pic:pic>
              </a:graphicData>
            </a:graphic>
          </wp:anchor>
        </w:drawing>
      </w:r>
      <w:bookmarkStart w:id="745" w:name="_Toc329301657"/>
      <w:r w:rsidR="00626EDC">
        <w:t>Schedule 10a</w:t>
      </w:r>
      <w:r w:rsidR="00626EDC">
        <w:tab/>
        <w:t xml:space="preserve">Report on Network </w:t>
      </w:r>
      <w:bookmarkEnd w:id="744"/>
      <w:r w:rsidR="00626EDC">
        <w:t>Integrity and Customer Service</w:t>
      </w:r>
      <w:bookmarkEnd w:id="745"/>
    </w:p>
    <w:p w:rsidR="00626EDC" w:rsidRDefault="00626EDC" w:rsidP="00626EDC">
      <w:pPr>
        <w:pStyle w:val="Singlespacedparagraph"/>
      </w:pPr>
    </w:p>
    <w:p w:rsidR="00DD27CD" w:rsidRDefault="007B7B1B" w:rsidP="00626EDC">
      <w:pPr>
        <w:pStyle w:val="Singlespacedparagraph"/>
      </w:pPr>
      <w:r>
        <w:rPr>
          <w:noProof/>
          <w:lang w:eastAsia="en-NZ"/>
        </w:rPr>
        <w:drawing>
          <wp:anchor distT="0" distB="0" distL="114300" distR="114300" simplePos="0" relativeHeight="251692032" behindDoc="0" locked="0" layoutInCell="1" allowOverlap="1">
            <wp:simplePos x="0" y="0"/>
            <wp:positionH relativeFrom="column">
              <wp:posOffset>-1080135</wp:posOffset>
            </wp:positionH>
            <wp:positionV relativeFrom="paragraph">
              <wp:posOffset>1930400</wp:posOffset>
            </wp:positionV>
            <wp:extent cx="8229600" cy="4057650"/>
            <wp:effectExtent l="0" t="2076450" r="0" b="2095500"/>
            <wp:wrapSquare wrapText="bothSides"/>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51" cstate="print"/>
                    <a:srcRect/>
                    <a:stretch>
                      <a:fillRect/>
                    </a:stretch>
                  </pic:blipFill>
                  <pic:spPr bwMode="auto">
                    <a:xfrm rot="16200000">
                      <a:off x="0" y="0"/>
                      <a:ext cx="8229600" cy="4057650"/>
                    </a:xfrm>
                    <a:prstGeom prst="rect">
                      <a:avLst/>
                    </a:prstGeom>
                    <a:noFill/>
                    <a:ln w="9525">
                      <a:noFill/>
                      <a:miter lim="800000"/>
                      <a:headEnd/>
                      <a:tailEnd/>
                    </a:ln>
                  </pic:spPr>
                </pic:pic>
              </a:graphicData>
            </a:graphic>
          </wp:anchor>
        </w:drawing>
      </w:r>
    </w:p>
    <w:p w:rsidR="00DD27CD" w:rsidRDefault="00DD27CD" w:rsidP="00626EDC">
      <w:pPr>
        <w:pStyle w:val="Singlespacedparagraph"/>
      </w:pPr>
    </w:p>
    <w:p w:rsidR="00626EDC" w:rsidRDefault="00626EDC" w:rsidP="00626EDC">
      <w:pPr>
        <w:pStyle w:val="Singlespacedparagraph"/>
        <w:sectPr w:rsidR="00626EDC" w:rsidSect="0005720D">
          <w:pgSz w:w="11907" w:h="16840" w:code="9"/>
          <w:pgMar w:top="1440" w:right="1440" w:bottom="1440" w:left="1440" w:header="1134" w:footer="431" w:gutter="0"/>
          <w:cols w:space="720"/>
          <w:docGrid w:linePitch="326"/>
        </w:sectPr>
      </w:pPr>
    </w:p>
    <w:p w:rsidR="00626EDC" w:rsidRDefault="00626EDC" w:rsidP="00626EDC">
      <w:pPr>
        <w:pStyle w:val="Heading1"/>
        <w:spacing w:line="264" w:lineRule="auto"/>
        <w:jc w:val="center"/>
      </w:pPr>
      <w:bookmarkStart w:id="746" w:name="_Toc328596085"/>
      <w:bookmarkStart w:id="747" w:name="_Toc329301658"/>
      <w:r>
        <w:t>Schedule 11a</w:t>
      </w:r>
      <w:r>
        <w:tab/>
        <w:t>Report on Forecast Capital Expenditure</w:t>
      </w:r>
      <w:bookmarkEnd w:id="746"/>
      <w:bookmarkEnd w:id="747"/>
    </w:p>
    <w:p w:rsidR="00626EDC" w:rsidRDefault="007B7B1B" w:rsidP="00626EDC">
      <w:pPr>
        <w:pStyle w:val="Singlespacedparagraph"/>
      </w:pPr>
      <w:r>
        <w:rPr>
          <w:noProof/>
          <w:lang w:eastAsia="en-NZ"/>
        </w:rPr>
        <w:drawing>
          <wp:anchor distT="0" distB="0" distL="114300" distR="114300" simplePos="0" relativeHeight="251693056" behindDoc="0" locked="0" layoutInCell="1" allowOverlap="1">
            <wp:simplePos x="0" y="0"/>
            <wp:positionH relativeFrom="column">
              <wp:posOffset>-392430</wp:posOffset>
            </wp:positionH>
            <wp:positionV relativeFrom="paragraph">
              <wp:posOffset>408305</wp:posOffset>
            </wp:positionV>
            <wp:extent cx="9982200" cy="9361170"/>
            <wp:effectExtent l="19050" t="0" r="0" b="0"/>
            <wp:wrapSquare wrapText="bothSides"/>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52" cstate="print"/>
                    <a:srcRect/>
                    <a:stretch>
                      <a:fillRect/>
                    </a:stretch>
                  </pic:blipFill>
                  <pic:spPr bwMode="auto">
                    <a:xfrm>
                      <a:off x="0" y="0"/>
                      <a:ext cx="9982200" cy="9361170"/>
                    </a:xfrm>
                    <a:prstGeom prst="rect">
                      <a:avLst/>
                    </a:prstGeom>
                    <a:noFill/>
                    <a:ln w="9525">
                      <a:noFill/>
                      <a:miter lim="800000"/>
                      <a:headEnd/>
                      <a:tailEnd/>
                    </a:ln>
                  </pic:spPr>
                </pic:pic>
              </a:graphicData>
            </a:graphic>
          </wp:anchor>
        </w:drawing>
      </w:r>
    </w:p>
    <w:p w:rsidR="007B7B1B" w:rsidRDefault="007B7B1B" w:rsidP="00626EDC">
      <w:pPr>
        <w:pStyle w:val="Singlespacedparagraph"/>
      </w:pPr>
    </w:p>
    <w:p w:rsidR="007B7B1B" w:rsidRDefault="007B7B1B" w:rsidP="00626EDC">
      <w:pPr>
        <w:pStyle w:val="Singlespacedparagraph"/>
      </w:pPr>
    </w:p>
    <w:p w:rsidR="007B7B1B" w:rsidRDefault="007B7B1B">
      <w:r>
        <w:br w:type="page"/>
      </w:r>
    </w:p>
    <w:p w:rsidR="007B7B1B" w:rsidRDefault="007B7B1B" w:rsidP="00626EDC">
      <w:pPr>
        <w:pStyle w:val="Singlespacedparagraph"/>
      </w:pPr>
      <w:r>
        <w:rPr>
          <w:noProof/>
          <w:lang w:eastAsia="en-NZ"/>
        </w:rPr>
        <w:drawing>
          <wp:anchor distT="0" distB="0" distL="114300" distR="114300" simplePos="0" relativeHeight="251694080" behindDoc="0" locked="0" layoutInCell="1" allowOverlap="1">
            <wp:simplePos x="0" y="0"/>
            <wp:positionH relativeFrom="column">
              <wp:posOffset>1058545</wp:posOffset>
            </wp:positionH>
            <wp:positionV relativeFrom="paragraph">
              <wp:posOffset>11430</wp:posOffset>
            </wp:positionV>
            <wp:extent cx="6689090" cy="12195810"/>
            <wp:effectExtent l="19050" t="0" r="0" b="0"/>
            <wp:wrapSquare wrapText="bothSides"/>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53" cstate="print"/>
                    <a:srcRect/>
                    <a:stretch>
                      <a:fillRect/>
                    </a:stretch>
                  </pic:blipFill>
                  <pic:spPr bwMode="auto">
                    <a:xfrm>
                      <a:off x="0" y="0"/>
                      <a:ext cx="6689090" cy="12195810"/>
                    </a:xfrm>
                    <a:prstGeom prst="rect">
                      <a:avLst/>
                    </a:prstGeom>
                    <a:noFill/>
                    <a:ln w="9525">
                      <a:noFill/>
                      <a:miter lim="800000"/>
                      <a:headEnd/>
                      <a:tailEnd/>
                    </a:ln>
                  </pic:spPr>
                </pic:pic>
              </a:graphicData>
            </a:graphic>
          </wp:anchor>
        </w:drawing>
      </w:r>
    </w:p>
    <w:p w:rsidR="007B7B1B" w:rsidRDefault="007B7B1B" w:rsidP="00626EDC">
      <w:pPr>
        <w:pStyle w:val="Singlespacedparagraph"/>
      </w:pPr>
    </w:p>
    <w:p w:rsidR="007B7B1B" w:rsidRDefault="007B7B1B" w:rsidP="00626EDC">
      <w:pPr>
        <w:pStyle w:val="Singlespacedparagraph"/>
      </w:pPr>
    </w:p>
    <w:p w:rsidR="007B7B1B" w:rsidRDefault="007B7B1B" w:rsidP="00626EDC">
      <w:pPr>
        <w:pStyle w:val="Singlespacedparagraph"/>
      </w:pPr>
    </w:p>
    <w:p w:rsidR="007B7B1B" w:rsidRDefault="007B7B1B" w:rsidP="00626EDC">
      <w:pPr>
        <w:pStyle w:val="Singlespacedparagraph"/>
      </w:pPr>
    </w:p>
    <w:p w:rsidR="007B7B1B" w:rsidRDefault="007B7B1B" w:rsidP="00626EDC">
      <w:pPr>
        <w:pStyle w:val="Singlespacedparagraph"/>
      </w:pPr>
    </w:p>
    <w:p w:rsidR="007B7B1B" w:rsidRDefault="007B7B1B" w:rsidP="00626EDC">
      <w:pPr>
        <w:pStyle w:val="Singlespacedparagraph"/>
      </w:pPr>
    </w:p>
    <w:p w:rsidR="007B7B1B" w:rsidRDefault="007B7B1B">
      <w:r>
        <w:br w:type="page"/>
      </w:r>
    </w:p>
    <w:p w:rsidR="007B7B1B" w:rsidRDefault="007B7B1B" w:rsidP="00626EDC">
      <w:pPr>
        <w:pStyle w:val="Singlespacedparagraph"/>
      </w:pPr>
      <w:r w:rsidRPr="007B7B1B">
        <w:rPr>
          <w:noProof/>
          <w:lang w:eastAsia="en-NZ"/>
        </w:rPr>
        <w:drawing>
          <wp:inline distT="0" distB="0" distL="0" distR="0">
            <wp:extent cx="8863965" cy="11645179"/>
            <wp:effectExtent l="19050" t="0" r="0" b="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54" cstate="print"/>
                    <a:srcRect/>
                    <a:stretch>
                      <a:fillRect/>
                    </a:stretch>
                  </pic:blipFill>
                  <pic:spPr bwMode="auto">
                    <a:xfrm>
                      <a:off x="0" y="0"/>
                      <a:ext cx="8863965" cy="11645179"/>
                    </a:xfrm>
                    <a:prstGeom prst="rect">
                      <a:avLst/>
                    </a:prstGeom>
                    <a:noFill/>
                    <a:ln w="9525">
                      <a:noFill/>
                      <a:miter lim="800000"/>
                      <a:headEnd/>
                      <a:tailEnd/>
                    </a:ln>
                  </pic:spPr>
                </pic:pic>
              </a:graphicData>
            </a:graphic>
          </wp:inline>
        </w:drawing>
      </w:r>
    </w:p>
    <w:p w:rsidR="007B7B1B" w:rsidRDefault="007B7B1B" w:rsidP="00626EDC">
      <w:pPr>
        <w:pStyle w:val="Singlespacedparagraph"/>
      </w:pPr>
    </w:p>
    <w:p w:rsidR="00626EDC" w:rsidRDefault="00626EDC" w:rsidP="00626EDC">
      <w:pPr>
        <w:pStyle w:val="Singlespacedparagraph"/>
        <w:sectPr w:rsidR="00626EDC" w:rsidSect="007B7B1B">
          <w:pgSz w:w="16839" w:h="23814" w:code="8"/>
          <w:pgMar w:top="1440" w:right="1440" w:bottom="1440" w:left="1440" w:header="1134" w:footer="431" w:gutter="0"/>
          <w:cols w:space="720"/>
          <w:docGrid w:linePitch="326"/>
        </w:sectPr>
      </w:pPr>
    </w:p>
    <w:p w:rsidR="00626EDC" w:rsidRDefault="00461A75" w:rsidP="00626EDC">
      <w:pPr>
        <w:pStyle w:val="Heading1"/>
        <w:spacing w:line="264" w:lineRule="auto"/>
        <w:jc w:val="center"/>
      </w:pPr>
      <w:bookmarkStart w:id="748" w:name="_Toc328596086"/>
      <w:r>
        <w:rPr>
          <w:noProof/>
          <w:lang w:eastAsia="en-NZ"/>
        </w:rPr>
        <w:drawing>
          <wp:anchor distT="0" distB="0" distL="114300" distR="114300" simplePos="0" relativeHeight="251695104" behindDoc="0" locked="0" layoutInCell="1" allowOverlap="1">
            <wp:simplePos x="0" y="0"/>
            <wp:positionH relativeFrom="column">
              <wp:posOffset>-1009650</wp:posOffset>
            </wp:positionH>
            <wp:positionV relativeFrom="paragraph">
              <wp:posOffset>2213610</wp:posOffset>
            </wp:positionV>
            <wp:extent cx="7750810" cy="4439285"/>
            <wp:effectExtent l="0" t="1638300" r="0" b="1656715"/>
            <wp:wrapSquare wrapText="bothSides"/>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55" cstate="print"/>
                    <a:srcRect/>
                    <a:stretch>
                      <a:fillRect/>
                    </a:stretch>
                  </pic:blipFill>
                  <pic:spPr bwMode="auto">
                    <a:xfrm rot="16200000">
                      <a:off x="0" y="0"/>
                      <a:ext cx="7750810" cy="4439285"/>
                    </a:xfrm>
                    <a:prstGeom prst="rect">
                      <a:avLst/>
                    </a:prstGeom>
                    <a:noFill/>
                    <a:ln w="9525">
                      <a:noFill/>
                      <a:miter lim="800000"/>
                      <a:headEnd/>
                      <a:tailEnd/>
                    </a:ln>
                  </pic:spPr>
                </pic:pic>
              </a:graphicData>
            </a:graphic>
          </wp:anchor>
        </w:drawing>
      </w:r>
      <w:bookmarkStart w:id="749" w:name="_Toc329301659"/>
      <w:r w:rsidR="00626EDC">
        <w:t>Schedule 11b</w:t>
      </w:r>
      <w:r w:rsidR="00626EDC">
        <w:tab/>
        <w:t>Report on Forecast Operational Expenditure</w:t>
      </w:r>
      <w:bookmarkEnd w:id="748"/>
      <w:bookmarkEnd w:id="749"/>
    </w:p>
    <w:p w:rsidR="00626EDC" w:rsidRDefault="00626EDC" w:rsidP="00626EDC">
      <w:pPr>
        <w:pStyle w:val="Singlespacedparagraph"/>
      </w:pPr>
    </w:p>
    <w:p w:rsidR="00461A75" w:rsidRDefault="00461A75" w:rsidP="00626EDC">
      <w:pPr>
        <w:pStyle w:val="Singlespacedparagraph"/>
      </w:pPr>
    </w:p>
    <w:p w:rsidR="00626EDC" w:rsidRDefault="00626EDC" w:rsidP="00626EDC">
      <w:pPr>
        <w:pStyle w:val="Singlespacedparagraph"/>
        <w:sectPr w:rsidR="00626EDC" w:rsidSect="0005720D">
          <w:pgSz w:w="11907" w:h="16840" w:code="9"/>
          <w:pgMar w:top="1440" w:right="1440" w:bottom="1440" w:left="1440" w:header="1134" w:footer="431" w:gutter="0"/>
          <w:cols w:space="720"/>
          <w:docGrid w:linePitch="326"/>
        </w:sectPr>
      </w:pPr>
    </w:p>
    <w:p w:rsidR="00626EDC" w:rsidRDefault="00971646" w:rsidP="00FE5CF5">
      <w:pPr>
        <w:pStyle w:val="Heading1"/>
        <w:spacing w:line="264" w:lineRule="auto"/>
        <w:jc w:val="center"/>
      </w:pPr>
      <w:bookmarkStart w:id="750" w:name="_Toc328596088"/>
      <w:r>
        <w:rPr>
          <w:noProof/>
          <w:lang w:eastAsia="en-NZ"/>
        </w:rPr>
        <w:drawing>
          <wp:anchor distT="0" distB="0" distL="114300" distR="114300" simplePos="0" relativeHeight="251696128" behindDoc="0" locked="0" layoutInCell="1" allowOverlap="1">
            <wp:simplePos x="0" y="0"/>
            <wp:positionH relativeFrom="column">
              <wp:posOffset>-795655</wp:posOffset>
            </wp:positionH>
            <wp:positionV relativeFrom="paragraph">
              <wp:posOffset>2383790</wp:posOffset>
            </wp:positionV>
            <wp:extent cx="7566025" cy="4130040"/>
            <wp:effectExtent l="0" t="1695450" r="0" b="1718310"/>
            <wp:wrapSquare wrapText="bothSides"/>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56" cstate="print"/>
                    <a:srcRect/>
                    <a:stretch>
                      <a:fillRect/>
                    </a:stretch>
                  </pic:blipFill>
                  <pic:spPr bwMode="auto">
                    <a:xfrm rot="16200000">
                      <a:off x="0" y="0"/>
                      <a:ext cx="7566025" cy="4130040"/>
                    </a:xfrm>
                    <a:prstGeom prst="rect">
                      <a:avLst/>
                    </a:prstGeom>
                    <a:noFill/>
                    <a:ln w="9525">
                      <a:noFill/>
                      <a:miter lim="800000"/>
                      <a:headEnd/>
                      <a:tailEnd/>
                    </a:ln>
                  </pic:spPr>
                </pic:pic>
              </a:graphicData>
            </a:graphic>
          </wp:anchor>
        </w:drawing>
      </w:r>
      <w:bookmarkStart w:id="751" w:name="_Toc329301660"/>
      <w:r w:rsidR="00626EDC">
        <w:t>Schedule 12a</w:t>
      </w:r>
      <w:r w:rsidR="00626EDC">
        <w:tab/>
        <w:t>Report on Asset Condition</w:t>
      </w:r>
      <w:bookmarkEnd w:id="750"/>
      <w:r w:rsidR="00626EDC">
        <w:t xml:space="preserve"> at the End of the Disclosure Year</w:t>
      </w:r>
      <w:bookmarkEnd w:id="751"/>
    </w:p>
    <w:p w:rsidR="00461A75" w:rsidRDefault="00461A75" w:rsidP="00626EDC">
      <w:pPr>
        <w:pStyle w:val="Singlespacedparagraph"/>
      </w:pPr>
    </w:p>
    <w:p w:rsidR="00626EDC" w:rsidRDefault="00626EDC" w:rsidP="00626EDC">
      <w:pPr>
        <w:pStyle w:val="Singlespacedparagraph"/>
      </w:pPr>
    </w:p>
    <w:p w:rsidR="00971646" w:rsidRDefault="00971646" w:rsidP="00626EDC">
      <w:pPr>
        <w:pStyle w:val="Singlespacedparagraph"/>
        <w:sectPr w:rsidR="00971646" w:rsidSect="00FE5CF5">
          <w:pgSz w:w="11907" w:h="16840" w:code="9"/>
          <w:pgMar w:top="1440" w:right="1440" w:bottom="1135" w:left="1440" w:header="1134" w:footer="431" w:gutter="0"/>
          <w:cols w:space="720"/>
          <w:docGrid w:linePitch="326"/>
        </w:sectPr>
      </w:pPr>
    </w:p>
    <w:p w:rsidR="00626EDC" w:rsidRDefault="00626EDC" w:rsidP="00626EDC">
      <w:pPr>
        <w:pStyle w:val="Heading1"/>
        <w:spacing w:line="264" w:lineRule="auto"/>
        <w:jc w:val="center"/>
      </w:pPr>
      <w:bookmarkStart w:id="752" w:name="_Toc328596089"/>
      <w:bookmarkStart w:id="753" w:name="_Toc329301661"/>
      <w:r>
        <w:t>Schedule 12b</w:t>
      </w:r>
      <w:r>
        <w:tab/>
        <w:t xml:space="preserve">Report on Forecast </w:t>
      </w:r>
      <w:bookmarkEnd w:id="752"/>
      <w:r>
        <w:t>Utilisation</w:t>
      </w:r>
      <w:bookmarkEnd w:id="753"/>
    </w:p>
    <w:p w:rsidR="00626EDC" w:rsidRDefault="00F87301" w:rsidP="00626EDC">
      <w:pPr>
        <w:pStyle w:val="Singlespacedparagraph"/>
      </w:pPr>
      <w:r>
        <w:rPr>
          <w:noProof/>
          <w:lang w:eastAsia="en-NZ"/>
        </w:rPr>
        <w:drawing>
          <wp:anchor distT="0" distB="0" distL="114300" distR="114300" simplePos="0" relativeHeight="251697152" behindDoc="0" locked="0" layoutInCell="1" allowOverlap="1">
            <wp:simplePos x="0" y="0"/>
            <wp:positionH relativeFrom="column">
              <wp:posOffset>-472440</wp:posOffset>
            </wp:positionH>
            <wp:positionV relativeFrom="paragraph">
              <wp:posOffset>74930</wp:posOffset>
            </wp:positionV>
            <wp:extent cx="9742170" cy="4683760"/>
            <wp:effectExtent l="19050" t="0" r="0" b="0"/>
            <wp:wrapSquare wrapText="bothSides"/>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57" cstate="print"/>
                    <a:srcRect/>
                    <a:stretch>
                      <a:fillRect/>
                    </a:stretch>
                  </pic:blipFill>
                  <pic:spPr bwMode="auto">
                    <a:xfrm>
                      <a:off x="0" y="0"/>
                      <a:ext cx="9742170" cy="4683760"/>
                    </a:xfrm>
                    <a:prstGeom prst="rect">
                      <a:avLst/>
                    </a:prstGeom>
                    <a:noFill/>
                    <a:ln w="9525">
                      <a:noFill/>
                      <a:miter lim="800000"/>
                      <a:headEnd/>
                      <a:tailEnd/>
                    </a:ln>
                  </pic:spPr>
                </pic:pic>
              </a:graphicData>
            </a:graphic>
          </wp:anchor>
        </w:drawing>
      </w:r>
    </w:p>
    <w:p w:rsidR="00971646" w:rsidRDefault="00971646" w:rsidP="00626EDC">
      <w:pPr>
        <w:pStyle w:val="Singlespacedparagraph"/>
      </w:pPr>
    </w:p>
    <w:p w:rsidR="00626EDC" w:rsidRDefault="00626EDC" w:rsidP="00626EDC">
      <w:pPr>
        <w:pStyle w:val="Singlespacedparagraph"/>
        <w:sectPr w:rsidR="00626EDC" w:rsidSect="00F87301">
          <w:pgSz w:w="16840" w:h="11907" w:orient="landscape" w:code="9"/>
          <w:pgMar w:top="1440" w:right="1440" w:bottom="1135" w:left="1440" w:header="1134" w:footer="431" w:gutter="0"/>
          <w:cols w:space="720"/>
          <w:docGrid w:linePitch="326"/>
        </w:sectPr>
      </w:pPr>
    </w:p>
    <w:p w:rsidR="00626EDC" w:rsidRDefault="00626EDC" w:rsidP="00626EDC">
      <w:pPr>
        <w:pStyle w:val="Heading1"/>
        <w:spacing w:line="264" w:lineRule="auto"/>
        <w:jc w:val="center"/>
      </w:pPr>
      <w:bookmarkStart w:id="754" w:name="_Toc328596090"/>
      <w:bookmarkStart w:id="755" w:name="_Toc329301662"/>
      <w:r>
        <w:t>Schedule 12c</w:t>
      </w:r>
      <w:r>
        <w:tab/>
        <w:t>Report on Forecast Demand</w:t>
      </w:r>
      <w:bookmarkEnd w:id="754"/>
      <w:bookmarkEnd w:id="755"/>
    </w:p>
    <w:p w:rsidR="00626EDC" w:rsidRDefault="00F87301" w:rsidP="00626EDC">
      <w:pPr>
        <w:pStyle w:val="Singlespacedparagraph"/>
      </w:pPr>
      <w:r>
        <w:rPr>
          <w:noProof/>
          <w:lang w:eastAsia="en-NZ"/>
        </w:rPr>
        <w:drawing>
          <wp:anchor distT="0" distB="0" distL="114300" distR="114300" simplePos="0" relativeHeight="251698176" behindDoc="0" locked="0" layoutInCell="1" allowOverlap="1">
            <wp:simplePos x="0" y="0"/>
            <wp:positionH relativeFrom="column">
              <wp:posOffset>-438150</wp:posOffset>
            </wp:positionH>
            <wp:positionV relativeFrom="paragraph">
              <wp:posOffset>12065</wp:posOffset>
            </wp:positionV>
            <wp:extent cx="9766935" cy="4746625"/>
            <wp:effectExtent l="19050" t="0" r="5715" b="0"/>
            <wp:wrapSquare wrapText="bothSides"/>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58" cstate="print"/>
                    <a:srcRect/>
                    <a:stretch>
                      <a:fillRect/>
                    </a:stretch>
                  </pic:blipFill>
                  <pic:spPr bwMode="auto">
                    <a:xfrm>
                      <a:off x="0" y="0"/>
                      <a:ext cx="9766935" cy="4746625"/>
                    </a:xfrm>
                    <a:prstGeom prst="rect">
                      <a:avLst/>
                    </a:prstGeom>
                    <a:noFill/>
                    <a:ln w="9525">
                      <a:noFill/>
                      <a:miter lim="800000"/>
                      <a:headEnd/>
                      <a:tailEnd/>
                    </a:ln>
                  </pic:spPr>
                </pic:pic>
              </a:graphicData>
            </a:graphic>
          </wp:anchor>
        </w:drawing>
      </w:r>
    </w:p>
    <w:p w:rsidR="00626EDC" w:rsidRDefault="00626EDC" w:rsidP="00626EDC">
      <w:pPr>
        <w:pStyle w:val="Singlespacedparagraph"/>
      </w:pPr>
    </w:p>
    <w:p w:rsidR="00626EDC" w:rsidRDefault="00626EDC" w:rsidP="00626EDC">
      <w:pPr>
        <w:pStyle w:val="Singlespacedparagraph"/>
        <w:sectPr w:rsidR="00626EDC" w:rsidSect="00F87301">
          <w:pgSz w:w="16840" w:h="11907" w:orient="landscape" w:code="9"/>
          <w:pgMar w:top="1440" w:right="1440" w:bottom="1276" w:left="1440" w:header="1134" w:footer="431" w:gutter="0"/>
          <w:cols w:space="720"/>
          <w:docGrid w:linePitch="326"/>
        </w:sectPr>
      </w:pPr>
    </w:p>
    <w:p w:rsidR="00A30D45" w:rsidRPr="002F2828" w:rsidRDefault="00837237" w:rsidP="00A30D45">
      <w:pPr>
        <w:pStyle w:val="Heading1"/>
        <w:spacing w:line="264" w:lineRule="auto"/>
        <w:jc w:val="center"/>
        <w:rPr>
          <w:rFonts w:asciiTheme="minorHAnsi" w:hAnsiTheme="minorHAnsi"/>
        </w:rPr>
      </w:pPr>
      <w:bookmarkStart w:id="756" w:name="_Toc329301663"/>
      <w:r>
        <w:rPr>
          <w:rFonts w:asciiTheme="minorHAnsi" w:hAnsiTheme="minorHAnsi"/>
        </w:rPr>
        <w:t>Schedule 13</w:t>
      </w:r>
      <w:r w:rsidR="00A30D45" w:rsidRPr="002F2828">
        <w:rPr>
          <w:rFonts w:asciiTheme="minorHAnsi" w:hAnsiTheme="minorHAnsi"/>
        </w:rPr>
        <w:tab/>
      </w:r>
      <w:r w:rsidR="00A30D45" w:rsidRPr="002F2828">
        <w:rPr>
          <w:rFonts w:asciiTheme="minorHAnsi" w:hAnsiTheme="minorHAnsi"/>
        </w:rPr>
        <w:tab/>
        <w:t>Report</w:t>
      </w:r>
      <w:bookmarkEnd w:id="697"/>
      <w:bookmarkEnd w:id="698"/>
      <w:bookmarkEnd w:id="699"/>
      <w:bookmarkEnd w:id="700"/>
      <w:r w:rsidR="00626EDC">
        <w:rPr>
          <w:rFonts w:asciiTheme="minorHAnsi" w:hAnsiTheme="minorHAnsi"/>
        </w:rPr>
        <w:t xml:space="preserve"> on Asset </w:t>
      </w:r>
      <w:r w:rsidR="006F4287">
        <w:rPr>
          <w:rFonts w:asciiTheme="minorHAnsi" w:hAnsiTheme="minorHAnsi"/>
        </w:rPr>
        <w:t xml:space="preserve">Management </w:t>
      </w:r>
      <w:r w:rsidR="00626EDC">
        <w:rPr>
          <w:rFonts w:asciiTheme="minorHAnsi" w:hAnsiTheme="minorHAnsi"/>
        </w:rPr>
        <w:t>Maturity</w:t>
      </w:r>
      <w:bookmarkEnd w:id="756"/>
    </w:p>
    <w:p w:rsidR="000532A1" w:rsidRPr="002F2828" w:rsidRDefault="000532A1" w:rsidP="00775BCB">
      <w:pPr>
        <w:pStyle w:val="Singlespacedparagraph"/>
        <w:rPr>
          <w:rFonts w:asciiTheme="minorHAnsi" w:hAnsiTheme="minorHAnsi"/>
        </w:rPr>
      </w:pPr>
      <w:bookmarkStart w:id="757" w:name="_Toc310795818"/>
      <w:bookmarkStart w:id="758" w:name="_Toc310798152"/>
      <w:bookmarkStart w:id="759" w:name="_Toc310842274"/>
      <w:bookmarkStart w:id="760" w:name="_Toc310881760"/>
      <w:bookmarkStart w:id="761" w:name="_Toc310884828"/>
      <w:bookmarkStart w:id="762" w:name="_Toc310888573"/>
      <w:bookmarkStart w:id="763" w:name="_Toc310795819"/>
      <w:bookmarkStart w:id="764" w:name="_Toc310798153"/>
      <w:bookmarkStart w:id="765" w:name="_Toc310842275"/>
      <w:bookmarkStart w:id="766" w:name="_Toc310881761"/>
      <w:bookmarkStart w:id="767" w:name="_Toc310884829"/>
      <w:bookmarkStart w:id="768" w:name="_Toc310888574"/>
      <w:bookmarkStart w:id="769" w:name="_Toc310795820"/>
      <w:bookmarkStart w:id="770" w:name="_Toc310798154"/>
      <w:bookmarkStart w:id="771" w:name="_Toc310842276"/>
      <w:bookmarkStart w:id="772" w:name="_Toc310881762"/>
      <w:bookmarkStart w:id="773" w:name="_Toc310884830"/>
      <w:bookmarkStart w:id="774" w:name="_Toc310888575"/>
      <w:bookmarkStart w:id="775" w:name="_Toc311193320"/>
      <w:bookmarkStart w:id="776" w:name="_Toc311193391"/>
      <w:bookmarkStart w:id="777" w:name="_Toc311195632"/>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p>
    <w:p w:rsidR="00F56F86" w:rsidRDefault="000532A1">
      <w:pPr>
        <w:pStyle w:val="Para1"/>
        <w:numPr>
          <w:ilvl w:val="0"/>
          <w:numId w:val="106"/>
        </w:numPr>
        <w:rPr>
          <w:rFonts w:asciiTheme="minorHAnsi" w:hAnsiTheme="minorHAnsi"/>
        </w:rPr>
      </w:pPr>
      <w:r w:rsidRPr="002F2828">
        <w:rPr>
          <w:rFonts w:asciiTheme="minorHAnsi" w:hAnsiTheme="minorHAnsi"/>
        </w:rPr>
        <w:t xml:space="preserve">Each </w:t>
      </w:r>
      <w:r w:rsidRPr="002F2828">
        <w:rPr>
          <w:rFonts w:asciiTheme="minorHAnsi" w:hAnsiTheme="minorHAnsi"/>
          <w:b/>
        </w:rPr>
        <w:t>GDB</w:t>
      </w:r>
      <w:r w:rsidRPr="002F2828">
        <w:rPr>
          <w:rFonts w:asciiTheme="minorHAnsi" w:hAnsiTheme="minorHAnsi"/>
        </w:rPr>
        <w:t xml:space="preserve"> must complete the AMMAT Report set out in Schedule 17</w:t>
      </w:r>
      <w:r w:rsidR="008F5D7B">
        <w:rPr>
          <w:rFonts w:asciiTheme="minorHAnsi" w:hAnsiTheme="minorHAnsi"/>
        </w:rPr>
        <w:t xml:space="preserve">. </w:t>
      </w:r>
      <w:r w:rsidRPr="002F2828">
        <w:rPr>
          <w:rFonts w:asciiTheme="minorHAnsi" w:hAnsiTheme="minorHAnsi"/>
        </w:rPr>
        <w:t xml:space="preserve">The </w:t>
      </w:r>
      <w:r w:rsidRPr="002F2828">
        <w:rPr>
          <w:rFonts w:asciiTheme="minorHAnsi" w:hAnsiTheme="minorHAnsi"/>
          <w:b/>
        </w:rPr>
        <w:t>GDB</w:t>
      </w:r>
      <w:r w:rsidRPr="002F2828">
        <w:rPr>
          <w:rFonts w:asciiTheme="minorHAnsi" w:hAnsiTheme="minorHAnsi"/>
        </w:rPr>
        <w:t xml:space="preserve"> must ensure that the person responsible for managing </w:t>
      </w:r>
      <w:r w:rsidRPr="002F2828">
        <w:rPr>
          <w:rFonts w:asciiTheme="minorHAnsi" w:hAnsiTheme="minorHAnsi"/>
          <w:b/>
        </w:rPr>
        <w:t>network</w:t>
      </w:r>
      <w:r w:rsidRPr="002F2828">
        <w:rPr>
          <w:rFonts w:asciiTheme="minorHAnsi" w:hAnsiTheme="minorHAnsi"/>
        </w:rPr>
        <w:t xml:space="preserve"> assets (or a similar level individual) in the organisation takes responsibility for completing and maintaining the AMMAT, including:</w:t>
      </w:r>
    </w:p>
    <w:p w:rsidR="000532A1" w:rsidRPr="002F2828" w:rsidRDefault="000532A1" w:rsidP="0083175F">
      <w:pPr>
        <w:pStyle w:val="Para1"/>
        <w:numPr>
          <w:ilvl w:val="1"/>
          <w:numId w:val="106"/>
        </w:numPr>
        <w:rPr>
          <w:rFonts w:asciiTheme="minorHAnsi" w:hAnsiTheme="minorHAnsi"/>
        </w:rPr>
      </w:pPr>
      <w:r w:rsidRPr="002F2828">
        <w:rPr>
          <w:rFonts w:asciiTheme="minorHAnsi" w:hAnsiTheme="minorHAnsi"/>
        </w:rPr>
        <w:t>Organising people within the organisation to answer the questions</w:t>
      </w:r>
    </w:p>
    <w:p w:rsidR="000532A1" w:rsidRPr="002F2828" w:rsidRDefault="000532A1" w:rsidP="0083175F">
      <w:pPr>
        <w:pStyle w:val="Para1"/>
        <w:numPr>
          <w:ilvl w:val="1"/>
          <w:numId w:val="106"/>
        </w:numPr>
        <w:rPr>
          <w:rFonts w:asciiTheme="minorHAnsi" w:hAnsiTheme="minorHAnsi"/>
        </w:rPr>
      </w:pPr>
      <w:r w:rsidRPr="002F2828">
        <w:rPr>
          <w:rFonts w:asciiTheme="minorHAnsi" w:hAnsiTheme="minorHAnsi"/>
        </w:rPr>
        <w:t>Arranging for all information to be captured within the AMMAT</w:t>
      </w:r>
    </w:p>
    <w:p w:rsidR="000532A1" w:rsidRPr="002F2828" w:rsidRDefault="000532A1" w:rsidP="0083175F">
      <w:pPr>
        <w:pStyle w:val="Para1"/>
        <w:numPr>
          <w:ilvl w:val="1"/>
          <w:numId w:val="106"/>
        </w:numPr>
        <w:rPr>
          <w:rFonts w:asciiTheme="minorHAnsi" w:hAnsiTheme="minorHAnsi"/>
        </w:rPr>
      </w:pPr>
      <w:r w:rsidRPr="002F2828">
        <w:rPr>
          <w:rFonts w:asciiTheme="minorHAnsi" w:hAnsiTheme="minorHAnsi"/>
        </w:rPr>
        <w:t>Reporting to the organisation on the results of the assessment</w:t>
      </w:r>
    </w:p>
    <w:p w:rsidR="000532A1" w:rsidRDefault="000532A1" w:rsidP="0083175F">
      <w:pPr>
        <w:pStyle w:val="Para1"/>
        <w:numPr>
          <w:ilvl w:val="1"/>
          <w:numId w:val="106"/>
        </w:numPr>
        <w:rPr>
          <w:rFonts w:asciiTheme="minorHAnsi" w:hAnsiTheme="minorHAnsi"/>
        </w:rPr>
      </w:pPr>
      <w:r w:rsidRPr="002F2828">
        <w:rPr>
          <w:rFonts w:asciiTheme="minorHAnsi" w:hAnsiTheme="minorHAnsi"/>
        </w:rPr>
        <w:t>Planning the assessment process, including:</w:t>
      </w:r>
    </w:p>
    <w:p w:rsidR="000532A1" w:rsidRPr="002F2828" w:rsidRDefault="000532A1" w:rsidP="00B47541">
      <w:pPr>
        <w:pStyle w:val="Para1"/>
        <w:numPr>
          <w:ilvl w:val="2"/>
          <w:numId w:val="106"/>
        </w:numPr>
        <w:rPr>
          <w:rFonts w:asciiTheme="minorHAnsi" w:hAnsiTheme="minorHAnsi"/>
        </w:rPr>
      </w:pPr>
      <w:proofErr w:type="gramStart"/>
      <w:r w:rsidRPr="002F2828">
        <w:rPr>
          <w:rFonts w:asciiTheme="minorHAnsi" w:hAnsiTheme="minorHAnsi"/>
        </w:rPr>
        <w:t>determining</w:t>
      </w:r>
      <w:proofErr w:type="gramEnd"/>
      <w:r w:rsidRPr="002F2828">
        <w:rPr>
          <w:rFonts w:asciiTheme="minorHAnsi" w:hAnsiTheme="minorHAnsi"/>
        </w:rPr>
        <w:t xml:space="preserve"> the form the assessment process is to take</w:t>
      </w:r>
      <w:r w:rsidR="008F5D7B">
        <w:rPr>
          <w:rFonts w:asciiTheme="minorHAnsi" w:hAnsiTheme="minorHAnsi"/>
        </w:rPr>
        <w:t xml:space="preserve">. </w:t>
      </w:r>
      <w:r w:rsidRPr="002F2828">
        <w:rPr>
          <w:rFonts w:asciiTheme="minorHAnsi" w:hAnsiTheme="minorHAnsi"/>
        </w:rPr>
        <w:t>In this context, the principal formats are generally taken to be interviews, facilitated groups/panels or a combination of the two</w:t>
      </w:r>
    </w:p>
    <w:p w:rsidR="000532A1" w:rsidRPr="002F2828" w:rsidRDefault="000532A1" w:rsidP="00B47541">
      <w:pPr>
        <w:pStyle w:val="Para1"/>
        <w:numPr>
          <w:ilvl w:val="2"/>
          <w:numId w:val="106"/>
        </w:numPr>
        <w:rPr>
          <w:rFonts w:asciiTheme="minorHAnsi" w:hAnsiTheme="minorHAnsi"/>
        </w:rPr>
      </w:pPr>
      <w:r w:rsidRPr="002F2828">
        <w:rPr>
          <w:rFonts w:asciiTheme="minorHAnsi" w:hAnsiTheme="minorHAnsi"/>
        </w:rPr>
        <w:t>arranging for appropriate outsourced service providers and stakeholders to act as respondents during the assessment exercise</w:t>
      </w:r>
    </w:p>
    <w:p w:rsidR="000532A1" w:rsidRPr="002F2828" w:rsidRDefault="000532A1" w:rsidP="00B47541">
      <w:pPr>
        <w:pStyle w:val="Para1"/>
        <w:numPr>
          <w:ilvl w:val="2"/>
          <w:numId w:val="106"/>
        </w:numPr>
        <w:rPr>
          <w:rFonts w:asciiTheme="minorHAnsi" w:hAnsiTheme="minorHAnsi"/>
        </w:rPr>
      </w:pPr>
      <w:r w:rsidRPr="002F2828">
        <w:rPr>
          <w:rFonts w:asciiTheme="minorHAnsi" w:hAnsiTheme="minorHAnsi"/>
        </w:rPr>
        <w:t>providing appropriate pre-assessment communication (and training where appropriate) to ensure that, as a minimum, the proposed respondents are aware of the AMMAT process and the part within it that they are being asked to play</w:t>
      </w:r>
    </w:p>
    <w:p w:rsidR="000532A1" w:rsidRPr="002F2828" w:rsidRDefault="000532A1" w:rsidP="00B47541">
      <w:pPr>
        <w:pStyle w:val="Para1"/>
        <w:numPr>
          <w:ilvl w:val="2"/>
          <w:numId w:val="106"/>
        </w:numPr>
        <w:rPr>
          <w:rFonts w:asciiTheme="minorHAnsi" w:hAnsiTheme="minorHAnsi"/>
        </w:rPr>
      </w:pPr>
      <w:proofErr w:type="gramStart"/>
      <w:r w:rsidRPr="002F2828">
        <w:rPr>
          <w:rFonts w:asciiTheme="minorHAnsi" w:hAnsiTheme="minorHAnsi"/>
        </w:rPr>
        <w:t>identifying</w:t>
      </w:r>
      <w:proofErr w:type="gramEnd"/>
      <w:r w:rsidRPr="002F2828">
        <w:rPr>
          <w:rFonts w:asciiTheme="minorHAnsi" w:hAnsiTheme="minorHAnsi"/>
        </w:rPr>
        <w:t xml:space="preserve"> which questions are to be asked of which respondents.</w:t>
      </w:r>
    </w:p>
    <w:p w:rsidR="000532A1" w:rsidRPr="002F2828" w:rsidRDefault="000532A1" w:rsidP="000532A1">
      <w:pPr>
        <w:pStyle w:val="Para1"/>
        <w:numPr>
          <w:ilvl w:val="0"/>
          <w:numId w:val="0"/>
        </w:numPr>
        <w:ind w:left="709"/>
        <w:rPr>
          <w:rStyle w:val="Emphasis-Italics"/>
          <w:rFonts w:asciiTheme="minorHAnsi" w:hAnsiTheme="minorHAnsi"/>
        </w:rPr>
      </w:pPr>
      <w:r w:rsidRPr="002F2828">
        <w:rPr>
          <w:rStyle w:val="Emphasis-Italics"/>
          <w:rFonts w:asciiTheme="minorHAnsi" w:hAnsiTheme="minorHAnsi"/>
        </w:rPr>
        <w:t>Part of the value of a formal asset management system is the definition and standardisation of terms</w:t>
      </w:r>
      <w:r w:rsidR="008F5D7B">
        <w:rPr>
          <w:rStyle w:val="Emphasis-Italics"/>
          <w:rFonts w:asciiTheme="minorHAnsi" w:hAnsiTheme="minorHAnsi"/>
        </w:rPr>
        <w:t xml:space="preserve">. </w:t>
      </w:r>
      <w:r w:rsidRPr="002F2828">
        <w:rPr>
          <w:rStyle w:val="Emphasis-Italics"/>
          <w:rFonts w:asciiTheme="minorHAnsi" w:hAnsiTheme="minorHAnsi"/>
        </w:rPr>
        <w:t xml:space="preserve">A common understanding of terms helps interested persons to understand the asset management concepts and processes that apply to the </w:t>
      </w:r>
      <w:r w:rsidRPr="002F2828">
        <w:rPr>
          <w:rStyle w:val="Emphasis-Italics"/>
          <w:rFonts w:asciiTheme="minorHAnsi" w:hAnsiTheme="minorHAnsi"/>
          <w:b/>
        </w:rPr>
        <w:t>GDB</w:t>
      </w:r>
      <w:r w:rsidR="008F5D7B">
        <w:rPr>
          <w:rStyle w:val="Emphasis-Italics"/>
          <w:rFonts w:asciiTheme="minorHAnsi" w:hAnsiTheme="minorHAnsi"/>
        </w:rPr>
        <w:t xml:space="preserve">. </w:t>
      </w:r>
      <w:r w:rsidRPr="002F2828">
        <w:rPr>
          <w:rStyle w:val="Emphasis-Italics"/>
          <w:rFonts w:asciiTheme="minorHAnsi" w:hAnsiTheme="minorHAnsi"/>
        </w:rPr>
        <w:t xml:space="preserve">In particular, it helps </w:t>
      </w:r>
      <w:r w:rsidR="00B47541">
        <w:rPr>
          <w:rStyle w:val="Emphasis-Italics"/>
          <w:rFonts w:asciiTheme="minorHAnsi" w:hAnsiTheme="minorHAnsi"/>
        </w:rPr>
        <w:t xml:space="preserve">the </w:t>
      </w:r>
      <w:proofErr w:type="spellStart"/>
      <w:r w:rsidR="009764C2" w:rsidRPr="009764C2">
        <w:rPr>
          <w:rStyle w:val="Emphasis-Italics"/>
          <w:rFonts w:asciiTheme="minorHAnsi" w:hAnsiTheme="minorHAnsi"/>
          <w:b/>
        </w:rPr>
        <w:t>GDB</w:t>
      </w:r>
      <w:r w:rsidR="00B47541">
        <w:rPr>
          <w:rStyle w:val="Emphasis-Italics"/>
          <w:rFonts w:asciiTheme="minorHAnsi" w:hAnsiTheme="minorHAnsi"/>
        </w:rPr>
        <w:t>’s</w:t>
      </w:r>
      <w:proofErr w:type="spellEnd"/>
      <w:r w:rsidR="00B47541">
        <w:rPr>
          <w:rStyle w:val="Emphasis-Italics"/>
          <w:rFonts w:asciiTheme="minorHAnsi" w:hAnsiTheme="minorHAnsi"/>
        </w:rPr>
        <w:t xml:space="preserve"> </w:t>
      </w:r>
      <w:r w:rsidRPr="002F2828">
        <w:rPr>
          <w:rStyle w:val="Emphasis-Italics"/>
          <w:rFonts w:asciiTheme="minorHAnsi" w:hAnsiTheme="minorHAnsi"/>
        </w:rPr>
        <w:t>employees and suppliers to understand and improve asset management concepts and processes.</w:t>
      </w:r>
    </w:p>
    <w:p w:rsidR="000532A1" w:rsidRPr="002F2828" w:rsidRDefault="000532A1" w:rsidP="000532A1">
      <w:pPr>
        <w:pStyle w:val="Para1"/>
        <w:numPr>
          <w:ilvl w:val="0"/>
          <w:numId w:val="0"/>
        </w:numPr>
        <w:ind w:left="709"/>
        <w:rPr>
          <w:rStyle w:val="Emphasis-Italics"/>
          <w:rFonts w:asciiTheme="minorHAnsi" w:hAnsiTheme="minorHAnsi"/>
        </w:rPr>
      </w:pPr>
      <w:r w:rsidRPr="002F2828">
        <w:rPr>
          <w:rStyle w:val="Emphasis-Italics"/>
          <w:rFonts w:asciiTheme="minorHAnsi" w:hAnsiTheme="minorHAnsi"/>
        </w:rPr>
        <w:t xml:space="preserve">The AMMAT will not provide an effective assessment of the maturity of the supplier’s asset management capability and processes unless the preparation of the AMMAT is supported by senior management of the </w:t>
      </w:r>
      <w:r w:rsidR="009764C2" w:rsidRPr="009764C2">
        <w:rPr>
          <w:rStyle w:val="Emphasis-Italics"/>
          <w:rFonts w:asciiTheme="minorHAnsi" w:hAnsiTheme="minorHAnsi"/>
          <w:b/>
        </w:rPr>
        <w:t>GDB</w:t>
      </w:r>
      <w:r w:rsidRPr="002F2828">
        <w:rPr>
          <w:rStyle w:val="Emphasis-Italics"/>
          <w:rFonts w:asciiTheme="minorHAnsi" w:hAnsiTheme="minorHAnsi"/>
        </w:rPr>
        <w:t>.</w:t>
      </w:r>
    </w:p>
    <w:p w:rsidR="000532A1" w:rsidRPr="002F2828" w:rsidRDefault="000532A1" w:rsidP="000532A1">
      <w:pPr>
        <w:pStyle w:val="Para1"/>
        <w:numPr>
          <w:ilvl w:val="0"/>
          <w:numId w:val="0"/>
        </w:numPr>
        <w:ind w:left="709"/>
        <w:rPr>
          <w:rStyle w:val="Emphasis-Italics"/>
          <w:rFonts w:asciiTheme="minorHAnsi" w:hAnsiTheme="minorHAnsi"/>
        </w:rPr>
      </w:pPr>
      <w:r w:rsidRPr="002F2828">
        <w:rPr>
          <w:rStyle w:val="Emphasis-Italics"/>
          <w:rFonts w:asciiTheme="minorHAnsi" w:hAnsiTheme="minorHAnsi"/>
        </w:rPr>
        <w:t>The level of effort required to complete the AMMAT should be consistent with a gap analysis exercise rather than the level typically involved with an audit for certification.</w:t>
      </w:r>
    </w:p>
    <w:p w:rsidR="000532A1" w:rsidRPr="002F2828" w:rsidRDefault="000532A1" w:rsidP="000532A1">
      <w:pPr>
        <w:pStyle w:val="Para1"/>
        <w:numPr>
          <w:ilvl w:val="0"/>
          <w:numId w:val="0"/>
        </w:numPr>
        <w:ind w:left="709"/>
        <w:rPr>
          <w:rStyle w:val="Emphasis-Italics"/>
          <w:rFonts w:asciiTheme="minorHAnsi" w:hAnsiTheme="minorHAnsi"/>
        </w:rPr>
      </w:pPr>
      <w:r w:rsidRPr="002F2828">
        <w:rPr>
          <w:rStyle w:val="Emphasis-Italics"/>
          <w:rFonts w:asciiTheme="minorHAnsi" w:hAnsiTheme="minorHAnsi"/>
        </w:rPr>
        <w:t>An audit involves a systematic, independent process for the collection and analysis of evidence to support a rating whereas the AMMAT is intended to be used by providing a reference to supporting evidence or an explanation of the self-assessment.</w:t>
      </w:r>
    </w:p>
    <w:p w:rsidR="000532A1" w:rsidRPr="002F2828" w:rsidRDefault="000532A1" w:rsidP="000532A1">
      <w:pPr>
        <w:pStyle w:val="Para1"/>
        <w:numPr>
          <w:ilvl w:val="0"/>
          <w:numId w:val="0"/>
        </w:numPr>
        <w:ind w:left="709"/>
        <w:rPr>
          <w:rStyle w:val="Emphasis-Italics"/>
          <w:rFonts w:asciiTheme="minorHAnsi" w:hAnsiTheme="minorHAnsi"/>
        </w:rPr>
      </w:pPr>
      <w:r w:rsidRPr="002F2828">
        <w:rPr>
          <w:rStyle w:val="Emphasis-Italics"/>
          <w:rFonts w:asciiTheme="minorHAnsi" w:hAnsiTheme="minorHAnsi"/>
        </w:rPr>
        <w:t>The level of documentation within an asset management system is expected to be consistent with factors such as the size of the company, complexity of processes and competence of personnel.</w:t>
      </w:r>
    </w:p>
    <w:p w:rsidR="000532A1" w:rsidRPr="002F2828" w:rsidRDefault="000532A1" w:rsidP="000532A1">
      <w:pPr>
        <w:pStyle w:val="Para1"/>
        <w:numPr>
          <w:ilvl w:val="0"/>
          <w:numId w:val="0"/>
        </w:numPr>
        <w:ind w:left="709"/>
        <w:rPr>
          <w:rStyle w:val="Emphasis-Italics"/>
          <w:rFonts w:asciiTheme="minorHAnsi" w:hAnsiTheme="minorHAnsi"/>
          <w:i w:val="0"/>
        </w:rPr>
      </w:pPr>
      <w:r w:rsidRPr="002F2828">
        <w:rPr>
          <w:rStyle w:val="Emphasis-Italics"/>
          <w:rFonts w:asciiTheme="minorHAnsi" w:hAnsiTheme="minorHAnsi"/>
        </w:rPr>
        <w:t xml:space="preserve">The definitions provided in the AMMAT for each maturity rating should provide sufficient information for a </w:t>
      </w:r>
      <w:r w:rsidRPr="002F2828">
        <w:rPr>
          <w:rStyle w:val="Emphasis-Italics"/>
          <w:rFonts w:asciiTheme="minorHAnsi" w:hAnsiTheme="minorHAnsi"/>
          <w:b/>
        </w:rPr>
        <w:t>GDB</w:t>
      </w:r>
      <w:r w:rsidRPr="002F2828">
        <w:rPr>
          <w:rStyle w:val="Emphasis-Italics"/>
          <w:rFonts w:asciiTheme="minorHAnsi" w:hAnsiTheme="minorHAnsi"/>
        </w:rPr>
        <w:t xml:space="preserve"> to objectively identify the level currently being achieved by the organisation.</w:t>
      </w:r>
    </w:p>
    <w:p w:rsidR="00F56F86" w:rsidRDefault="000532A1">
      <w:pPr>
        <w:pStyle w:val="Para1"/>
        <w:numPr>
          <w:ilvl w:val="0"/>
          <w:numId w:val="106"/>
        </w:numPr>
        <w:rPr>
          <w:rFonts w:asciiTheme="minorHAnsi" w:hAnsiTheme="minorHAnsi"/>
        </w:rPr>
      </w:pPr>
      <w:r w:rsidRPr="002F2828">
        <w:rPr>
          <w:rFonts w:asciiTheme="minorHAnsi" w:hAnsiTheme="minorHAnsi"/>
        </w:rPr>
        <w:t xml:space="preserve">Each </w:t>
      </w:r>
      <w:r w:rsidRPr="00B47541">
        <w:rPr>
          <w:rFonts w:asciiTheme="minorHAnsi" w:hAnsiTheme="minorHAnsi"/>
          <w:b/>
        </w:rPr>
        <w:t xml:space="preserve">GDB </w:t>
      </w:r>
      <w:r w:rsidRPr="002F2828">
        <w:rPr>
          <w:rFonts w:asciiTheme="minorHAnsi" w:hAnsiTheme="minorHAnsi"/>
        </w:rPr>
        <w:t xml:space="preserve">must specify in the AMMAT Report the standard of asset management practice that the </w:t>
      </w:r>
      <w:r w:rsidRPr="00B47541">
        <w:rPr>
          <w:rFonts w:asciiTheme="minorHAnsi" w:hAnsiTheme="minorHAnsi"/>
          <w:b/>
        </w:rPr>
        <w:t xml:space="preserve">GDB </w:t>
      </w:r>
      <w:r w:rsidRPr="002F2828">
        <w:rPr>
          <w:rFonts w:asciiTheme="minorHAnsi" w:hAnsiTheme="minorHAnsi"/>
        </w:rPr>
        <w:t>has used as the reference standard.</w:t>
      </w:r>
      <w:r w:rsidR="00696BA2">
        <w:rPr>
          <w:rFonts w:asciiTheme="minorHAnsi" w:hAnsiTheme="minorHAnsi"/>
        </w:rPr>
        <w:t xml:space="preserve"> </w:t>
      </w:r>
      <w:r w:rsidRPr="00775BCB">
        <w:rPr>
          <w:rFonts w:asciiTheme="minorHAnsi" w:hAnsiTheme="minorHAnsi"/>
        </w:rPr>
        <w:t xml:space="preserve">Cells in the following columns in the AMMAT Report set out </w:t>
      </w:r>
      <w:r w:rsidR="00775BCB">
        <w:rPr>
          <w:rFonts w:asciiTheme="minorHAnsi" w:hAnsiTheme="minorHAnsi"/>
        </w:rPr>
        <w:t xml:space="preserve">below </w:t>
      </w:r>
      <w:r w:rsidRPr="00775BCB">
        <w:rPr>
          <w:rFonts w:asciiTheme="minorHAnsi" w:hAnsiTheme="minorHAnsi"/>
        </w:rPr>
        <w:t xml:space="preserve"> must be filled out:</w:t>
      </w:r>
    </w:p>
    <w:p w:rsidR="000532A1" w:rsidRPr="002F2828" w:rsidRDefault="000532A1" w:rsidP="00B47541">
      <w:pPr>
        <w:pStyle w:val="Para1"/>
        <w:numPr>
          <w:ilvl w:val="1"/>
          <w:numId w:val="106"/>
        </w:numPr>
        <w:rPr>
          <w:rFonts w:asciiTheme="minorHAnsi" w:hAnsiTheme="minorHAnsi"/>
        </w:rPr>
      </w:pPr>
      <w:r w:rsidRPr="00775BCB">
        <w:rPr>
          <w:rFonts w:asciiTheme="minorHAnsi" w:hAnsiTheme="minorHAnsi"/>
        </w:rPr>
        <w:t>‘</w:t>
      </w:r>
      <w:r w:rsidR="009764C2" w:rsidRPr="009764C2">
        <w:rPr>
          <w:rFonts w:asciiTheme="minorHAnsi" w:hAnsiTheme="minorHAnsi"/>
          <w:u w:val="single"/>
        </w:rPr>
        <w:t>User guidance</w:t>
      </w:r>
      <w:r w:rsidRPr="00775BCB">
        <w:rPr>
          <w:rFonts w:asciiTheme="minorHAnsi" w:hAnsiTheme="minorHAnsi"/>
          <w:u w:val="single"/>
        </w:rPr>
        <w:t>’</w:t>
      </w:r>
      <w:r w:rsidRPr="00775BCB">
        <w:rPr>
          <w:rFonts w:asciiTheme="minorHAnsi" w:hAnsiTheme="minorHAnsi"/>
        </w:rPr>
        <w:t>: guidance (if required</w:t>
      </w:r>
      <w:r w:rsidRPr="002F2828">
        <w:rPr>
          <w:rFonts w:asciiTheme="minorHAnsi" w:hAnsiTheme="minorHAnsi"/>
        </w:rPr>
        <w:t>) on completing each question of the AMMAT.</w:t>
      </w:r>
    </w:p>
    <w:p w:rsidR="000532A1" w:rsidRPr="00B47541" w:rsidRDefault="000532A1" w:rsidP="00B47541">
      <w:pPr>
        <w:pStyle w:val="Para1"/>
        <w:numPr>
          <w:ilvl w:val="0"/>
          <w:numId w:val="0"/>
        </w:numPr>
        <w:ind w:left="1418"/>
        <w:rPr>
          <w:rFonts w:asciiTheme="minorHAnsi" w:hAnsiTheme="minorHAnsi"/>
        </w:rPr>
      </w:pPr>
      <w:r w:rsidRPr="00B47541">
        <w:rPr>
          <w:rFonts w:asciiTheme="minorHAnsi" w:hAnsiTheme="minorHAnsi"/>
        </w:rPr>
        <w:t>This column can be used by the person responsible for completing and maintaining the AMMAT to provide guidance to the persons coordinating responses to each question.</w:t>
      </w:r>
    </w:p>
    <w:p w:rsidR="000532A1" w:rsidRPr="002F2828" w:rsidRDefault="000532A1" w:rsidP="00B47541">
      <w:pPr>
        <w:pStyle w:val="Para1"/>
        <w:numPr>
          <w:ilvl w:val="1"/>
          <w:numId w:val="106"/>
        </w:numPr>
        <w:rPr>
          <w:rFonts w:asciiTheme="minorHAnsi" w:hAnsiTheme="minorHAnsi"/>
        </w:rPr>
      </w:pPr>
      <w:r w:rsidRPr="002F2828">
        <w:rPr>
          <w:rFonts w:asciiTheme="minorHAnsi" w:hAnsiTheme="minorHAnsi"/>
        </w:rPr>
        <w:t>‘</w:t>
      </w:r>
      <w:r w:rsidR="009764C2" w:rsidRPr="009764C2">
        <w:rPr>
          <w:rFonts w:asciiTheme="minorHAnsi" w:hAnsiTheme="minorHAnsi"/>
          <w:u w:val="single"/>
        </w:rPr>
        <w:t>Evidence—</w:t>
      </w:r>
      <w:proofErr w:type="gramStart"/>
      <w:r w:rsidR="009764C2" w:rsidRPr="009764C2">
        <w:rPr>
          <w:rFonts w:asciiTheme="minorHAnsi" w:hAnsiTheme="minorHAnsi"/>
          <w:u w:val="single"/>
        </w:rPr>
        <w:t>Summary</w:t>
      </w:r>
      <w:proofErr w:type="gramEnd"/>
      <w:r w:rsidRPr="00775BCB">
        <w:rPr>
          <w:rFonts w:asciiTheme="minorHAnsi" w:hAnsiTheme="minorHAnsi"/>
          <w:u w:val="single"/>
        </w:rPr>
        <w:t>’</w:t>
      </w:r>
      <w:r w:rsidRPr="002F2828">
        <w:rPr>
          <w:rFonts w:asciiTheme="minorHAnsi" w:hAnsiTheme="minorHAnsi"/>
        </w:rPr>
        <w:t>: the information/evidence used to support the assessed rating.</w:t>
      </w:r>
    </w:p>
    <w:p w:rsidR="000532A1" w:rsidRPr="00B47541" w:rsidRDefault="000532A1" w:rsidP="00B47541">
      <w:pPr>
        <w:pStyle w:val="Para1"/>
        <w:numPr>
          <w:ilvl w:val="0"/>
          <w:numId w:val="0"/>
        </w:numPr>
        <w:ind w:left="1418"/>
        <w:rPr>
          <w:rFonts w:asciiTheme="minorHAnsi" w:hAnsiTheme="minorHAnsi"/>
        </w:rPr>
      </w:pPr>
      <w:r w:rsidRPr="00B47541">
        <w:rPr>
          <w:rFonts w:asciiTheme="minorHAnsi" w:hAnsiTheme="minorHAnsi"/>
        </w:rPr>
        <w:t>The cells in this column should be completed by persons coordinating responses to each question.</w:t>
      </w:r>
    </w:p>
    <w:p w:rsidR="000532A1" w:rsidRDefault="000532A1" w:rsidP="00B47541">
      <w:pPr>
        <w:pStyle w:val="Para1"/>
        <w:numPr>
          <w:ilvl w:val="1"/>
          <w:numId w:val="106"/>
        </w:numPr>
        <w:rPr>
          <w:rFonts w:asciiTheme="minorHAnsi" w:hAnsiTheme="minorHAnsi"/>
        </w:rPr>
      </w:pPr>
      <w:r w:rsidRPr="00775BCB">
        <w:rPr>
          <w:rFonts w:asciiTheme="minorHAnsi" w:hAnsiTheme="minorHAnsi"/>
          <w:u w:val="single"/>
        </w:rPr>
        <w:t>‘</w:t>
      </w:r>
      <w:r w:rsidR="009764C2" w:rsidRPr="009764C2">
        <w:rPr>
          <w:rFonts w:asciiTheme="minorHAnsi" w:hAnsiTheme="minorHAnsi"/>
          <w:u w:val="single"/>
        </w:rPr>
        <w:t>Score</w:t>
      </w:r>
      <w:r w:rsidRPr="00775BCB">
        <w:rPr>
          <w:rFonts w:asciiTheme="minorHAnsi" w:hAnsiTheme="minorHAnsi"/>
          <w:u w:val="single"/>
        </w:rPr>
        <w:t>’</w:t>
      </w:r>
      <w:r w:rsidRPr="002F2828">
        <w:rPr>
          <w:rFonts w:asciiTheme="minorHAnsi" w:hAnsiTheme="minorHAnsi"/>
        </w:rPr>
        <w:t>: the appropriate maturity rating (this must be a whole number between 0 and 4).</w:t>
      </w:r>
    </w:p>
    <w:p w:rsidR="00F56F86" w:rsidRDefault="00B47541">
      <w:pPr>
        <w:pStyle w:val="Para1"/>
        <w:numPr>
          <w:ilvl w:val="0"/>
          <w:numId w:val="0"/>
        </w:numPr>
        <w:ind w:left="1418"/>
        <w:rPr>
          <w:rFonts w:asciiTheme="minorHAnsi" w:hAnsiTheme="minorHAnsi"/>
        </w:rPr>
      </w:pPr>
      <w:r w:rsidRPr="00B47541">
        <w:rPr>
          <w:rFonts w:asciiTheme="minorHAnsi" w:hAnsiTheme="minorHAnsi"/>
        </w:rPr>
        <w:t xml:space="preserve">To meet AMMAT level 4 </w:t>
      </w:r>
      <w:proofErr w:type="gramStart"/>
      <w:r w:rsidRPr="00B47541">
        <w:rPr>
          <w:rFonts w:asciiTheme="minorHAnsi" w:hAnsiTheme="minorHAnsi"/>
        </w:rPr>
        <w:t>maturity</w:t>
      </w:r>
      <w:proofErr w:type="gramEnd"/>
      <w:r w:rsidRPr="00B47541">
        <w:rPr>
          <w:rFonts w:asciiTheme="minorHAnsi" w:hAnsiTheme="minorHAnsi"/>
        </w:rPr>
        <w:t xml:space="preserve">, the </w:t>
      </w:r>
      <w:proofErr w:type="spellStart"/>
      <w:r w:rsidRPr="00B47541">
        <w:rPr>
          <w:rStyle w:val="Emphasis-Italics"/>
          <w:b/>
          <w:i w:val="0"/>
        </w:rPr>
        <w:t>GDB</w:t>
      </w:r>
      <w:r w:rsidRPr="00B47541">
        <w:rPr>
          <w:rFonts w:asciiTheme="minorHAnsi" w:hAnsiTheme="minorHAnsi"/>
        </w:rPr>
        <w:t>’s</w:t>
      </w:r>
      <w:proofErr w:type="spellEnd"/>
      <w:r w:rsidRPr="00B47541">
        <w:rPr>
          <w:rFonts w:asciiTheme="minorHAnsi" w:hAnsiTheme="minorHAnsi"/>
        </w:rPr>
        <w:t xml:space="preserve"> processes must surpass the standards that must be complied with in an internationally accepted asset management specification</w:t>
      </w:r>
      <w:r w:rsidR="008F5D7B">
        <w:rPr>
          <w:rFonts w:asciiTheme="minorHAnsi" w:hAnsiTheme="minorHAnsi"/>
        </w:rPr>
        <w:t xml:space="preserve">. </w:t>
      </w:r>
      <w:r w:rsidRPr="00B47541">
        <w:rPr>
          <w:rFonts w:asciiTheme="minorHAnsi" w:hAnsiTheme="minorHAnsi"/>
        </w:rPr>
        <w:t xml:space="preserve">The AMMAT questionnaire has been prepared to conform </w:t>
      </w:r>
      <w:r w:rsidR="00775BCB">
        <w:rPr>
          <w:rFonts w:asciiTheme="minorHAnsi" w:hAnsiTheme="minorHAnsi"/>
        </w:rPr>
        <w:t>to</w:t>
      </w:r>
      <w:r w:rsidRPr="00B47541">
        <w:rPr>
          <w:rFonts w:asciiTheme="minorHAnsi" w:hAnsiTheme="minorHAnsi"/>
        </w:rPr>
        <w:t xml:space="preserve"> the PAS 55 specification</w:t>
      </w:r>
      <w:r w:rsidR="008F5D7B">
        <w:rPr>
          <w:rFonts w:asciiTheme="minorHAnsi" w:hAnsiTheme="minorHAnsi"/>
        </w:rPr>
        <w:t xml:space="preserve">. </w:t>
      </w:r>
      <w:r w:rsidRPr="00B47541">
        <w:rPr>
          <w:rFonts w:asciiTheme="minorHAnsi" w:hAnsiTheme="minorHAnsi"/>
        </w:rPr>
        <w:t>However, a similar specification, if available, may be used for the purpose of disclosure.</w:t>
      </w:r>
    </w:p>
    <w:p w:rsidR="00696BA2" w:rsidRDefault="00696BA2" w:rsidP="00A30D45"/>
    <w:p w:rsidR="00696BA2" w:rsidRDefault="00696BA2" w:rsidP="00A30D45"/>
    <w:p w:rsidR="00696BA2" w:rsidRDefault="00696BA2" w:rsidP="00A30D45">
      <w:pPr>
        <w:sectPr w:rsidR="00696BA2" w:rsidSect="00223E26">
          <w:pgSz w:w="11907" w:h="16840" w:code="9"/>
          <w:pgMar w:top="1440" w:right="1440" w:bottom="1440" w:left="1440" w:header="1134" w:footer="431" w:gutter="0"/>
          <w:cols w:space="720"/>
          <w:docGrid w:linePitch="326"/>
        </w:sectPr>
      </w:pPr>
    </w:p>
    <w:p w:rsidR="00696BA2" w:rsidRDefault="00DF37D2" w:rsidP="00A30D45">
      <w:r>
        <w:rPr>
          <w:noProof/>
          <w:lang w:eastAsia="en-NZ"/>
        </w:rPr>
        <w:drawing>
          <wp:anchor distT="0" distB="0" distL="114300" distR="114300" simplePos="0" relativeHeight="251705344" behindDoc="0" locked="0" layoutInCell="1" allowOverlap="1">
            <wp:simplePos x="0" y="0"/>
            <wp:positionH relativeFrom="column">
              <wp:posOffset>-280670</wp:posOffset>
            </wp:positionH>
            <wp:positionV relativeFrom="paragraph">
              <wp:posOffset>422910</wp:posOffset>
            </wp:positionV>
            <wp:extent cx="14295755" cy="7110095"/>
            <wp:effectExtent l="19050" t="0" r="0" b="0"/>
            <wp:wrapSquare wrapText="bothSides"/>
            <wp:docPr id="141" name="Picture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59" cstate="print"/>
                    <a:srcRect/>
                    <a:stretch>
                      <a:fillRect/>
                    </a:stretch>
                  </pic:blipFill>
                  <pic:spPr bwMode="auto">
                    <a:xfrm>
                      <a:off x="0" y="0"/>
                      <a:ext cx="14295755" cy="7110095"/>
                    </a:xfrm>
                    <a:prstGeom prst="rect">
                      <a:avLst/>
                    </a:prstGeom>
                    <a:noFill/>
                    <a:ln w="9525">
                      <a:noFill/>
                      <a:miter lim="800000"/>
                      <a:headEnd/>
                      <a:tailEnd/>
                    </a:ln>
                  </pic:spPr>
                </pic:pic>
              </a:graphicData>
            </a:graphic>
          </wp:anchor>
        </w:drawing>
      </w:r>
    </w:p>
    <w:p w:rsidR="00696BA2" w:rsidRPr="002F2828" w:rsidRDefault="00696BA2" w:rsidP="00A30D45"/>
    <w:p w:rsidR="00A30D45" w:rsidRDefault="00A30D45" w:rsidP="00A30D45"/>
    <w:p w:rsidR="00576F1B" w:rsidRDefault="00576F1B">
      <w:r>
        <w:br w:type="page"/>
      </w:r>
    </w:p>
    <w:p w:rsidR="00696BA2" w:rsidRDefault="00696BA2" w:rsidP="00A30D45"/>
    <w:p w:rsidR="00696BA2" w:rsidRDefault="00DF37D2" w:rsidP="00A30D45">
      <w:r>
        <w:rPr>
          <w:noProof/>
          <w:lang w:eastAsia="en-NZ"/>
        </w:rPr>
        <w:drawing>
          <wp:anchor distT="0" distB="0" distL="114300" distR="114300" simplePos="0" relativeHeight="251706368" behindDoc="0" locked="0" layoutInCell="1" allowOverlap="1">
            <wp:simplePos x="0" y="0"/>
            <wp:positionH relativeFrom="column">
              <wp:posOffset>-407035</wp:posOffset>
            </wp:positionH>
            <wp:positionV relativeFrom="paragraph">
              <wp:posOffset>410210</wp:posOffset>
            </wp:positionV>
            <wp:extent cx="14388465" cy="6558280"/>
            <wp:effectExtent l="19050" t="0" r="0" b="0"/>
            <wp:wrapSquare wrapText="bothSides"/>
            <wp:docPr id="142" name="Picture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pic:cNvPicPr>
                      <a:picLocks noChangeAspect="1" noChangeArrowheads="1"/>
                    </pic:cNvPicPr>
                  </pic:nvPicPr>
                  <pic:blipFill>
                    <a:blip r:embed="rId60" cstate="print"/>
                    <a:srcRect/>
                    <a:stretch>
                      <a:fillRect/>
                    </a:stretch>
                  </pic:blipFill>
                  <pic:spPr bwMode="auto">
                    <a:xfrm>
                      <a:off x="0" y="0"/>
                      <a:ext cx="14388465" cy="6558280"/>
                    </a:xfrm>
                    <a:prstGeom prst="rect">
                      <a:avLst/>
                    </a:prstGeom>
                    <a:noFill/>
                    <a:ln w="9525">
                      <a:noFill/>
                      <a:miter lim="800000"/>
                      <a:headEnd/>
                      <a:tailEnd/>
                    </a:ln>
                  </pic:spPr>
                </pic:pic>
              </a:graphicData>
            </a:graphic>
          </wp:anchor>
        </w:drawing>
      </w:r>
    </w:p>
    <w:p w:rsidR="00696BA2" w:rsidRDefault="00696BA2" w:rsidP="00A30D45"/>
    <w:p w:rsidR="00696BA2" w:rsidRDefault="00696BA2" w:rsidP="00A30D45"/>
    <w:p w:rsidR="00696BA2" w:rsidRDefault="00696BA2" w:rsidP="00A30D45"/>
    <w:p w:rsidR="00576F1B" w:rsidRDefault="00576F1B">
      <w:r>
        <w:br w:type="page"/>
      </w:r>
    </w:p>
    <w:p w:rsidR="00696BA2" w:rsidRDefault="00576F1B" w:rsidP="00A30D45">
      <w:r>
        <w:rPr>
          <w:noProof/>
          <w:lang w:eastAsia="en-NZ"/>
        </w:rPr>
        <w:drawing>
          <wp:anchor distT="0" distB="0" distL="114300" distR="114300" simplePos="0" relativeHeight="251700224" behindDoc="0" locked="0" layoutInCell="1" allowOverlap="1">
            <wp:simplePos x="0" y="0"/>
            <wp:positionH relativeFrom="column">
              <wp:posOffset>-280670</wp:posOffset>
            </wp:positionH>
            <wp:positionV relativeFrom="paragraph">
              <wp:posOffset>474980</wp:posOffset>
            </wp:positionV>
            <wp:extent cx="13991590" cy="6690360"/>
            <wp:effectExtent l="19050" t="0" r="0" b="0"/>
            <wp:wrapSquare wrapText="bothSides"/>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61" cstate="print"/>
                    <a:srcRect/>
                    <a:stretch>
                      <a:fillRect/>
                    </a:stretch>
                  </pic:blipFill>
                  <pic:spPr bwMode="auto">
                    <a:xfrm>
                      <a:off x="0" y="0"/>
                      <a:ext cx="13991590" cy="6690360"/>
                    </a:xfrm>
                    <a:prstGeom prst="rect">
                      <a:avLst/>
                    </a:prstGeom>
                    <a:noFill/>
                    <a:ln w="9525">
                      <a:noFill/>
                      <a:miter lim="800000"/>
                      <a:headEnd/>
                      <a:tailEnd/>
                    </a:ln>
                  </pic:spPr>
                </pic:pic>
              </a:graphicData>
            </a:graphic>
          </wp:anchor>
        </w:drawing>
      </w:r>
    </w:p>
    <w:p w:rsidR="00696BA2" w:rsidRDefault="00696BA2" w:rsidP="00A30D45"/>
    <w:p w:rsidR="00696BA2" w:rsidRDefault="00696BA2" w:rsidP="00A30D45"/>
    <w:p w:rsidR="00696BA2" w:rsidRDefault="00696BA2" w:rsidP="00A30D45"/>
    <w:p w:rsidR="00696BA2" w:rsidRDefault="00696BA2">
      <w:r>
        <w:br w:type="page"/>
      </w:r>
    </w:p>
    <w:p w:rsidR="00696BA2" w:rsidRDefault="00E24E60" w:rsidP="00A30D45">
      <w:r>
        <w:rPr>
          <w:noProof/>
          <w:lang w:eastAsia="en-NZ"/>
        </w:rPr>
        <w:drawing>
          <wp:anchor distT="0" distB="0" distL="114300" distR="114300" simplePos="0" relativeHeight="251701248" behindDoc="0" locked="0" layoutInCell="1" allowOverlap="1">
            <wp:simplePos x="0" y="0"/>
            <wp:positionH relativeFrom="column">
              <wp:posOffset>29845</wp:posOffset>
            </wp:positionH>
            <wp:positionV relativeFrom="paragraph">
              <wp:posOffset>29210</wp:posOffset>
            </wp:positionV>
            <wp:extent cx="13469620" cy="8260715"/>
            <wp:effectExtent l="19050" t="0" r="0" b="0"/>
            <wp:wrapSquare wrapText="bothSides"/>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62" cstate="print"/>
                    <a:srcRect/>
                    <a:stretch>
                      <a:fillRect/>
                    </a:stretch>
                  </pic:blipFill>
                  <pic:spPr bwMode="auto">
                    <a:xfrm>
                      <a:off x="0" y="0"/>
                      <a:ext cx="13469620" cy="8260715"/>
                    </a:xfrm>
                    <a:prstGeom prst="rect">
                      <a:avLst/>
                    </a:prstGeom>
                    <a:noFill/>
                    <a:ln w="9525">
                      <a:noFill/>
                      <a:miter lim="800000"/>
                      <a:headEnd/>
                      <a:tailEnd/>
                    </a:ln>
                  </pic:spPr>
                </pic:pic>
              </a:graphicData>
            </a:graphic>
          </wp:anchor>
        </w:drawing>
      </w:r>
    </w:p>
    <w:p w:rsidR="00E24E60" w:rsidRDefault="00E24E60">
      <w:r>
        <w:br w:type="page"/>
      </w:r>
    </w:p>
    <w:p w:rsidR="00696BA2" w:rsidRDefault="00E24E60" w:rsidP="00A30D45">
      <w:r>
        <w:rPr>
          <w:noProof/>
          <w:lang w:eastAsia="en-NZ"/>
        </w:rPr>
        <w:drawing>
          <wp:anchor distT="0" distB="0" distL="114300" distR="114300" simplePos="0" relativeHeight="251702272" behindDoc="0" locked="0" layoutInCell="1" allowOverlap="1">
            <wp:simplePos x="0" y="0"/>
            <wp:positionH relativeFrom="column">
              <wp:posOffset>-375285</wp:posOffset>
            </wp:positionH>
            <wp:positionV relativeFrom="paragraph">
              <wp:posOffset>422910</wp:posOffset>
            </wp:positionV>
            <wp:extent cx="14257020" cy="6904990"/>
            <wp:effectExtent l="19050" t="0" r="0" b="0"/>
            <wp:wrapSquare wrapText="bothSides"/>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63" cstate="print"/>
                    <a:srcRect/>
                    <a:stretch>
                      <a:fillRect/>
                    </a:stretch>
                  </pic:blipFill>
                  <pic:spPr bwMode="auto">
                    <a:xfrm>
                      <a:off x="0" y="0"/>
                      <a:ext cx="14257020" cy="6904990"/>
                    </a:xfrm>
                    <a:prstGeom prst="rect">
                      <a:avLst/>
                    </a:prstGeom>
                    <a:noFill/>
                    <a:ln w="9525">
                      <a:noFill/>
                      <a:miter lim="800000"/>
                      <a:headEnd/>
                      <a:tailEnd/>
                    </a:ln>
                  </pic:spPr>
                </pic:pic>
              </a:graphicData>
            </a:graphic>
          </wp:anchor>
        </w:drawing>
      </w:r>
    </w:p>
    <w:p w:rsidR="00696BA2" w:rsidRDefault="00696BA2" w:rsidP="00A30D45"/>
    <w:p w:rsidR="00696BA2" w:rsidRDefault="00696BA2" w:rsidP="00A30D45"/>
    <w:p w:rsidR="00E24E60" w:rsidRDefault="00E24E60" w:rsidP="00A30D45"/>
    <w:p w:rsidR="00E24E60" w:rsidRDefault="00E24E60">
      <w:r>
        <w:br w:type="page"/>
      </w:r>
    </w:p>
    <w:p w:rsidR="00E24E60" w:rsidRDefault="000423DE" w:rsidP="00A30D45">
      <w:r>
        <w:rPr>
          <w:noProof/>
          <w:lang w:eastAsia="en-NZ"/>
        </w:rPr>
        <w:drawing>
          <wp:anchor distT="0" distB="0" distL="114300" distR="114300" simplePos="0" relativeHeight="251703296" behindDoc="0" locked="0" layoutInCell="1" allowOverlap="1">
            <wp:simplePos x="0" y="0"/>
            <wp:positionH relativeFrom="column">
              <wp:posOffset>-375285</wp:posOffset>
            </wp:positionH>
            <wp:positionV relativeFrom="paragraph">
              <wp:posOffset>340995</wp:posOffset>
            </wp:positionV>
            <wp:extent cx="14276705" cy="6895465"/>
            <wp:effectExtent l="19050" t="0" r="0" b="0"/>
            <wp:wrapSquare wrapText="bothSides"/>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64" cstate="print"/>
                    <a:srcRect/>
                    <a:stretch>
                      <a:fillRect/>
                    </a:stretch>
                  </pic:blipFill>
                  <pic:spPr bwMode="auto">
                    <a:xfrm>
                      <a:off x="0" y="0"/>
                      <a:ext cx="14276705" cy="6895465"/>
                    </a:xfrm>
                    <a:prstGeom prst="rect">
                      <a:avLst/>
                    </a:prstGeom>
                    <a:noFill/>
                    <a:ln w="9525">
                      <a:noFill/>
                      <a:miter lim="800000"/>
                      <a:headEnd/>
                      <a:tailEnd/>
                    </a:ln>
                  </pic:spPr>
                </pic:pic>
              </a:graphicData>
            </a:graphic>
          </wp:anchor>
        </w:drawing>
      </w:r>
    </w:p>
    <w:p w:rsidR="00E24E60" w:rsidRDefault="00E24E60" w:rsidP="00A30D45"/>
    <w:p w:rsidR="000423DE" w:rsidRDefault="000423DE">
      <w:r>
        <w:br w:type="page"/>
      </w:r>
    </w:p>
    <w:p w:rsidR="00E24E60" w:rsidRDefault="00405CD9" w:rsidP="00A30D45">
      <w:r>
        <w:rPr>
          <w:noProof/>
          <w:lang w:eastAsia="en-NZ"/>
        </w:rPr>
        <w:drawing>
          <wp:anchor distT="0" distB="0" distL="114300" distR="114300" simplePos="0" relativeHeight="251707392" behindDoc="0" locked="0" layoutInCell="1" allowOverlap="1">
            <wp:simplePos x="0" y="0"/>
            <wp:positionH relativeFrom="column">
              <wp:posOffset>-634365</wp:posOffset>
            </wp:positionH>
            <wp:positionV relativeFrom="paragraph">
              <wp:posOffset>-20955</wp:posOffset>
            </wp:positionV>
            <wp:extent cx="14611350" cy="7469505"/>
            <wp:effectExtent l="19050" t="0" r="0" b="0"/>
            <wp:wrapSquare wrapText="bothSides"/>
            <wp:docPr id="2"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65" cstate="print"/>
                    <a:srcRect/>
                    <a:stretch>
                      <a:fillRect/>
                    </a:stretch>
                  </pic:blipFill>
                  <pic:spPr bwMode="auto">
                    <a:xfrm>
                      <a:off x="0" y="0"/>
                      <a:ext cx="14611350" cy="7469505"/>
                    </a:xfrm>
                    <a:prstGeom prst="rect">
                      <a:avLst/>
                    </a:prstGeom>
                    <a:noFill/>
                    <a:ln w="9525">
                      <a:noFill/>
                      <a:miter lim="800000"/>
                      <a:headEnd/>
                      <a:tailEnd/>
                    </a:ln>
                  </pic:spPr>
                </pic:pic>
              </a:graphicData>
            </a:graphic>
          </wp:anchor>
        </w:drawing>
      </w:r>
    </w:p>
    <w:p w:rsidR="000423DE" w:rsidRDefault="000423DE" w:rsidP="00A30D45"/>
    <w:p w:rsidR="00405CD9" w:rsidRDefault="00405CD9">
      <w:r>
        <w:br w:type="page"/>
      </w:r>
    </w:p>
    <w:p w:rsidR="00405CD9" w:rsidRDefault="00405CD9" w:rsidP="00A30D45">
      <w:r>
        <w:rPr>
          <w:noProof/>
          <w:lang w:eastAsia="en-NZ"/>
        </w:rPr>
        <w:drawing>
          <wp:anchor distT="0" distB="0" distL="114300" distR="114300" simplePos="0" relativeHeight="251704320" behindDoc="0" locked="0" layoutInCell="1" allowOverlap="1">
            <wp:simplePos x="0" y="0"/>
            <wp:positionH relativeFrom="column">
              <wp:posOffset>-631190</wp:posOffset>
            </wp:positionH>
            <wp:positionV relativeFrom="paragraph">
              <wp:posOffset>323850</wp:posOffset>
            </wp:positionV>
            <wp:extent cx="14664055" cy="6866890"/>
            <wp:effectExtent l="19050" t="0" r="4445" b="0"/>
            <wp:wrapSquare wrapText="bothSides"/>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66" cstate="print"/>
                    <a:srcRect/>
                    <a:stretch>
                      <a:fillRect/>
                    </a:stretch>
                  </pic:blipFill>
                  <pic:spPr bwMode="auto">
                    <a:xfrm>
                      <a:off x="0" y="0"/>
                      <a:ext cx="14664055" cy="6866890"/>
                    </a:xfrm>
                    <a:prstGeom prst="rect">
                      <a:avLst/>
                    </a:prstGeom>
                    <a:noFill/>
                    <a:ln w="9525">
                      <a:noFill/>
                      <a:miter lim="800000"/>
                      <a:headEnd/>
                      <a:tailEnd/>
                    </a:ln>
                  </pic:spPr>
                </pic:pic>
              </a:graphicData>
            </a:graphic>
          </wp:anchor>
        </w:drawing>
      </w:r>
    </w:p>
    <w:p w:rsidR="000423DE" w:rsidRDefault="000423DE" w:rsidP="00A30D45"/>
    <w:p w:rsidR="00696BA2" w:rsidRPr="002F2828" w:rsidRDefault="00696BA2" w:rsidP="00A30D45"/>
    <w:p w:rsidR="00A30D45" w:rsidRPr="002F2828" w:rsidRDefault="00A30D45" w:rsidP="00A30D45">
      <w:pPr>
        <w:sectPr w:rsidR="00A30D45" w:rsidRPr="002F2828" w:rsidSect="00E24E60">
          <w:pgSz w:w="23814" w:h="16839" w:orient="landscape" w:code="8"/>
          <w:pgMar w:top="1440" w:right="1440" w:bottom="993" w:left="1440" w:header="1134" w:footer="431" w:gutter="0"/>
          <w:cols w:space="720"/>
          <w:docGrid w:linePitch="326"/>
        </w:sectPr>
      </w:pPr>
    </w:p>
    <w:p w:rsidR="00626EDC" w:rsidRPr="00604256" w:rsidRDefault="00626EDC" w:rsidP="00626EDC">
      <w:pPr>
        <w:pStyle w:val="Heading1"/>
        <w:spacing w:line="264" w:lineRule="auto"/>
        <w:jc w:val="center"/>
      </w:pPr>
      <w:bookmarkStart w:id="778" w:name="_Toc328596093"/>
      <w:bookmarkStart w:id="779" w:name="_Toc329301664"/>
      <w:r>
        <w:t>Schedule 14</w:t>
      </w:r>
      <w:r w:rsidRPr="00604256">
        <w:tab/>
      </w:r>
      <w:r w:rsidRPr="00604256">
        <w:tab/>
      </w:r>
      <w:r>
        <w:t>Mandatory Explanatory Notes</w:t>
      </w:r>
      <w:bookmarkEnd w:id="778"/>
      <w:bookmarkEnd w:id="779"/>
    </w:p>
    <w:p w:rsidR="00626EDC" w:rsidRDefault="00626EDC" w:rsidP="00626EDC">
      <w:pPr>
        <w:pStyle w:val="Singlespacedparagraph"/>
      </w:pPr>
    </w:p>
    <w:p w:rsidR="00837237" w:rsidRPr="00837237" w:rsidRDefault="00837237" w:rsidP="00837237">
      <w:pPr>
        <w:pStyle w:val="Para1"/>
        <w:numPr>
          <w:ilvl w:val="0"/>
          <w:numId w:val="143"/>
        </w:numPr>
        <w:rPr>
          <w:bCs/>
          <w:iCs/>
        </w:rPr>
      </w:pPr>
      <w:r>
        <w:t xml:space="preserve">This Schedule </w:t>
      </w:r>
      <w:r w:rsidR="001100D3">
        <w:t xml:space="preserve">requires </w:t>
      </w:r>
      <w:proofErr w:type="spellStart"/>
      <w:r>
        <w:rPr>
          <w:b/>
        </w:rPr>
        <w:t>GDB</w:t>
      </w:r>
      <w:r>
        <w:t>s</w:t>
      </w:r>
      <w:proofErr w:type="spellEnd"/>
      <w:r>
        <w:t xml:space="preserve"> to provide explanatory notes to information provided in accordance with clauses </w:t>
      </w:r>
      <w:r w:rsidR="00004445">
        <w:fldChar w:fldCharType="begin"/>
      </w:r>
      <w:r>
        <w:instrText xml:space="preserve"> REF _Ref279613342 \r \h </w:instrText>
      </w:r>
      <w:r w:rsidR="00004445">
        <w:fldChar w:fldCharType="separate"/>
      </w:r>
      <w:r w:rsidR="00A84D28">
        <w:t>2.3.1</w:t>
      </w:r>
      <w:r w:rsidR="00004445">
        <w:fldChar w:fldCharType="end"/>
      </w:r>
      <w:r>
        <w:t xml:space="preserve">, </w:t>
      </w:r>
      <w:r w:rsidR="00004445">
        <w:fldChar w:fldCharType="begin"/>
      </w:r>
      <w:r w:rsidR="00A76D01">
        <w:instrText xml:space="preserve"> REF _Ref328953510 \r \h </w:instrText>
      </w:r>
      <w:r w:rsidR="00004445">
        <w:fldChar w:fldCharType="separate"/>
      </w:r>
      <w:r w:rsidR="00A84D28">
        <w:t>2.4.19</w:t>
      </w:r>
      <w:r w:rsidR="00004445">
        <w:fldChar w:fldCharType="end"/>
      </w:r>
      <w:r w:rsidR="00A76D01">
        <w:t xml:space="preserve">, </w:t>
      </w:r>
      <w:r w:rsidR="00004445">
        <w:fldChar w:fldCharType="begin"/>
      </w:r>
      <w:r w:rsidR="00A76D01">
        <w:instrText xml:space="preserve"> REF _Ref328953520 \r \h </w:instrText>
      </w:r>
      <w:r w:rsidR="00004445">
        <w:fldChar w:fldCharType="separate"/>
      </w:r>
      <w:r w:rsidR="00A84D28">
        <w:t>2.4.20</w:t>
      </w:r>
      <w:r w:rsidR="00004445">
        <w:fldChar w:fldCharType="end"/>
      </w:r>
      <w:r w:rsidR="00A76D01">
        <w:t xml:space="preserve">, and </w:t>
      </w:r>
      <w:r w:rsidR="00004445">
        <w:fldChar w:fldCharType="begin"/>
      </w:r>
      <w:r w:rsidR="00A76D01">
        <w:instrText xml:space="preserve"> REF _Ref328953556 \r \h </w:instrText>
      </w:r>
      <w:r w:rsidR="00004445">
        <w:fldChar w:fldCharType="separate"/>
      </w:r>
      <w:r w:rsidR="00A84D28">
        <w:t>2.5.1</w:t>
      </w:r>
      <w:r w:rsidR="00004445">
        <w:fldChar w:fldCharType="end"/>
      </w:r>
      <w:r w:rsidRPr="00837237">
        <w:rPr>
          <w:bCs/>
          <w:iCs/>
        </w:rPr>
        <w:t>.</w:t>
      </w:r>
    </w:p>
    <w:p w:rsidR="00837237" w:rsidRDefault="00837237" w:rsidP="00837237">
      <w:pPr>
        <w:pStyle w:val="Para1"/>
        <w:rPr>
          <w:bCs/>
          <w:iCs/>
        </w:rPr>
      </w:pPr>
      <w:r>
        <w:rPr>
          <w:bCs/>
          <w:iCs/>
        </w:rPr>
        <w:t>This Schedule is mandatory—</w:t>
      </w:r>
      <w:proofErr w:type="spellStart"/>
      <w:r>
        <w:rPr>
          <w:b/>
          <w:bCs/>
          <w:iCs/>
        </w:rPr>
        <w:t>GDB</w:t>
      </w:r>
      <w:r>
        <w:rPr>
          <w:bCs/>
          <w:iCs/>
        </w:rPr>
        <w:t>s</w:t>
      </w:r>
      <w:proofErr w:type="spellEnd"/>
      <w:r>
        <w:rPr>
          <w:bCs/>
          <w:iCs/>
        </w:rPr>
        <w:t xml:space="preserve"> must provide the explanatory comment specified below, in accordance with clause </w:t>
      </w:r>
      <w:r w:rsidR="00004445">
        <w:rPr>
          <w:bCs/>
          <w:iCs/>
        </w:rPr>
        <w:fldChar w:fldCharType="begin"/>
      </w:r>
      <w:r>
        <w:rPr>
          <w:bCs/>
          <w:iCs/>
        </w:rPr>
        <w:instrText xml:space="preserve"> REF _Ref328811155 \n \h </w:instrText>
      </w:r>
      <w:r w:rsidR="00004445">
        <w:rPr>
          <w:bCs/>
          <w:iCs/>
        </w:rPr>
      </w:r>
      <w:r w:rsidR="00004445">
        <w:rPr>
          <w:bCs/>
          <w:iCs/>
        </w:rPr>
        <w:fldChar w:fldCharType="separate"/>
      </w:r>
      <w:r w:rsidR="00A84D28">
        <w:rPr>
          <w:bCs/>
          <w:iCs/>
        </w:rPr>
        <w:t>2.7.1</w:t>
      </w:r>
      <w:r w:rsidR="00004445">
        <w:rPr>
          <w:bCs/>
          <w:iCs/>
        </w:rPr>
        <w:fldChar w:fldCharType="end"/>
      </w:r>
      <w:r>
        <w:rPr>
          <w:bCs/>
          <w:iCs/>
        </w:rPr>
        <w:t xml:space="preserve">. This information is part of the </w:t>
      </w:r>
      <w:r w:rsidRPr="006E1EB3">
        <w:rPr>
          <w:b/>
          <w:bCs/>
          <w:iCs/>
        </w:rPr>
        <w:t>audited disclosure information</w:t>
      </w:r>
      <w:r w:rsidRPr="006E1EB3">
        <w:rPr>
          <w:bCs/>
          <w:iCs/>
        </w:rPr>
        <w:t>,</w:t>
      </w:r>
      <w:r>
        <w:rPr>
          <w:b/>
          <w:bCs/>
          <w:iCs/>
        </w:rPr>
        <w:t xml:space="preserve"> </w:t>
      </w:r>
      <w:r>
        <w:rPr>
          <w:bCs/>
          <w:iCs/>
        </w:rPr>
        <w:t>and so is subject to the assurance requirements specified in section</w:t>
      </w:r>
      <w:r w:rsidR="00A76D01">
        <w:rPr>
          <w:bCs/>
          <w:iCs/>
        </w:rPr>
        <w:t xml:space="preserve"> </w:t>
      </w:r>
      <w:r w:rsidR="00004445">
        <w:rPr>
          <w:bCs/>
          <w:iCs/>
        </w:rPr>
        <w:fldChar w:fldCharType="begin"/>
      </w:r>
      <w:r w:rsidR="00A76D01">
        <w:rPr>
          <w:bCs/>
          <w:iCs/>
        </w:rPr>
        <w:instrText xml:space="preserve"> REF _Ref328951160 \r \h </w:instrText>
      </w:r>
      <w:r w:rsidR="00004445">
        <w:rPr>
          <w:bCs/>
          <w:iCs/>
        </w:rPr>
      </w:r>
      <w:r w:rsidR="00004445">
        <w:rPr>
          <w:bCs/>
          <w:iCs/>
        </w:rPr>
        <w:fldChar w:fldCharType="separate"/>
      </w:r>
      <w:r w:rsidR="00A84D28">
        <w:rPr>
          <w:bCs/>
          <w:iCs/>
        </w:rPr>
        <w:t>2.8</w:t>
      </w:r>
      <w:r w:rsidR="00004445">
        <w:rPr>
          <w:bCs/>
          <w:iCs/>
        </w:rPr>
        <w:fldChar w:fldCharType="end"/>
      </w:r>
      <w:r w:rsidR="00A76D01">
        <w:rPr>
          <w:bCs/>
          <w:iCs/>
        </w:rPr>
        <w:t>.</w:t>
      </w:r>
    </w:p>
    <w:p w:rsidR="00837237" w:rsidRDefault="00837237" w:rsidP="00837237">
      <w:pPr>
        <w:pStyle w:val="Para1"/>
        <w:rPr>
          <w:bCs/>
          <w:iCs/>
        </w:rPr>
      </w:pPr>
      <w:r>
        <w:rPr>
          <w:bCs/>
          <w:iCs/>
        </w:rPr>
        <w:t xml:space="preserve">Schedule 15 (Voluntary Explanatory Notes to Schedules) provides for </w:t>
      </w:r>
      <w:proofErr w:type="spellStart"/>
      <w:r>
        <w:rPr>
          <w:b/>
          <w:bCs/>
          <w:iCs/>
        </w:rPr>
        <w:t>GDB</w:t>
      </w:r>
      <w:r w:rsidRPr="006E1EB3">
        <w:rPr>
          <w:b/>
          <w:bCs/>
          <w:iCs/>
        </w:rPr>
        <w:t>s</w:t>
      </w:r>
      <w:proofErr w:type="spellEnd"/>
      <w:r>
        <w:rPr>
          <w:bCs/>
          <w:iCs/>
        </w:rPr>
        <w:t xml:space="preserve"> to give additional explanation of disclosed information should they elect to do so.</w:t>
      </w:r>
    </w:p>
    <w:p w:rsidR="00837237" w:rsidRDefault="00837237" w:rsidP="00837237">
      <w:pPr>
        <w:pStyle w:val="Heading2"/>
      </w:pPr>
      <w:r>
        <w:t>Mandatory explanatory notes</w:t>
      </w:r>
    </w:p>
    <w:p w:rsidR="001100D3" w:rsidRDefault="001100D3" w:rsidP="001100D3">
      <w:pPr>
        <w:pStyle w:val="Heading3"/>
      </w:pPr>
      <w:r>
        <w:t>Variance between forecast and actual expenditure (Schedule 2)</w:t>
      </w:r>
    </w:p>
    <w:p w:rsidR="001100D3" w:rsidRPr="00B873BF" w:rsidRDefault="001100D3" w:rsidP="001100D3">
      <w:pPr>
        <w:pStyle w:val="Para1"/>
      </w:pPr>
      <w:r>
        <w:t>In the box below, comment</w:t>
      </w:r>
      <w:r w:rsidRPr="00B873BF">
        <w:t xml:space="preserve"> on variance in actual to forecast expenditure</w:t>
      </w:r>
      <w:r>
        <w:t xml:space="preserve"> for the disclosure year, as reported in Schedule 2. </w:t>
      </w:r>
      <w:r w:rsidRPr="00DE682B">
        <w:t xml:space="preserve">This comment </w:t>
      </w:r>
      <w:r>
        <w:t>must</w:t>
      </w:r>
      <w:r w:rsidRPr="00DE682B">
        <w:t xml:space="preserve"> include </w:t>
      </w:r>
      <w:r>
        <w:t xml:space="preserve">information on reclassified items in accordance with clause </w:t>
      </w:r>
      <w:r w:rsidR="00004445">
        <w:fldChar w:fldCharType="begin"/>
      </w:r>
      <w:r>
        <w:instrText xml:space="preserve"> REF _Ref328947130 \w \h </w:instrText>
      </w:r>
      <w:r w:rsidR="00004445">
        <w:fldChar w:fldCharType="separate"/>
      </w:r>
      <w:r w:rsidR="00A84D28">
        <w:t>2.7.1(2)</w:t>
      </w:r>
      <w:r w:rsidR="00004445">
        <w:fldChar w:fldCharType="end"/>
      </w:r>
      <w:r w:rsidRPr="00DE682B">
        <w:t>.</w:t>
      </w:r>
    </w:p>
    <w:tbl>
      <w:tblPr>
        <w:tblStyle w:val="TableGrid"/>
        <w:tblW w:w="0" w:type="auto"/>
        <w:tblLook w:val="04A0"/>
      </w:tblPr>
      <w:tblGrid>
        <w:gridCol w:w="9243"/>
      </w:tblGrid>
      <w:tr w:rsidR="001100D3" w:rsidTr="00663C60">
        <w:tc>
          <w:tcPr>
            <w:tcW w:w="9243" w:type="dxa"/>
          </w:tcPr>
          <w:p w:rsidR="001100D3" w:rsidRDefault="001100D3" w:rsidP="00663C60">
            <w:pPr>
              <w:pStyle w:val="Caption"/>
              <w:keepNext/>
            </w:pPr>
            <w:r>
              <w:t xml:space="preserve">Box </w:t>
            </w:r>
            <w:r w:rsidR="00004445">
              <w:fldChar w:fldCharType="begin"/>
            </w:r>
            <w:r w:rsidR="009764C2">
              <w:instrText xml:space="preserve"> SEQ Box \* ARABIC </w:instrText>
            </w:r>
            <w:r w:rsidR="00004445">
              <w:fldChar w:fldCharType="separate"/>
            </w:r>
            <w:r w:rsidR="00A84D28">
              <w:rPr>
                <w:noProof/>
              </w:rPr>
              <w:t>1</w:t>
            </w:r>
            <w:r w:rsidR="00004445">
              <w:fldChar w:fldCharType="end"/>
            </w:r>
            <w:r>
              <w:t>: Explanatory comment on variance in actual to forecast expenditure</w:t>
            </w:r>
          </w:p>
          <w:p w:rsidR="001100D3" w:rsidRDefault="001100D3" w:rsidP="00663C60">
            <w:pPr>
              <w:pStyle w:val="BodyText"/>
              <w:rPr>
                <w:bCs/>
                <w:iCs/>
              </w:rPr>
            </w:pPr>
            <w:r>
              <w:rPr>
                <w:bCs/>
                <w:iCs/>
              </w:rPr>
              <w:t>[Insert text here]</w:t>
            </w:r>
          </w:p>
          <w:p w:rsidR="001100D3" w:rsidRDefault="001100D3" w:rsidP="00663C60">
            <w:pPr>
              <w:pStyle w:val="BodyText"/>
              <w:rPr>
                <w:bCs/>
                <w:iCs/>
              </w:rPr>
            </w:pPr>
          </w:p>
        </w:tc>
      </w:tr>
    </w:tbl>
    <w:p w:rsidR="001100D3" w:rsidRPr="00B873BF" w:rsidRDefault="001100D3" w:rsidP="001100D3">
      <w:pPr>
        <w:pStyle w:val="BodyText"/>
      </w:pPr>
    </w:p>
    <w:p w:rsidR="001100D3" w:rsidRDefault="001100D3" w:rsidP="001100D3">
      <w:pPr>
        <w:pStyle w:val="Heading3"/>
      </w:pPr>
      <w:r>
        <w:t>Return on I</w:t>
      </w:r>
      <w:r w:rsidRPr="00981423">
        <w:t>nvestment</w:t>
      </w:r>
      <w:r>
        <w:t xml:space="preserve"> (Schedule 3)</w:t>
      </w:r>
    </w:p>
    <w:p w:rsidR="001100D3" w:rsidRDefault="001100D3" w:rsidP="001100D3">
      <w:pPr>
        <w:pStyle w:val="Para1"/>
      </w:pPr>
      <w:r>
        <w:t>In the box below, comment</w:t>
      </w:r>
      <w:r w:rsidRPr="00B873BF">
        <w:t xml:space="preserve"> on</w:t>
      </w:r>
      <w:r>
        <w:t xml:space="preserve"> return on investment as disclosed in Schedule 3. </w:t>
      </w:r>
      <w:r w:rsidRPr="00DE682B">
        <w:t xml:space="preserve">This comment </w:t>
      </w:r>
      <w:r>
        <w:t>must</w:t>
      </w:r>
      <w:r w:rsidRPr="00DE682B">
        <w:t xml:space="preserve"> include </w:t>
      </w:r>
      <w:r>
        <w:t>information on reclassified items in accordance with clause</w:t>
      </w:r>
      <w:r w:rsidR="00004445">
        <w:fldChar w:fldCharType="begin"/>
      </w:r>
      <w:r>
        <w:instrText xml:space="preserve"> REF _Ref328947130 \w \h </w:instrText>
      </w:r>
      <w:r w:rsidR="00004445">
        <w:fldChar w:fldCharType="separate"/>
      </w:r>
      <w:r w:rsidR="00A84D28">
        <w:t>2.7.1(2)</w:t>
      </w:r>
      <w:r w:rsidR="00004445">
        <w:fldChar w:fldCharType="end"/>
      </w:r>
      <w:r w:rsidRPr="00DE682B">
        <w:t>.</w:t>
      </w:r>
    </w:p>
    <w:tbl>
      <w:tblPr>
        <w:tblStyle w:val="TableGrid"/>
        <w:tblW w:w="0" w:type="auto"/>
        <w:tblLook w:val="04A0"/>
      </w:tblPr>
      <w:tblGrid>
        <w:gridCol w:w="9243"/>
      </w:tblGrid>
      <w:tr w:rsidR="001100D3" w:rsidTr="00663C60">
        <w:tc>
          <w:tcPr>
            <w:tcW w:w="9243" w:type="dxa"/>
          </w:tcPr>
          <w:p w:rsidR="008F5D7B" w:rsidRDefault="001100D3" w:rsidP="00663C60">
            <w:pPr>
              <w:pStyle w:val="Caption"/>
              <w:keepNext/>
            </w:pPr>
            <w:r>
              <w:t xml:space="preserve">Box </w:t>
            </w:r>
            <w:r w:rsidR="00004445">
              <w:fldChar w:fldCharType="begin"/>
            </w:r>
            <w:r w:rsidR="009764C2">
              <w:instrText xml:space="preserve"> SEQ Box \* ARABIC </w:instrText>
            </w:r>
            <w:r w:rsidR="00004445">
              <w:fldChar w:fldCharType="separate"/>
            </w:r>
            <w:r w:rsidR="00A84D28">
              <w:rPr>
                <w:noProof/>
              </w:rPr>
              <w:t>2</w:t>
            </w:r>
            <w:r w:rsidR="00004445">
              <w:fldChar w:fldCharType="end"/>
            </w:r>
            <w:r>
              <w:t>: Explanatory comment on return on investment</w:t>
            </w:r>
          </w:p>
          <w:p w:rsidR="001100D3" w:rsidRDefault="001100D3" w:rsidP="00663C60">
            <w:pPr>
              <w:pStyle w:val="BodyText"/>
              <w:rPr>
                <w:bCs/>
                <w:iCs/>
              </w:rPr>
            </w:pPr>
            <w:r>
              <w:rPr>
                <w:bCs/>
                <w:iCs/>
              </w:rPr>
              <w:t>[Insert text here]</w:t>
            </w:r>
          </w:p>
          <w:p w:rsidR="001100D3" w:rsidRDefault="001100D3" w:rsidP="00663C60">
            <w:pPr>
              <w:pStyle w:val="BodyText"/>
              <w:rPr>
                <w:bCs/>
                <w:iCs/>
              </w:rPr>
            </w:pPr>
          </w:p>
        </w:tc>
      </w:tr>
    </w:tbl>
    <w:p w:rsidR="001100D3" w:rsidRPr="00B873BF" w:rsidRDefault="001100D3" w:rsidP="001100D3">
      <w:pPr>
        <w:pStyle w:val="BodyText"/>
      </w:pPr>
    </w:p>
    <w:p w:rsidR="001100D3" w:rsidRDefault="001100D3" w:rsidP="001100D3">
      <w:pPr>
        <w:pStyle w:val="Heading3"/>
      </w:pPr>
      <w:r>
        <w:t>Value of the Regulatory Asset Base (Schedule 4)</w:t>
      </w:r>
    </w:p>
    <w:p w:rsidR="001100D3" w:rsidRPr="00331022" w:rsidRDefault="001100D3" w:rsidP="001100D3">
      <w:pPr>
        <w:pStyle w:val="Para1"/>
      </w:pPr>
      <w:r>
        <w:t>In the box below, comment</w:t>
      </w:r>
      <w:r w:rsidRPr="00B873BF">
        <w:t xml:space="preserve"> on</w:t>
      </w:r>
      <w:r>
        <w:t xml:space="preserve"> the value of the regulatory asset base (rolled forward) in Schedule 4. </w:t>
      </w:r>
      <w:r w:rsidRPr="00DE682B">
        <w:t xml:space="preserve">This comment </w:t>
      </w:r>
      <w:r>
        <w:t>must</w:t>
      </w:r>
      <w:r w:rsidRPr="00DE682B">
        <w:t xml:space="preserve"> include </w:t>
      </w:r>
      <w:r>
        <w:t xml:space="preserve">information on reclassified items in accordance with clause </w:t>
      </w:r>
      <w:r w:rsidR="00004445">
        <w:fldChar w:fldCharType="begin"/>
      </w:r>
      <w:r>
        <w:instrText xml:space="preserve"> REF _Ref328947130 \w \h </w:instrText>
      </w:r>
      <w:r w:rsidR="00004445">
        <w:fldChar w:fldCharType="separate"/>
      </w:r>
      <w:r w:rsidR="00A84D28">
        <w:t>2.7.1(2)</w:t>
      </w:r>
      <w:r w:rsidR="00004445">
        <w:fldChar w:fldCharType="end"/>
      </w:r>
      <w:r w:rsidRPr="00DE682B">
        <w:t>.</w:t>
      </w:r>
    </w:p>
    <w:tbl>
      <w:tblPr>
        <w:tblStyle w:val="TableGrid"/>
        <w:tblW w:w="0" w:type="auto"/>
        <w:tblLook w:val="04A0"/>
      </w:tblPr>
      <w:tblGrid>
        <w:gridCol w:w="9243"/>
      </w:tblGrid>
      <w:tr w:rsidR="001100D3" w:rsidTr="00663C60">
        <w:tc>
          <w:tcPr>
            <w:tcW w:w="9243" w:type="dxa"/>
          </w:tcPr>
          <w:p w:rsidR="001100D3" w:rsidRDefault="001100D3" w:rsidP="00663C60">
            <w:pPr>
              <w:pStyle w:val="Caption"/>
              <w:keepNext/>
            </w:pPr>
            <w:r>
              <w:t xml:space="preserve">Box </w:t>
            </w:r>
            <w:r w:rsidR="00004445">
              <w:fldChar w:fldCharType="begin"/>
            </w:r>
            <w:r w:rsidR="009764C2">
              <w:instrText xml:space="preserve"> SEQ Box \* ARABIC </w:instrText>
            </w:r>
            <w:r w:rsidR="00004445">
              <w:fldChar w:fldCharType="separate"/>
            </w:r>
            <w:r w:rsidR="00A84D28">
              <w:rPr>
                <w:noProof/>
              </w:rPr>
              <w:t>3</w:t>
            </w:r>
            <w:r w:rsidR="00004445">
              <w:fldChar w:fldCharType="end"/>
            </w:r>
            <w:r>
              <w:t>: Explanatory comment on the value of the regulatory asset based (rolled forward)</w:t>
            </w:r>
          </w:p>
          <w:p w:rsidR="001100D3" w:rsidRDefault="001100D3" w:rsidP="00663C60">
            <w:pPr>
              <w:pStyle w:val="BodyText"/>
              <w:rPr>
                <w:bCs/>
                <w:iCs/>
              </w:rPr>
            </w:pPr>
            <w:r>
              <w:rPr>
                <w:bCs/>
                <w:iCs/>
              </w:rPr>
              <w:t>[Insert text here]</w:t>
            </w:r>
          </w:p>
          <w:p w:rsidR="001100D3" w:rsidRDefault="001100D3" w:rsidP="00663C60">
            <w:pPr>
              <w:pStyle w:val="BodyText"/>
              <w:rPr>
                <w:bCs/>
                <w:iCs/>
              </w:rPr>
            </w:pPr>
          </w:p>
        </w:tc>
      </w:tr>
    </w:tbl>
    <w:p w:rsidR="001100D3" w:rsidRDefault="001100D3" w:rsidP="001100D3">
      <w:pPr>
        <w:pStyle w:val="Singlespacedparagraph"/>
      </w:pPr>
    </w:p>
    <w:p w:rsidR="001100D3" w:rsidRDefault="001100D3" w:rsidP="001100D3">
      <w:pPr>
        <w:pStyle w:val="BodyText"/>
        <w:rPr>
          <w:i/>
        </w:rPr>
      </w:pPr>
      <w:r>
        <w:rPr>
          <w:i/>
        </w:rPr>
        <w:t>Asset allocation (Schedule 4a)</w:t>
      </w:r>
    </w:p>
    <w:p w:rsidR="001100D3" w:rsidRPr="002F5635" w:rsidRDefault="001100D3" w:rsidP="001100D3">
      <w:pPr>
        <w:pStyle w:val="Para1"/>
      </w:pPr>
      <w:r>
        <w:t>In the box below, comment</w:t>
      </w:r>
      <w:r w:rsidRPr="002F5635">
        <w:t xml:space="preserve"> on </w:t>
      </w:r>
      <w:r>
        <w:t xml:space="preserve">asset </w:t>
      </w:r>
      <w:r w:rsidRPr="002F5635">
        <w:t>allocation</w:t>
      </w:r>
      <w:r>
        <w:t xml:space="preserve"> as disclosed in Schedule 4a. This comment must include information on reclassified items </w:t>
      </w:r>
      <w:r w:rsidRPr="002F5635">
        <w:t xml:space="preserve">in accordance with </w:t>
      </w:r>
      <w:r>
        <w:t xml:space="preserve">clause </w:t>
      </w:r>
      <w:r w:rsidR="00004445">
        <w:fldChar w:fldCharType="begin"/>
      </w:r>
      <w:r>
        <w:instrText xml:space="preserve"> REF _Ref328947130 \w \h </w:instrText>
      </w:r>
      <w:r w:rsidR="00004445">
        <w:fldChar w:fldCharType="separate"/>
      </w:r>
      <w:r w:rsidR="00A84D28">
        <w:t>2.7.1(2)</w:t>
      </w:r>
      <w:r w:rsidR="00004445">
        <w:fldChar w:fldCharType="end"/>
      </w:r>
      <w:r>
        <w:t>.</w:t>
      </w:r>
    </w:p>
    <w:tbl>
      <w:tblPr>
        <w:tblStyle w:val="TableGrid"/>
        <w:tblW w:w="9243" w:type="dxa"/>
        <w:tblLook w:val="04A0"/>
      </w:tblPr>
      <w:tblGrid>
        <w:gridCol w:w="9243"/>
      </w:tblGrid>
      <w:tr w:rsidR="001100D3" w:rsidTr="00663C60">
        <w:tc>
          <w:tcPr>
            <w:tcW w:w="9243" w:type="dxa"/>
          </w:tcPr>
          <w:p w:rsidR="001100D3" w:rsidRDefault="001100D3" w:rsidP="00663C60">
            <w:pPr>
              <w:pStyle w:val="Caption"/>
              <w:keepNext/>
            </w:pPr>
            <w:r>
              <w:t xml:space="preserve">Box </w:t>
            </w:r>
            <w:r w:rsidR="00004445">
              <w:fldChar w:fldCharType="begin"/>
            </w:r>
            <w:r w:rsidR="009764C2">
              <w:instrText xml:space="preserve"> SEQ Box \* ARABIC </w:instrText>
            </w:r>
            <w:r w:rsidR="00004445">
              <w:fldChar w:fldCharType="separate"/>
            </w:r>
            <w:r w:rsidR="00A84D28">
              <w:rPr>
                <w:noProof/>
              </w:rPr>
              <w:t>4</w:t>
            </w:r>
            <w:r w:rsidR="00004445">
              <w:fldChar w:fldCharType="end"/>
            </w:r>
            <w:r>
              <w:t>: Commentary on asset allocation</w:t>
            </w:r>
          </w:p>
          <w:p w:rsidR="001100D3" w:rsidRDefault="001100D3" w:rsidP="00663C60">
            <w:pPr>
              <w:pStyle w:val="BodyText"/>
              <w:rPr>
                <w:bCs/>
                <w:iCs/>
              </w:rPr>
            </w:pPr>
            <w:r>
              <w:rPr>
                <w:bCs/>
                <w:iCs/>
              </w:rPr>
              <w:t>[Insert text here]</w:t>
            </w:r>
          </w:p>
          <w:p w:rsidR="001100D3" w:rsidRDefault="001100D3" w:rsidP="00663C60">
            <w:pPr>
              <w:pStyle w:val="BodyText"/>
              <w:rPr>
                <w:bCs/>
                <w:iCs/>
              </w:rPr>
            </w:pPr>
          </w:p>
        </w:tc>
      </w:tr>
    </w:tbl>
    <w:p w:rsidR="0093596C" w:rsidRDefault="0093596C" w:rsidP="0093596C">
      <w:pPr>
        <w:pStyle w:val="BodyText"/>
        <w:rPr>
          <w:i/>
          <w:iCs/>
        </w:rPr>
      </w:pPr>
    </w:p>
    <w:p w:rsidR="0093596C" w:rsidRDefault="0093596C" w:rsidP="0093596C">
      <w:pPr>
        <w:pStyle w:val="BodyText"/>
        <w:rPr>
          <w:i/>
          <w:iCs/>
        </w:rPr>
      </w:pPr>
      <w:r>
        <w:rPr>
          <w:i/>
          <w:iCs/>
        </w:rPr>
        <w:t>Initial RAB adjustment (Schedule 4c)</w:t>
      </w:r>
    </w:p>
    <w:p w:rsidR="0093596C" w:rsidRDefault="0093596C" w:rsidP="0093596C">
      <w:pPr>
        <w:pStyle w:val="Para1"/>
        <w:numPr>
          <w:ilvl w:val="0"/>
          <w:numId w:val="0"/>
        </w:numPr>
        <w:tabs>
          <w:tab w:val="num" w:pos="709"/>
        </w:tabs>
        <w:ind w:left="709" w:hanging="709"/>
      </w:pPr>
      <w:r>
        <w:t>In the box below, comment on adjustments to the</w:t>
      </w:r>
      <w:r>
        <w:rPr>
          <w:b/>
          <w:bCs/>
        </w:rPr>
        <w:t xml:space="preserve"> initial RAB</w:t>
      </w:r>
      <w:r>
        <w:t xml:space="preserve"> as disclosed in Schedule 4c. This comment must include information on adjustments in accordance with clause 2.7.1(3).</w:t>
      </w:r>
    </w:p>
    <w:tbl>
      <w:tblPr>
        <w:tblW w:w="9243" w:type="dxa"/>
        <w:tblCellMar>
          <w:left w:w="0" w:type="dxa"/>
          <w:right w:w="0" w:type="dxa"/>
        </w:tblCellMar>
        <w:tblLook w:val="04A0"/>
      </w:tblPr>
      <w:tblGrid>
        <w:gridCol w:w="9243"/>
      </w:tblGrid>
      <w:tr w:rsidR="0093596C" w:rsidTr="00F40287">
        <w:tc>
          <w:tcPr>
            <w:tcW w:w="92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3596C" w:rsidRPr="00802B4B" w:rsidRDefault="0093596C" w:rsidP="00F40287">
            <w:pPr>
              <w:pStyle w:val="Caption"/>
              <w:keepNext/>
              <w:rPr>
                <w:rFonts w:ascii="Calibri" w:eastAsiaTheme="minorHAnsi" w:hAnsi="Calibri"/>
              </w:rPr>
            </w:pPr>
            <w:r w:rsidRPr="006F48FB">
              <w:rPr>
                <w:rFonts w:ascii="Calibri" w:hAnsi="Calibri"/>
              </w:rPr>
              <w:t xml:space="preserve">Box </w:t>
            </w:r>
            <w:r>
              <w:rPr>
                <w:rFonts w:ascii="Calibri" w:hAnsi="Calibri"/>
              </w:rPr>
              <w:t>5</w:t>
            </w:r>
            <w:r w:rsidRPr="006F48FB">
              <w:rPr>
                <w:rFonts w:ascii="Calibri" w:hAnsi="Calibri"/>
              </w:rPr>
              <w:t>: Commentary on adjustments to the initial RAB</w:t>
            </w:r>
          </w:p>
          <w:p w:rsidR="0093596C" w:rsidRPr="00802B4B" w:rsidRDefault="0093596C" w:rsidP="00F40287">
            <w:pPr>
              <w:pStyle w:val="BodyText"/>
              <w:rPr>
                <w:rFonts w:ascii="Calibri" w:hAnsi="Calibri"/>
              </w:rPr>
            </w:pPr>
            <w:r w:rsidRPr="006F48FB">
              <w:rPr>
                <w:rFonts w:ascii="Calibri" w:hAnsi="Calibri"/>
              </w:rPr>
              <w:t>[Insert text here]</w:t>
            </w:r>
          </w:p>
          <w:p w:rsidR="0093596C" w:rsidRDefault="0093596C" w:rsidP="00F40287">
            <w:pPr>
              <w:pStyle w:val="BodyText"/>
              <w:rPr>
                <w:rFonts w:ascii="Times New Roman" w:hAnsi="Times New Roman"/>
              </w:rPr>
            </w:pPr>
          </w:p>
        </w:tc>
      </w:tr>
    </w:tbl>
    <w:p w:rsidR="0093596C" w:rsidRDefault="0093596C" w:rsidP="001100D3">
      <w:pPr>
        <w:pStyle w:val="Heading3"/>
      </w:pPr>
    </w:p>
    <w:p w:rsidR="001100D3" w:rsidRDefault="001100D3" w:rsidP="001100D3">
      <w:pPr>
        <w:pStyle w:val="Heading3"/>
      </w:pPr>
      <w:r>
        <w:t>Regulatory Profit (Schedule 5)</w:t>
      </w:r>
    </w:p>
    <w:p w:rsidR="001100D3" w:rsidRDefault="001100D3" w:rsidP="001100D3">
      <w:pPr>
        <w:pStyle w:val="Para1"/>
      </w:pPr>
      <w:r>
        <w:t>In the box below, comment</w:t>
      </w:r>
      <w:r w:rsidRPr="00B873BF">
        <w:t xml:space="preserve"> on</w:t>
      </w:r>
      <w:r>
        <w:t xml:space="preserve"> r</w:t>
      </w:r>
      <w:r>
        <w:rPr>
          <w:bCs/>
          <w:iCs/>
        </w:rPr>
        <w:t>egulatory profit for the disclosure year as disclosed in Schedule 5</w:t>
      </w:r>
      <w:r>
        <w:t xml:space="preserve">. </w:t>
      </w:r>
      <w:r w:rsidRPr="00DE682B">
        <w:t xml:space="preserve">This comment </w:t>
      </w:r>
      <w:r>
        <w:t>must</w:t>
      </w:r>
      <w:r w:rsidRPr="00DE682B">
        <w:t xml:space="preserve"> include</w:t>
      </w:r>
      <w:r>
        <w:t>:</w:t>
      </w:r>
    </w:p>
    <w:p w:rsidR="001100D3" w:rsidRDefault="001100D3" w:rsidP="001100D3">
      <w:pPr>
        <w:pStyle w:val="Para1"/>
        <w:numPr>
          <w:ilvl w:val="1"/>
          <w:numId w:val="121"/>
        </w:numPr>
      </w:pPr>
      <w:r>
        <w:t>a description of material items included in ‘other regulatory line income’ other than gains and losses on asset sales, as disclosed in 5(</w:t>
      </w:r>
      <w:proofErr w:type="spellStart"/>
      <w:r>
        <w:t>i</w:t>
      </w:r>
      <w:proofErr w:type="spellEnd"/>
      <w:r>
        <w:t>) of Schedule 5</w:t>
      </w:r>
    </w:p>
    <w:p w:rsidR="001100D3" w:rsidRDefault="001100D3" w:rsidP="001100D3">
      <w:pPr>
        <w:pStyle w:val="Para1"/>
        <w:numPr>
          <w:ilvl w:val="1"/>
          <w:numId w:val="121"/>
        </w:numPr>
      </w:pPr>
      <w:proofErr w:type="gramStart"/>
      <w:r>
        <w:t>information</w:t>
      </w:r>
      <w:proofErr w:type="gramEnd"/>
      <w:r>
        <w:t xml:space="preserve"> on reclassified items in accordance with clause </w:t>
      </w:r>
      <w:r w:rsidR="00004445">
        <w:fldChar w:fldCharType="begin"/>
      </w:r>
      <w:r>
        <w:instrText xml:space="preserve"> REF _Ref328947130 \w \h </w:instrText>
      </w:r>
      <w:r w:rsidR="00004445">
        <w:fldChar w:fldCharType="separate"/>
      </w:r>
      <w:r w:rsidR="00A84D28">
        <w:t>2.7.1(2)</w:t>
      </w:r>
      <w:r w:rsidR="00004445">
        <w:fldChar w:fldCharType="end"/>
      </w:r>
      <w:r w:rsidRPr="00DE682B">
        <w:t>.</w:t>
      </w:r>
    </w:p>
    <w:tbl>
      <w:tblPr>
        <w:tblStyle w:val="TableGrid"/>
        <w:tblW w:w="0" w:type="auto"/>
        <w:tblLook w:val="04A0"/>
      </w:tblPr>
      <w:tblGrid>
        <w:gridCol w:w="9243"/>
      </w:tblGrid>
      <w:tr w:rsidR="001100D3" w:rsidTr="00663C60">
        <w:tc>
          <w:tcPr>
            <w:tcW w:w="9243" w:type="dxa"/>
          </w:tcPr>
          <w:p w:rsidR="001100D3" w:rsidRDefault="001100D3" w:rsidP="00663C60">
            <w:pPr>
              <w:pStyle w:val="Caption"/>
              <w:keepNext/>
            </w:pPr>
            <w:bookmarkStart w:id="780" w:name="_Ref327699788"/>
            <w:r>
              <w:t xml:space="preserve">Box </w:t>
            </w:r>
            <w:bookmarkEnd w:id="780"/>
            <w:r w:rsidR="0093596C">
              <w:t>6</w:t>
            </w:r>
            <w:r>
              <w:t>: Explanatory comment on regulatory profit</w:t>
            </w:r>
          </w:p>
          <w:p w:rsidR="001100D3" w:rsidRDefault="001100D3" w:rsidP="00663C60">
            <w:pPr>
              <w:pStyle w:val="BodyText"/>
              <w:rPr>
                <w:bCs/>
                <w:iCs/>
              </w:rPr>
            </w:pPr>
            <w:r>
              <w:rPr>
                <w:bCs/>
                <w:iCs/>
              </w:rPr>
              <w:t>[Insert text here]</w:t>
            </w:r>
          </w:p>
          <w:p w:rsidR="001100D3" w:rsidRDefault="001100D3" w:rsidP="00663C60">
            <w:pPr>
              <w:pStyle w:val="BodyText"/>
              <w:rPr>
                <w:bCs/>
                <w:iCs/>
              </w:rPr>
            </w:pPr>
          </w:p>
          <w:p w:rsidR="001100D3" w:rsidRDefault="001100D3" w:rsidP="00663C60">
            <w:pPr>
              <w:pStyle w:val="BodyText"/>
              <w:rPr>
                <w:bCs/>
                <w:iCs/>
              </w:rPr>
            </w:pPr>
          </w:p>
        </w:tc>
      </w:tr>
    </w:tbl>
    <w:p w:rsidR="001100D3" w:rsidRDefault="001100D3" w:rsidP="001100D3">
      <w:pPr>
        <w:pStyle w:val="Singlespacedparagraph"/>
      </w:pPr>
    </w:p>
    <w:p w:rsidR="001100D3" w:rsidRDefault="001100D3" w:rsidP="001100D3">
      <w:pPr>
        <w:pStyle w:val="Heading3"/>
      </w:pPr>
      <w:r>
        <w:t>Merger and acquisition expenses (5(vi) of Schedule 5(vi))</w:t>
      </w:r>
    </w:p>
    <w:p w:rsidR="001100D3" w:rsidRDefault="001100D3" w:rsidP="001100D3">
      <w:pPr>
        <w:pStyle w:val="Para1"/>
        <w:rPr>
          <w:lang w:eastAsia="en-NZ"/>
        </w:rPr>
      </w:pPr>
      <w:r>
        <w:rPr>
          <w:lang w:eastAsia="en-NZ"/>
        </w:rPr>
        <w:t xml:space="preserve">If the </w:t>
      </w:r>
      <w:r w:rsidR="008F5206">
        <w:rPr>
          <w:b/>
          <w:lang w:eastAsia="en-NZ"/>
        </w:rPr>
        <w:t>GD</w:t>
      </w:r>
      <w:r w:rsidRPr="0029158A">
        <w:rPr>
          <w:b/>
          <w:lang w:eastAsia="en-NZ"/>
        </w:rPr>
        <w:t>B</w:t>
      </w:r>
      <w:r>
        <w:rPr>
          <w:lang w:eastAsia="en-NZ"/>
        </w:rPr>
        <w:t xml:space="preserve"> incurred merger and acquisitions expenditure during the disclosure year, p</w:t>
      </w:r>
      <w:r w:rsidRPr="00F16064">
        <w:rPr>
          <w:lang w:eastAsia="en-NZ"/>
        </w:rPr>
        <w:t xml:space="preserve">rovide </w:t>
      </w:r>
      <w:r>
        <w:rPr>
          <w:lang w:eastAsia="en-NZ"/>
        </w:rPr>
        <w:t>the following information in the box below:</w:t>
      </w:r>
    </w:p>
    <w:p w:rsidR="001100D3" w:rsidRDefault="001100D3" w:rsidP="001100D3">
      <w:pPr>
        <w:pStyle w:val="Para1"/>
        <w:numPr>
          <w:ilvl w:val="1"/>
          <w:numId w:val="121"/>
        </w:numPr>
        <w:rPr>
          <w:lang w:eastAsia="en-NZ"/>
        </w:rPr>
      </w:pPr>
      <w:r>
        <w:t xml:space="preserve">information on reclassified items in accordance with clause </w:t>
      </w:r>
      <w:r w:rsidR="00004445">
        <w:fldChar w:fldCharType="begin"/>
      </w:r>
      <w:r>
        <w:instrText xml:space="preserve"> REF _Ref328947130 \w \h </w:instrText>
      </w:r>
      <w:r w:rsidR="00004445">
        <w:fldChar w:fldCharType="separate"/>
      </w:r>
      <w:r w:rsidR="00A84D28">
        <w:t>2.7.1(2)</w:t>
      </w:r>
      <w:r w:rsidR="00004445">
        <w:fldChar w:fldCharType="end"/>
      </w:r>
    </w:p>
    <w:p w:rsidR="001100D3" w:rsidRPr="00F16064" w:rsidRDefault="001100D3" w:rsidP="001100D3">
      <w:pPr>
        <w:pStyle w:val="Para1"/>
        <w:numPr>
          <w:ilvl w:val="1"/>
          <w:numId w:val="121"/>
        </w:numPr>
        <w:rPr>
          <w:lang w:eastAsia="en-NZ"/>
        </w:rPr>
      </w:pPr>
      <w:proofErr w:type="gramStart"/>
      <w:r>
        <w:rPr>
          <w:lang w:eastAsia="en-NZ"/>
        </w:rPr>
        <w:t>any</w:t>
      </w:r>
      <w:proofErr w:type="gramEnd"/>
      <w:r>
        <w:rPr>
          <w:lang w:eastAsia="en-NZ"/>
        </w:rPr>
        <w:t xml:space="preserve"> other </w:t>
      </w:r>
      <w:r w:rsidRPr="00F16064">
        <w:rPr>
          <w:lang w:eastAsia="en-NZ"/>
        </w:rPr>
        <w:t xml:space="preserve">commentary on the benefits of </w:t>
      </w:r>
      <w:r>
        <w:rPr>
          <w:lang w:eastAsia="en-NZ"/>
        </w:rPr>
        <w:t xml:space="preserve">the </w:t>
      </w:r>
      <w:r w:rsidRPr="00F16064">
        <w:rPr>
          <w:lang w:eastAsia="en-NZ"/>
        </w:rPr>
        <w:t xml:space="preserve">merger and acquisition expenditure to the </w:t>
      </w:r>
      <w:r w:rsidR="008F5206">
        <w:rPr>
          <w:b/>
          <w:lang w:eastAsia="en-NZ"/>
        </w:rPr>
        <w:t>G</w:t>
      </w:r>
      <w:r w:rsidRPr="0029158A">
        <w:rPr>
          <w:b/>
          <w:lang w:eastAsia="en-NZ"/>
        </w:rPr>
        <w:t>DB</w:t>
      </w:r>
      <w:r>
        <w:rPr>
          <w:lang w:eastAsia="en-NZ"/>
        </w:rPr>
        <w:t>.</w:t>
      </w:r>
    </w:p>
    <w:tbl>
      <w:tblPr>
        <w:tblStyle w:val="TableGrid"/>
        <w:tblW w:w="0" w:type="auto"/>
        <w:tblLook w:val="04A0"/>
      </w:tblPr>
      <w:tblGrid>
        <w:gridCol w:w="9243"/>
      </w:tblGrid>
      <w:tr w:rsidR="001100D3" w:rsidTr="00663C60">
        <w:tc>
          <w:tcPr>
            <w:tcW w:w="9243" w:type="dxa"/>
          </w:tcPr>
          <w:p w:rsidR="001100D3" w:rsidRDefault="001100D3" w:rsidP="00663C60">
            <w:pPr>
              <w:pStyle w:val="Caption"/>
              <w:keepNext/>
            </w:pPr>
            <w:r>
              <w:t xml:space="preserve">Box </w:t>
            </w:r>
            <w:r w:rsidR="0093596C">
              <w:t>7</w:t>
            </w:r>
            <w:r>
              <w:t>: Explanatory comment on merger and acquisition expenditure</w:t>
            </w:r>
          </w:p>
          <w:p w:rsidR="001100D3" w:rsidRDefault="001100D3" w:rsidP="00663C60">
            <w:pPr>
              <w:pStyle w:val="BodyText"/>
              <w:rPr>
                <w:bCs/>
                <w:iCs/>
              </w:rPr>
            </w:pPr>
            <w:r>
              <w:rPr>
                <w:bCs/>
                <w:iCs/>
              </w:rPr>
              <w:t>[Insert text here]</w:t>
            </w:r>
          </w:p>
          <w:p w:rsidR="001100D3" w:rsidRDefault="001100D3" w:rsidP="00663C60">
            <w:pPr>
              <w:pStyle w:val="BodyText"/>
              <w:rPr>
                <w:bCs/>
                <w:iCs/>
              </w:rPr>
            </w:pPr>
          </w:p>
        </w:tc>
      </w:tr>
    </w:tbl>
    <w:p w:rsidR="001100D3" w:rsidRDefault="001100D3" w:rsidP="001100D3">
      <w:pPr>
        <w:pStyle w:val="BodyText"/>
        <w:rPr>
          <w:bCs/>
          <w:iCs/>
        </w:rPr>
      </w:pPr>
    </w:p>
    <w:p w:rsidR="001100D3" w:rsidRDefault="001100D3" w:rsidP="001100D3">
      <w:pPr>
        <w:pStyle w:val="Heading3"/>
      </w:pPr>
      <w:r>
        <w:t>Regulatory tax allowance: disclosure of permanent differences (</w:t>
      </w:r>
      <w:proofErr w:type="gramStart"/>
      <w:r>
        <w:t>5a(</w:t>
      </w:r>
      <w:proofErr w:type="spellStart"/>
      <w:proofErr w:type="gramEnd"/>
      <w:r>
        <w:t>i</w:t>
      </w:r>
      <w:proofErr w:type="spellEnd"/>
      <w:r>
        <w:t>) of Schedule 5a)</w:t>
      </w:r>
    </w:p>
    <w:p w:rsidR="001100D3" w:rsidRDefault="001100D3" w:rsidP="001100D3">
      <w:pPr>
        <w:pStyle w:val="Para1"/>
        <w:rPr>
          <w:lang w:eastAsia="en-NZ"/>
        </w:rPr>
      </w:pPr>
      <w:r>
        <w:rPr>
          <w:lang w:eastAsia="en-NZ"/>
        </w:rPr>
        <w:t xml:space="preserve">In the box below, </w:t>
      </w:r>
      <w:r w:rsidRPr="00875409">
        <w:rPr>
          <w:lang w:eastAsia="en-NZ"/>
        </w:rPr>
        <w:t xml:space="preserve">provide descriptions and workings of </w:t>
      </w:r>
      <w:r>
        <w:rPr>
          <w:lang w:eastAsia="en-NZ"/>
        </w:rPr>
        <w:t xml:space="preserve">the following </w:t>
      </w:r>
      <w:r w:rsidRPr="00875409">
        <w:rPr>
          <w:lang w:eastAsia="en-NZ"/>
        </w:rPr>
        <w:t>items</w:t>
      </w:r>
      <w:r>
        <w:rPr>
          <w:lang w:eastAsia="en-NZ"/>
        </w:rPr>
        <w:t>, as</w:t>
      </w:r>
      <w:r w:rsidRPr="00875409">
        <w:rPr>
          <w:lang w:eastAsia="en-NZ"/>
        </w:rPr>
        <w:t xml:space="preserve"> recorded in the asterisked categories in </w:t>
      </w:r>
      <w:r>
        <w:rPr>
          <w:lang w:eastAsia="en-NZ"/>
        </w:rPr>
        <w:t>5a(</w:t>
      </w:r>
      <w:proofErr w:type="spellStart"/>
      <w:r>
        <w:rPr>
          <w:lang w:eastAsia="en-NZ"/>
        </w:rPr>
        <w:t>i</w:t>
      </w:r>
      <w:proofErr w:type="spellEnd"/>
      <w:r>
        <w:rPr>
          <w:lang w:eastAsia="en-NZ"/>
        </w:rPr>
        <w:t>) of Schedule 5a:</w:t>
      </w:r>
    </w:p>
    <w:p w:rsidR="001100D3" w:rsidRDefault="001100D3" w:rsidP="001100D3">
      <w:pPr>
        <w:pStyle w:val="Para1"/>
        <w:numPr>
          <w:ilvl w:val="1"/>
          <w:numId w:val="121"/>
        </w:numPr>
        <w:rPr>
          <w:lang w:eastAsia="en-NZ"/>
        </w:rPr>
      </w:pPr>
      <w:r w:rsidRPr="00875409">
        <w:rPr>
          <w:lang w:eastAsia="en-NZ"/>
        </w:rPr>
        <w:t>Income not included in regulatory profit / (loss) before tax but taxable</w:t>
      </w:r>
    </w:p>
    <w:p w:rsidR="001100D3" w:rsidRDefault="001100D3" w:rsidP="001100D3">
      <w:pPr>
        <w:pStyle w:val="Para1"/>
        <w:numPr>
          <w:ilvl w:val="1"/>
          <w:numId w:val="121"/>
        </w:numPr>
        <w:rPr>
          <w:lang w:eastAsia="en-NZ"/>
        </w:rPr>
      </w:pPr>
      <w:r w:rsidRPr="00875409">
        <w:rPr>
          <w:lang w:eastAsia="en-NZ"/>
        </w:rPr>
        <w:t>Expenditure or loss in regulatory profit / (loss) before tax but not deductible</w:t>
      </w:r>
    </w:p>
    <w:p w:rsidR="001100D3" w:rsidRDefault="001100D3" w:rsidP="001100D3">
      <w:pPr>
        <w:pStyle w:val="Para1"/>
        <w:numPr>
          <w:ilvl w:val="1"/>
          <w:numId w:val="121"/>
        </w:numPr>
        <w:rPr>
          <w:lang w:eastAsia="en-NZ"/>
        </w:rPr>
      </w:pPr>
      <w:r w:rsidRPr="00875409">
        <w:rPr>
          <w:lang w:eastAsia="en-NZ"/>
        </w:rPr>
        <w:t>Income included in regulatory profit / (loss) before tax but not taxable</w:t>
      </w:r>
    </w:p>
    <w:p w:rsidR="001100D3" w:rsidRDefault="001100D3" w:rsidP="001100D3">
      <w:pPr>
        <w:pStyle w:val="Para1"/>
        <w:numPr>
          <w:ilvl w:val="1"/>
          <w:numId w:val="121"/>
        </w:numPr>
        <w:rPr>
          <w:lang w:eastAsia="en-NZ"/>
        </w:rPr>
      </w:pPr>
      <w:r w:rsidRPr="00875409">
        <w:rPr>
          <w:lang w:eastAsia="en-NZ"/>
        </w:rPr>
        <w:t>Expenditure or loss deductible but not in regulatory profit / (loss) before tax</w:t>
      </w:r>
    </w:p>
    <w:p w:rsidR="001100D3" w:rsidRDefault="001100D3" w:rsidP="001100D3"/>
    <w:tbl>
      <w:tblPr>
        <w:tblStyle w:val="TableGrid"/>
        <w:tblW w:w="9243" w:type="dxa"/>
        <w:tblLook w:val="04A0"/>
      </w:tblPr>
      <w:tblGrid>
        <w:gridCol w:w="9243"/>
      </w:tblGrid>
      <w:tr w:rsidR="001100D3" w:rsidTr="00663C60">
        <w:tc>
          <w:tcPr>
            <w:tcW w:w="9243" w:type="dxa"/>
          </w:tcPr>
          <w:p w:rsidR="001100D3" w:rsidRDefault="001100D3" w:rsidP="00663C60">
            <w:pPr>
              <w:pStyle w:val="Caption"/>
              <w:keepNext/>
            </w:pPr>
            <w:r>
              <w:t xml:space="preserve">Box </w:t>
            </w:r>
            <w:r w:rsidR="0093596C">
              <w:t>8</w:t>
            </w:r>
            <w:r>
              <w:t>: Regulatory tax allowance: permanent differences</w:t>
            </w:r>
          </w:p>
          <w:p w:rsidR="001100D3" w:rsidRDefault="001100D3" w:rsidP="00663C60">
            <w:pPr>
              <w:pStyle w:val="BodyText"/>
              <w:rPr>
                <w:bCs/>
                <w:iCs/>
              </w:rPr>
            </w:pPr>
            <w:r>
              <w:rPr>
                <w:bCs/>
                <w:iCs/>
              </w:rPr>
              <w:t>[Insert text here]</w:t>
            </w:r>
          </w:p>
          <w:p w:rsidR="001100D3" w:rsidRDefault="001100D3" w:rsidP="00663C60">
            <w:pPr>
              <w:pStyle w:val="BodyText"/>
              <w:rPr>
                <w:bCs/>
                <w:iCs/>
              </w:rPr>
            </w:pPr>
          </w:p>
        </w:tc>
      </w:tr>
    </w:tbl>
    <w:p w:rsidR="001100D3" w:rsidRDefault="001100D3" w:rsidP="001100D3">
      <w:pPr>
        <w:pStyle w:val="BodyText"/>
        <w:rPr>
          <w:bCs/>
          <w:iCs/>
        </w:rPr>
      </w:pPr>
    </w:p>
    <w:p w:rsidR="001100D3" w:rsidRDefault="001100D3" w:rsidP="001100D3">
      <w:pPr>
        <w:pStyle w:val="Heading3"/>
      </w:pPr>
      <w:r>
        <w:t>Regulatory tax allowance: disclosure of temporary differences (</w:t>
      </w:r>
      <w:proofErr w:type="gramStart"/>
      <w:r>
        <w:t>5a(</w:t>
      </w:r>
      <w:proofErr w:type="gramEnd"/>
      <w:r>
        <w:t>iv) of Schedule 5a)</w:t>
      </w:r>
    </w:p>
    <w:p w:rsidR="001100D3" w:rsidRDefault="001100D3" w:rsidP="001100D3">
      <w:pPr>
        <w:pStyle w:val="Para1"/>
        <w:rPr>
          <w:lang w:eastAsia="en-NZ"/>
        </w:rPr>
      </w:pPr>
      <w:r>
        <w:rPr>
          <w:lang w:eastAsia="en-NZ"/>
        </w:rPr>
        <w:t xml:space="preserve">In the box below, </w:t>
      </w:r>
      <w:r w:rsidRPr="00875409">
        <w:rPr>
          <w:lang w:eastAsia="en-NZ"/>
        </w:rPr>
        <w:t>provide descriptions and workings of items</w:t>
      </w:r>
      <w:r>
        <w:rPr>
          <w:lang w:eastAsia="en-NZ"/>
        </w:rPr>
        <w:t xml:space="preserve"> </w:t>
      </w:r>
      <w:r w:rsidRPr="00875409">
        <w:rPr>
          <w:lang w:eastAsia="en-NZ"/>
        </w:rPr>
        <w:t>recor</w:t>
      </w:r>
      <w:r>
        <w:rPr>
          <w:lang w:eastAsia="en-NZ"/>
        </w:rPr>
        <w:t xml:space="preserve">ded in the asterisked category ‘Tax effect of other temporary differences’ in </w:t>
      </w:r>
      <w:proofErr w:type="gramStart"/>
      <w:r>
        <w:rPr>
          <w:lang w:eastAsia="en-NZ"/>
        </w:rPr>
        <w:t>5a(</w:t>
      </w:r>
      <w:proofErr w:type="gramEnd"/>
      <w:r>
        <w:rPr>
          <w:lang w:eastAsia="en-NZ"/>
        </w:rPr>
        <w:t>iv) of Schedule 5a.</w:t>
      </w:r>
    </w:p>
    <w:tbl>
      <w:tblPr>
        <w:tblStyle w:val="TableGrid"/>
        <w:tblW w:w="9243" w:type="dxa"/>
        <w:tblLook w:val="04A0"/>
      </w:tblPr>
      <w:tblGrid>
        <w:gridCol w:w="9243"/>
      </w:tblGrid>
      <w:tr w:rsidR="001100D3" w:rsidTr="00663C60">
        <w:tc>
          <w:tcPr>
            <w:tcW w:w="9243" w:type="dxa"/>
          </w:tcPr>
          <w:p w:rsidR="001100D3" w:rsidRDefault="001100D3" w:rsidP="00663C60">
            <w:pPr>
              <w:pStyle w:val="Caption"/>
              <w:keepNext/>
            </w:pPr>
            <w:r>
              <w:t xml:space="preserve">Box </w:t>
            </w:r>
            <w:r w:rsidR="0093596C">
              <w:t>9</w:t>
            </w:r>
            <w:r>
              <w:t>: Tax effect of other temporary differences (current disclosure year)</w:t>
            </w:r>
          </w:p>
          <w:p w:rsidR="001100D3" w:rsidRDefault="001100D3" w:rsidP="00663C60">
            <w:pPr>
              <w:pStyle w:val="BodyText"/>
              <w:rPr>
                <w:bCs/>
                <w:iCs/>
              </w:rPr>
            </w:pPr>
            <w:r>
              <w:rPr>
                <w:bCs/>
                <w:iCs/>
              </w:rPr>
              <w:t>[Insert text here]</w:t>
            </w:r>
          </w:p>
          <w:p w:rsidR="001100D3" w:rsidRDefault="001100D3" w:rsidP="00663C60">
            <w:pPr>
              <w:pStyle w:val="BodyText"/>
              <w:rPr>
                <w:bCs/>
                <w:iCs/>
              </w:rPr>
            </w:pPr>
          </w:p>
        </w:tc>
      </w:tr>
    </w:tbl>
    <w:p w:rsidR="0093596C" w:rsidRDefault="0093596C" w:rsidP="0093596C">
      <w:pPr>
        <w:pStyle w:val="Heading3"/>
      </w:pPr>
    </w:p>
    <w:p w:rsidR="0093596C" w:rsidRDefault="0093596C" w:rsidP="0093596C">
      <w:pPr>
        <w:pStyle w:val="Heading3"/>
      </w:pPr>
      <w:r>
        <w:t>Related party transactions: disclosure of related party transactions (Schedule 5)</w:t>
      </w:r>
    </w:p>
    <w:p w:rsidR="0093596C" w:rsidRDefault="0093596C" w:rsidP="0093596C">
      <w:pPr>
        <w:pStyle w:val="Para1"/>
        <w:rPr>
          <w:lang w:eastAsia="en-NZ"/>
        </w:rPr>
      </w:pPr>
      <w:r>
        <w:rPr>
          <w:lang w:eastAsia="en-NZ"/>
        </w:rPr>
        <w:t xml:space="preserve">In the box below, </w:t>
      </w:r>
      <w:r w:rsidRPr="00875409">
        <w:rPr>
          <w:lang w:eastAsia="en-NZ"/>
        </w:rPr>
        <w:t xml:space="preserve">provide descriptions </w:t>
      </w:r>
      <w:r>
        <w:rPr>
          <w:lang w:eastAsia="en-NZ"/>
        </w:rPr>
        <w:t xml:space="preserve">of related party transactions beyond those disclosed on schedule 5 including identification and descriptions as to the nature of </w:t>
      </w:r>
      <w:r w:rsidRPr="006F48FB">
        <w:rPr>
          <w:b/>
          <w:lang w:eastAsia="en-NZ"/>
        </w:rPr>
        <w:t xml:space="preserve">directly attributable </w:t>
      </w:r>
      <w:r>
        <w:rPr>
          <w:lang w:eastAsia="en-NZ"/>
        </w:rPr>
        <w:t xml:space="preserve">costs disclosed under clause 2.3.6(2)(b).  </w:t>
      </w:r>
    </w:p>
    <w:tbl>
      <w:tblPr>
        <w:tblStyle w:val="TableGrid"/>
        <w:tblW w:w="9243" w:type="dxa"/>
        <w:tblLook w:val="04A0"/>
      </w:tblPr>
      <w:tblGrid>
        <w:gridCol w:w="9243"/>
      </w:tblGrid>
      <w:tr w:rsidR="0093596C" w:rsidTr="00F40287">
        <w:tc>
          <w:tcPr>
            <w:tcW w:w="9243" w:type="dxa"/>
          </w:tcPr>
          <w:p w:rsidR="0093596C" w:rsidRDefault="0093596C" w:rsidP="00F40287">
            <w:pPr>
              <w:pStyle w:val="Caption"/>
              <w:keepNext/>
            </w:pPr>
            <w:r>
              <w:t xml:space="preserve">Box 10: Related party transactions </w:t>
            </w:r>
          </w:p>
          <w:p w:rsidR="0093596C" w:rsidRDefault="0093596C" w:rsidP="00F40287">
            <w:pPr>
              <w:pStyle w:val="BodyText"/>
              <w:rPr>
                <w:bCs/>
                <w:iCs/>
              </w:rPr>
            </w:pPr>
            <w:r>
              <w:rPr>
                <w:bCs/>
                <w:iCs/>
              </w:rPr>
              <w:t>[Insert text here]</w:t>
            </w:r>
          </w:p>
          <w:p w:rsidR="0093596C" w:rsidRDefault="0093596C" w:rsidP="00F40287">
            <w:pPr>
              <w:pStyle w:val="BodyText"/>
              <w:rPr>
                <w:bCs/>
                <w:iCs/>
              </w:rPr>
            </w:pPr>
          </w:p>
        </w:tc>
      </w:tr>
    </w:tbl>
    <w:p w:rsidR="0093596C" w:rsidRDefault="0093596C" w:rsidP="0093596C">
      <w:pPr>
        <w:pStyle w:val="Heading3"/>
      </w:pPr>
    </w:p>
    <w:p w:rsidR="00B400D3" w:rsidRDefault="00B400D3" w:rsidP="00B400D3">
      <w:pPr>
        <w:pStyle w:val="BodyText"/>
        <w:rPr>
          <w:i/>
        </w:rPr>
      </w:pPr>
      <w:r>
        <w:rPr>
          <w:i/>
        </w:rPr>
        <w:t>Cost allocation (Schedule 5c)</w:t>
      </w:r>
    </w:p>
    <w:p w:rsidR="00B400D3" w:rsidRPr="002F5635" w:rsidRDefault="00B400D3" w:rsidP="00B400D3">
      <w:pPr>
        <w:pStyle w:val="Para1"/>
      </w:pPr>
      <w:r>
        <w:t>In the box below, comment</w:t>
      </w:r>
      <w:r w:rsidRPr="002F5635">
        <w:t xml:space="preserve"> on </w:t>
      </w:r>
      <w:r>
        <w:t xml:space="preserve">cost </w:t>
      </w:r>
      <w:r w:rsidRPr="002F5635">
        <w:t>allocation</w:t>
      </w:r>
      <w:r>
        <w:t xml:space="preserve"> as disclosed in Schedule 5c. This comment must include information on reclassified items </w:t>
      </w:r>
      <w:r w:rsidRPr="002F5635">
        <w:t xml:space="preserve">in accordance with </w:t>
      </w:r>
      <w:r>
        <w:t xml:space="preserve">clause </w:t>
      </w:r>
      <w:r w:rsidR="00004445">
        <w:fldChar w:fldCharType="begin"/>
      </w:r>
      <w:r>
        <w:instrText xml:space="preserve"> REF _Ref328947130 \w \h </w:instrText>
      </w:r>
      <w:r w:rsidR="00004445">
        <w:fldChar w:fldCharType="separate"/>
      </w:r>
      <w:r w:rsidR="00A84D28">
        <w:t>2.7.1(2)</w:t>
      </w:r>
      <w:r w:rsidR="00004445">
        <w:fldChar w:fldCharType="end"/>
      </w:r>
      <w:r>
        <w:t>.</w:t>
      </w:r>
    </w:p>
    <w:tbl>
      <w:tblPr>
        <w:tblStyle w:val="TableGrid"/>
        <w:tblW w:w="9243" w:type="dxa"/>
        <w:tblLook w:val="04A0"/>
      </w:tblPr>
      <w:tblGrid>
        <w:gridCol w:w="9243"/>
      </w:tblGrid>
      <w:tr w:rsidR="00B400D3" w:rsidTr="007A6AD2">
        <w:tc>
          <w:tcPr>
            <w:tcW w:w="9243" w:type="dxa"/>
          </w:tcPr>
          <w:p w:rsidR="00B400D3" w:rsidRDefault="00B400D3" w:rsidP="007A6AD2">
            <w:pPr>
              <w:pStyle w:val="Caption"/>
              <w:keepNext/>
            </w:pPr>
            <w:r>
              <w:t>Box 10: Cost allocation</w:t>
            </w:r>
          </w:p>
          <w:p w:rsidR="00B400D3" w:rsidRDefault="00B400D3" w:rsidP="007A6AD2">
            <w:pPr>
              <w:pStyle w:val="BodyText"/>
              <w:rPr>
                <w:bCs/>
                <w:iCs/>
              </w:rPr>
            </w:pPr>
            <w:r>
              <w:rPr>
                <w:bCs/>
                <w:iCs/>
              </w:rPr>
              <w:t>[Insert text here]</w:t>
            </w:r>
          </w:p>
          <w:p w:rsidR="00B400D3" w:rsidRDefault="00B400D3" w:rsidP="007A6AD2">
            <w:pPr>
              <w:pStyle w:val="BodyText"/>
              <w:rPr>
                <w:bCs/>
                <w:iCs/>
              </w:rPr>
            </w:pPr>
          </w:p>
        </w:tc>
      </w:tr>
    </w:tbl>
    <w:p w:rsidR="00B400D3" w:rsidRPr="00B71E92" w:rsidRDefault="00B400D3" w:rsidP="00B400D3">
      <w:pPr>
        <w:pStyle w:val="BodyText"/>
      </w:pPr>
    </w:p>
    <w:p w:rsidR="001100D3" w:rsidRDefault="001100D3" w:rsidP="001100D3">
      <w:pPr>
        <w:pStyle w:val="BodyText"/>
        <w:rPr>
          <w:bCs/>
          <w:iCs/>
        </w:rPr>
      </w:pPr>
    </w:p>
    <w:p w:rsidR="001100D3" w:rsidRDefault="001100D3" w:rsidP="001100D3">
      <w:pPr>
        <w:pStyle w:val="Heading3"/>
      </w:pPr>
      <w:r>
        <w:t>Capital Expenditure for the Disclosure Year (Schedule 6)</w:t>
      </w:r>
    </w:p>
    <w:p w:rsidR="00D75B2B" w:rsidRDefault="001100D3" w:rsidP="001100D3">
      <w:pPr>
        <w:pStyle w:val="Para1"/>
      </w:pPr>
      <w:r>
        <w:t>In the box below, comment</w:t>
      </w:r>
      <w:r w:rsidRPr="00B873BF">
        <w:t xml:space="preserve"> on</w:t>
      </w:r>
      <w:r>
        <w:t xml:space="preserve"> gross </w:t>
      </w:r>
      <w:r w:rsidRPr="0029158A">
        <w:rPr>
          <w:bCs/>
          <w:iCs/>
        </w:rPr>
        <w:t xml:space="preserve">capital expenditure for the </w:t>
      </w:r>
      <w:r>
        <w:t xml:space="preserve">disclosure year, as disclosed in Schedule 6. </w:t>
      </w:r>
      <w:r w:rsidRPr="00DE682B">
        <w:t xml:space="preserve">This comment </w:t>
      </w:r>
      <w:r>
        <w:t>must</w:t>
      </w:r>
      <w:r w:rsidRPr="00DE682B">
        <w:t xml:space="preserve"> include</w:t>
      </w:r>
      <w:r w:rsidR="00D75B2B">
        <w:t>:</w:t>
      </w:r>
    </w:p>
    <w:p w:rsidR="00F56F86" w:rsidRDefault="00D75B2B">
      <w:pPr>
        <w:pStyle w:val="Para2"/>
      </w:pPr>
      <w:r>
        <w:t>a description of the materiality threshold applied to identify material projects and programmes described in Schedule 6;</w:t>
      </w:r>
    </w:p>
    <w:p w:rsidR="00F56F86" w:rsidRDefault="001100D3">
      <w:pPr>
        <w:pStyle w:val="Para2"/>
      </w:pPr>
      <w:proofErr w:type="gramStart"/>
      <w:r>
        <w:t>information</w:t>
      </w:r>
      <w:proofErr w:type="gramEnd"/>
      <w:r>
        <w:t xml:space="preserve"> on reclassified items in accordance with clause </w:t>
      </w:r>
      <w:r w:rsidR="00004445">
        <w:fldChar w:fldCharType="begin"/>
      </w:r>
      <w:r>
        <w:instrText xml:space="preserve"> REF _Ref328947130 \w \h </w:instrText>
      </w:r>
      <w:r w:rsidR="00004445">
        <w:fldChar w:fldCharType="separate"/>
      </w:r>
      <w:r w:rsidR="00A84D28">
        <w:t>2.7.1(2)</w:t>
      </w:r>
      <w:r w:rsidR="00004445">
        <w:fldChar w:fldCharType="end"/>
      </w:r>
      <w:r w:rsidR="00D75B2B">
        <w:t>.</w:t>
      </w:r>
    </w:p>
    <w:tbl>
      <w:tblPr>
        <w:tblStyle w:val="TableGrid"/>
        <w:tblW w:w="0" w:type="auto"/>
        <w:tblLook w:val="04A0"/>
      </w:tblPr>
      <w:tblGrid>
        <w:gridCol w:w="9243"/>
      </w:tblGrid>
      <w:tr w:rsidR="001100D3" w:rsidTr="00663C60">
        <w:tc>
          <w:tcPr>
            <w:tcW w:w="9243" w:type="dxa"/>
          </w:tcPr>
          <w:p w:rsidR="001100D3" w:rsidRDefault="001100D3" w:rsidP="00663C60">
            <w:pPr>
              <w:pStyle w:val="Caption"/>
              <w:keepNext/>
            </w:pPr>
            <w:r>
              <w:t xml:space="preserve">Box </w:t>
            </w:r>
            <w:r w:rsidR="0093596C">
              <w:t>11</w:t>
            </w:r>
            <w:r>
              <w:t>: Explanation of capital expenditure for the disclosure year</w:t>
            </w:r>
          </w:p>
          <w:p w:rsidR="001100D3" w:rsidRDefault="001100D3" w:rsidP="00663C60">
            <w:pPr>
              <w:pStyle w:val="BodyText"/>
              <w:rPr>
                <w:bCs/>
                <w:iCs/>
              </w:rPr>
            </w:pPr>
            <w:r>
              <w:rPr>
                <w:bCs/>
                <w:iCs/>
              </w:rPr>
              <w:t>[Insert text here]</w:t>
            </w:r>
          </w:p>
          <w:p w:rsidR="001100D3" w:rsidRDefault="001100D3" w:rsidP="00663C60">
            <w:pPr>
              <w:pStyle w:val="BodyText"/>
              <w:rPr>
                <w:bCs/>
                <w:iCs/>
              </w:rPr>
            </w:pPr>
          </w:p>
          <w:p w:rsidR="001100D3" w:rsidRDefault="001100D3" w:rsidP="00663C60">
            <w:pPr>
              <w:pStyle w:val="BodyText"/>
              <w:rPr>
                <w:bCs/>
                <w:iCs/>
              </w:rPr>
            </w:pPr>
          </w:p>
        </w:tc>
      </w:tr>
    </w:tbl>
    <w:p w:rsidR="001100D3" w:rsidRDefault="001100D3" w:rsidP="001100D3">
      <w:pPr>
        <w:pStyle w:val="Singlespacedparagraph"/>
      </w:pPr>
    </w:p>
    <w:p w:rsidR="001100D3" w:rsidRDefault="001100D3" w:rsidP="001100D3">
      <w:pPr>
        <w:pStyle w:val="Heading3"/>
      </w:pPr>
      <w:r>
        <w:t>Operational Expenditure for the Disclosure Year (Schedule 7)</w:t>
      </w:r>
    </w:p>
    <w:p w:rsidR="001100D3" w:rsidRDefault="001100D3" w:rsidP="001100D3">
      <w:pPr>
        <w:pStyle w:val="Para1"/>
      </w:pPr>
      <w:r>
        <w:t>In the box below, comment</w:t>
      </w:r>
      <w:r w:rsidRPr="00B873BF">
        <w:t xml:space="preserve"> on</w:t>
      </w:r>
      <w:r>
        <w:t xml:space="preserve"> operational</w:t>
      </w:r>
      <w:r w:rsidRPr="0029158A">
        <w:rPr>
          <w:bCs/>
          <w:iCs/>
        </w:rPr>
        <w:t xml:space="preserve"> expenditure for the </w:t>
      </w:r>
      <w:r>
        <w:t xml:space="preserve">disclosure year, as disclosed in Schedule 7. </w:t>
      </w:r>
      <w:r w:rsidRPr="00DE682B">
        <w:t xml:space="preserve">This comment </w:t>
      </w:r>
      <w:r>
        <w:t>must</w:t>
      </w:r>
      <w:r w:rsidRPr="00DE682B">
        <w:t xml:space="preserve"> include</w:t>
      </w:r>
      <w:r>
        <w:t>:</w:t>
      </w:r>
    </w:p>
    <w:p w:rsidR="001100D3" w:rsidRDefault="001100D3" w:rsidP="001100D3">
      <w:pPr>
        <w:pStyle w:val="Para1"/>
        <w:numPr>
          <w:ilvl w:val="1"/>
          <w:numId w:val="121"/>
        </w:numPr>
      </w:pPr>
      <w:r w:rsidRPr="0029158A">
        <w:t>Commentary on assets replaced or renewed with Asset replacement and renewal operating expenditure</w:t>
      </w:r>
      <w:r>
        <w:t>, as reported in 7(</w:t>
      </w:r>
      <w:proofErr w:type="spellStart"/>
      <w:r>
        <w:t>i</w:t>
      </w:r>
      <w:proofErr w:type="spellEnd"/>
      <w:r>
        <w:t>) of Schedule 7</w:t>
      </w:r>
    </w:p>
    <w:p w:rsidR="001100D3" w:rsidRDefault="001100D3" w:rsidP="001100D3">
      <w:pPr>
        <w:pStyle w:val="Para1"/>
        <w:numPr>
          <w:ilvl w:val="1"/>
          <w:numId w:val="121"/>
        </w:numPr>
      </w:pPr>
      <w:r>
        <w:t xml:space="preserve">Information on reclassified items in accordance with clause </w:t>
      </w:r>
      <w:r w:rsidR="00004445">
        <w:fldChar w:fldCharType="begin"/>
      </w:r>
      <w:r>
        <w:instrText xml:space="preserve"> REF _Ref328947130 \w \h </w:instrText>
      </w:r>
      <w:r w:rsidR="00004445">
        <w:fldChar w:fldCharType="separate"/>
      </w:r>
      <w:r w:rsidR="00A84D28">
        <w:t>2.7.1(2)</w:t>
      </w:r>
      <w:r w:rsidR="00004445">
        <w:fldChar w:fldCharType="end"/>
      </w:r>
    </w:p>
    <w:p w:rsidR="001100D3" w:rsidRDefault="00D75B2B" w:rsidP="001100D3">
      <w:pPr>
        <w:pStyle w:val="Para1"/>
        <w:numPr>
          <w:ilvl w:val="1"/>
          <w:numId w:val="121"/>
        </w:numPr>
      </w:pPr>
      <w:r>
        <w:t xml:space="preserve">Commentary on any </w:t>
      </w:r>
      <w:r w:rsidR="001100D3">
        <w:t xml:space="preserve">material </w:t>
      </w:r>
      <w:r w:rsidR="001100D3">
        <w:rPr>
          <w:b/>
        </w:rPr>
        <w:t xml:space="preserve">atypical </w:t>
      </w:r>
      <w:r w:rsidR="001100D3">
        <w:t xml:space="preserve">expenditure included in </w:t>
      </w:r>
      <w:r>
        <w:t xml:space="preserve">operational expenditure disclosed in </w:t>
      </w:r>
      <w:r w:rsidR="001100D3">
        <w:t>Schedule 7,</w:t>
      </w:r>
      <w:r w:rsidR="001100D3" w:rsidRPr="002638E6">
        <w:t xml:space="preserve"> </w:t>
      </w:r>
      <w:r w:rsidR="005E6418">
        <w:t xml:space="preserve">including the value of the expenditure, </w:t>
      </w:r>
      <w:r w:rsidR="001100D3" w:rsidRPr="00604256">
        <w:t xml:space="preserve">the purpose of the </w:t>
      </w:r>
      <w:r>
        <w:t>expenditure</w:t>
      </w:r>
      <w:r w:rsidR="001100D3" w:rsidRPr="00604256">
        <w:t xml:space="preserve">, and the </w:t>
      </w:r>
      <w:r w:rsidR="001100D3" w:rsidRPr="00604256">
        <w:rPr>
          <w:b/>
        </w:rPr>
        <w:t>operational expenditure</w:t>
      </w:r>
      <w:r w:rsidR="001100D3" w:rsidRPr="00604256">
        <w:t xml:space="preserve"> categories the expenditure relates to</w:t>
      </w:r>
      <w:r w:rsidR="001100D3">
        <w:t>.</w:t>
      </w:r>
    </w:p>
    <w:tbl>
      <w:tblPr>
        <w:tblStyle w:val="TableGrid"/>
        <w:tblW w:w="0" w:type="auto"/>
        <w:tblLook w:val="04A0"/>
      </w:tblPr>
      <w:tblGrid>
        <w:gridCol w:w="9243"/>
      </w:tblGrid>
      <w:tr w:rsidR="001100D3" w:rsidTr="00663C60">
        <w:tc>
          <w:tcPr>
            <w:tcW w:w="9243" w:type="dxa"/>
          </w:tcPr>
          <w:p w:rsidR="001100D3" w:rsidRDefault="001100D3" w:rsidP="00663C60">
            <w:pPr>
              <w:pStyle w:val="Caption"/>
              <w:keepNext/>
            </w:pPr>
            <w:bookmarkStart w:id="781" w:name="_Ref327699880"/>
            <w:r>
              <w:t xml:space="preserve">Box </w:t>
            </w:r>
            <w:bookmarkEnd w:id="781"/>
            <w:r w:rsidR="0093596C">
              <w:t>12</w:t>
            </w:r>
            <w:r>
              <w:t>: Explanation of operational expenditure for the disclosure year</w:t>
            </w:r>
          </w:p>
          <w:p w:rsidR="001100D3" w:rsidRDefault="001100D3" w:rsidP="00663C60">
            <w:pPr>
              <w:pStyle w:val="BodyText"/>
              <w:rPr>
                <w:bCs/>
                <w:iCs/>
              </w:rPr>
            </w:pPr>
            <w:r>
              <w:rPr>
                <w:bCs/>
                <w:iCs/>
              </w:rPr>
              <w:t>[Insert text here]</w:t>
            </w:r>
          </w:p>
          <w:p w:rsidR="001100D3" w:rsidRDefault="001100D3" w:rsidP="00663C60">
            <w:pPr>
              <w:pStyle w:val="BodyText"/>
              <w:rPr>
                <w:bCs/>
                <w:iCs/>
              </w:rPr>
            </w:pPr>
          </w:p>
          <w:p w:rsidR="001100D3" w:rsidRDefault="001100D3" w:rsidP="00663C60">
            <w:pPr>
              <w:pStyle w:val="BodyText"/>
              <w:rPr>
                <w:bCs/>
                <w:iCs/>
              </w:rPr>
            </w:pPr>
          </w:p>
        </w:tc>
      </w:tr>
    </w:tbl>
    <w:p w:rsidR="001100D3" w:rsidRDefault="001100D3" w:rsidP="001100D3">
      <w:pPr>
        <w:pStyle w:val="BodyText"/>
        <w:rPr>
          <w:bCs/>
          <w:iCs/>
        </w:rPr>
      </w:pPr>
    </w:p>
    <w:p w:rsidR="001100D3" w:rsidRPr="00A922A2" w:rsidRDefault="001100D3" w:rsidP="001100D3">
      <w:pPr>
        <w:pStyle w:val="Heading3"/>
      </w:pPr>
      <w:r w:rsidRPr="00A922A2">
        <w:t>Information Relating to Revenue for the Disclosure Year</w:t>
      </w:r>
    </w:p>
    <w:p w:rsidR="001100D3" w:rsidRDefault="001100D3" w:rsidP="001100D3">
      <w:pPr>
        <w:pStyle w:val="Para1"/>
      </w:pPr>
      <w:r>
        <w:t>In the box below provide:</w:t>
      </w:r>
    </w:p>
    <w:p w:rsidR="008F5D7B" w:rsidRDefault="001100D3" w:rsidP="001100D3">
      <w:pPr>
        <w:pStyle w:val="Para1"/>
        <w:numPr>
          <w:ilvl w:val="1"/>
          <w:numId w:val="121"/>
        </w:numPr>
      </w:pPr>
      <w:r>
        <w:t xml:space="preserve">a comparison of the target revenue disclosed before the start of the </w:t>
      </w:r>
      <w:r w:rsidRPr="005706D6">
        <w:rPr>
          <w:b/>
        </w:rPr>
        <w:t>disclosure year</w:t>
      </w:r>
      <w:r>
        <w:t>, in accordance with clause</w:t>
      </w:r>
      <w:r w:rsidR="009D74FF">
        <w:t>s</w:t>
      </w:r>
      <w:r>
        <w:t xml:space="preserve"> </w:t>
      </w:r>
      <w:r w:rsidR="00004445">
        <w:fldChar w:fldCharType="begin"/>
      </w:r>
      <w:r w:rsidR="009D74FF">
        <w:instrText xml:space="preserve"> REF _Ref329296560 \r \h </w:instrText>
      </w:r>
      <w:r w:rsidR="00004445">
        <w:fldChar w:fldCharType="separate"/>
      </w:r>
      <w:r w:rsidR="00A84D28">
        <w:t>2.4.1(2)</w:t>
      </w:r>
      <w:r w:rsidR="00004445">
        <w:fldChar w:fldCharType="end"/>
      </w:r>
      <w:r w:rsidR="009D74FF">
        <w:t xml:space="preserve"> and </w:t>
      </w:r>
      <w:r w:rsidR="00004445">
        <w:fldChar w:fldCharType="begin"/>
      </w:r>
      <w:r w:rsidR="009D74FF">
        <w:instrText xml:space="preserve"> REF _Ref329296503 \r \h </w:instrText>
      </w:r>
      <w:r w:rsidR="00004445">
        <w:fldChar w:fldCharType="separate"/>
      </w:r>
      <w:r w:rsidR="00A84D28">
        <w:t>2.4.3(3)</w:t>
      </w:r>
      <w:r w:rsidR="00004445">
        <w:fldChar w:fldCharType="end"/>
      </w:r>
      <w:r>
        <w:t xml:space="preserve"> to total billed </w:t>
      </w:r>
      <w:r w:rsidRPr="005706D6">
        <w:rPr>
          <w:b/>
        </w:rPr>
        <w:t>line charge revenue</w:t>
      </w:r>
      <w:r>
        <w:t xml:space="preserve"> for the </w:t>
      </w:r>
      <w:r w:rsidRPr="005706D6">
        <w:rPr>
          <w:b/>
        </w:rPr>
        <w:t>disclosure year</w:t>
      </w:r>
      <w:r>
        <w:t>, as disclosed in Schedules 8a and 8b; and</w:t>
      </w:r>
    </w:p>
    <w:p w:rsidR="001100D3" w:rsidRDefault="001100D3" w:rsidP="001100D3">
      <w:pPr>
        <w:pStyle w:val="Para1"/>
        <w:numPr>
          <w:ilvl w:val="1"/>
          <w:numId w:val="121"/>
        </w:numPr>
      </w:pPr>
      <w:proofErr w:type="gramStart"/>
      <w:r>
        <w:t>explanatory</w:t>
      </w:r>
      <w:proofErr w:type="gramEnd"/>
      <w:r>
        <w:t xml:space="preserve"> comment on reasons for any material differences between target revenue and total billed </w:t>
      </w:r>
      <w:r w:rsidRPr="006E1EB3">
        <w:rPr>
          <w:b/>
        </w:rPr>
        <w:t>line charge revenue</w:t>
      </w:r>
      <w:r>
        <w:t>.</w:t>
      </w:r>
    </w:p>
    <w:tbl>
      <w:tblPr>
        <w:tblStyle w:val="TableGrid"/>
        <w:tblW w:w="9243" w:type="dxa"/>
        <w:tblLook w:val="04A0"/>
      </w:tblPr>
      <w:tblGrid>
        <w:gridCol w:w="9243"/>
      </w:tblGrid>
      <w:tr w:rsidR="001100D3" w:rsidTr="00663C60">
        <w:tc>
          <w:tcPr>
            <w:tcW w:w="9243" w:type="dxa"/>
          </w:tcPr>
          <w:p w:rsidR="001100D3" w:rsidRDefault="001100D3" w:rsidP="00663C60">
            <w:pPr>
              <w:pStyle w:val="Caption"/>
              <w:keepNext/>
            </w:pPr>
            <w:r>
              <w:t xml:space="preserve">Box </w:t>
            </w:r>
            <w:r w:rsidR="0093596C">
              <w:t>13</w:t>
            </w:r>
            <w:r>
              <w:t>: Explanatory comment relating to revenue for the disclosure year</w:t>
            </w:r>
          </w:p>
          <w:p w:rsidR="001100D3" w:rsidRDefault="001100D3" w:rsidP="00663C60">
            <w:pPr>
              <w:pStyle w:val="BodyText"/>
              <w:rPr>
                <w:bCs/>
                <w:iCs/>
              </w:rPr>
            </w:pPr>
            <w:r>
              <w:rPr>
                <w:bCs/>
                <w:iCs/>
              </w:rPr>
              <w:t>[Insert text here]</w:t>
            </w:r>
          </w:p>
          <w:p w:rsidR="001100D3" w:rsidRDefault="001100D3" w:rsidP="00663C60">
            <w:pPr>
              <w:pStyle w:val="BodyText"/>
              <w:rPr>
                <w:bCs/>
                <w:iCs/>
              </w:rPr>
            </w:pPr>
          </w:p>
        </w:tc>
      </w:tr>
    </w:tbl>
    <w:p w:rsidR="001100D3" w:rsidRDefault="001100D3" w:rsidP="001100D3">
      <w:pPr>
        <w:pStyle w:val="BodyText"/>
      </w:pPr>
    </w:p>
    <w:p w:rsidR="001100D3" w:rsidRDefault="001100D3" w:rsidP="001100D3">
      <w:pPr>
        <w:pStyle w:val="Heading3"/>
      </w:pPr>
      <w:r>
        <w:t>Network Reliability for the Disclosure Year (Schedule 10)</w:t>
      </w:r>
    </w:p>
    <w:p w:rsidR="001100D3" w:rsidRDefault="001100D3" w:rsidP="001100D3">
      <w:pPr>
        <w:pStyle w:val="Para1"/>
      </w:pPr>
      <w:r>
        <w:t>In the box below, comment</w:t>
      </w:r>
      <w:r w:rsidRPr="00B873BF">
        <w:t xml:space="preserve"> on</w:t>
      </w:r>
      <w:r>
        <w:t xml:space="preserve"> network reliability </w:t>
      </w:r>
      <w:r w:rsidRPr="0029158A">
        <w:rPr>
          <w:bCs/>
          <w:iCs/>
        </w:rPr>
        <w:t xml:space="preserve">for the </w:t>
      </w:r>
      <w:r>
        <w:t>disclosure year, as disclosed in Schedule 10.</w:t>
      </w:r>
    </w:p>
    <w:tbl>
      <w:tblPr>
        <w:tblStyle w:val="TableGrid"/>
        <w:tblW w:w="9243" w:type="dxa"/>
        <w:tblLook w:val="04A0"/>
      </w:tblPr>
      <w:tblGrid>
        <w:gridCol w:w="9243"/>
      </w:tblGrid>
      <w:tr w:rsidR="001100D3" w:rsidTr="00663C60">
        <w:tc>
          <w:tcPr>
            <w:tcW w:w="9243" w:type="dxa"/>
          </w:tcPr>
          <w:p w:rsidR="001100D3" w:rsidRDefault="001100D3" w:rsidP="00663C60">
            <w:pPr>
              <w:pStyle w:val="Caption"/>
              <w:keepNext/>
            </w:pPr>
            <w:r>
              <w:t xml:space="preserve">Box </w:t>
            </w:r>
            <w:r w:rsidR="0093596C">
              <w:t>14</w:t>
            </w:r>
            <w:r>
              <w:t>: Commentary on network reliability for the disclosure year</w:t>
            </w:r>
          </w:p>
          <w:p w:rsidR="001100D3" w:rsidRDefault="001100D3" w:rsidP="00663C60">
            <w:pPr>
              <w:pStyle w:val="BodyText"/>
              <w:rPr>
                <w:bCs/>
                <w:iCs/>
              </w:rPr>
            </w:pPr>
            <w:r>
              <w:rPr>
                <w:bCs/>
                <w:iCs/>
              </w:rPr>
              <w:t>[Insert text here]</w:t>
            </w:r>
          </w:p>
          <w:p w:rsidR="001100D3" w:rsidRDefault="001100D3" w:rsidP="00663C60">
            <w:pPr>
              <w:pStyle w:val="BodyText"/>
              <w:rPr>
                <w:bCs/>
                <w:iCs/>
              </w:rPr>
            </w:pPr>
          </w:p>
        </w:tc>
      </w:tr>
    </w:tbl>
    <w:p w:rsidR="001100D3" w:rsidRDefault="001100D3" w:rsidP="001100D3">
      <w:pPr>
        <w:pStyle w:val="BodyText"/>
        <w:rPr>
          <w:bCs/>
          <w:iCs/>
        </w:rPr>
      </w:pPr>
    </w:p>
    <w:p w:rsidR="001100D3" w:rsidRDefault="001100D3" w:rsidP="001100D3">
      <w:pPr>
        <w:pStyle w:val="Heading3"/>
      </w:pPr>
      <w:r>
        <w:t>Insurance cover</w:t>
      </w:r>
    </w:p>
    <w:p w:rsidR="001100D3" w:rsidRDefault="001100D3" w:rsidP="001100D3">
      <w:pPr>
        <w:pStyle w:val="Para1"/>
      </w:pPr>
      <w:r>
        <w:t>In the box below provide d</w:t>
      </w:r>
      <w:r w:rsidRPr="00604256">
        <w:t>etails of any insurance cover for the assets, including:</w:t>
      </w:r>
    </w:p>
    <w:p w:rsidR="001100D3" w:rsidRDefault="001100D3" w:rsidP="001100D3">
      <w:pPr>
        <w:pStyle w:val="Para1"/>
        <w:numPr>
          <w:ilvl w:val="1"/>
          <w:numId w:val="121"/>
        </w:numPr>
      </w:pPr>
      <w:r w:rsidRPr="00604256">
        <w:t xml:space="preserve">The </w:t>
      </w:r>
      <w:proofErr w:type="spellStart"/>
      <w:r w:rsidR="008F5206">
        <w:rPr>
          <w:b/>
        </w:rPr>
        <w:t>G</w:t>
      </w:r>
      <w:r w:rsidRPr="000B5823">
        <w:rPr>
          <w:b/>
        </w:rPr>
        <w:t>DB</w:t>
      </w:r>
      <w:r w:rsidRPr="00604256">
        <w:t>’s</w:t>
      </w:r>
      <w:proofErr w:type="spellEnd"/>
      <w:r w:rsidRPr="00604256">
        <w:t xml:space="preserve"> approaches and practices in regard to the insurance of assets, including the level of insurance;</w:t>
      </w:r>
    </w:p>
    <w:p w:rsidR="001100D3" w:rsidRDefault="001100D3" w:rsidP="001100D3">
      <w:pPr>
        <w:pStyle w:val="Para1"/>
        <w:numPr>
          <w:ilvl w:val="1"/>
          <w:numId w:val="121"/>
        </w:numPr>
      </w:pPr>
      <w:r w:rsidRPr="00604256">
        <w:t>In respect of any self insurance, the level of reserves, details of how reserves are managed and invested, and details of any reinsurance.</w:t>
      </w:r>
    </w:p>
    <w:tbl>
      <w:tblPr>
        <w:tblStyle w:val="TableGrid"/>
        <w:tblW w:w="0" w:type="auto"/>
        <w:tblLook w:val="04A0"/>
      </w:tblPr>
      <w:tblGrid>
        <w:gridCol w:w="9243"/>
      </w:tblGrid>
      <w:tr w:rsidR="001100D3" w:rsidTr="00663C60">
        <w:tc>
          <w:tcPr>
            <w:tcW w:w="9243" w:type="dxa"/>
          </w:tcPr>
          <w:p w:rsidR="001100D3" w:rsidRDefault="001100D3" w:rsidP="00663C60">
            <w:pPr>
              <w:pStyle w:val="Caption"/>
              <w:keepNext/>
            </w:pPr>
            <w:r>
              <w:t xml:space="preserve">Box </w:t>
            </w:r>
            <w:r w:rsidR="0093596C">
              <w:t>15</w:t>
            </w:r>
            <w:r>
              <w:t>: Explanation of insurance cover</w:t>
            </w:r>
          </w:p>
          <w:p w:rsidR="001100D3" w:rsidRDefault="001100D3" w:rsidP="00663C60">
            <w:pPr>
              <w:pStyle w:val="BodyText"/>
              <w:rPr>
                <w:bCs/>
                <w:iCs/>
              </w:rPr>
            </w:pPr>
            <w:r>
              <w:rPr>
                <w:bCs/>
                <w:iCs/>
              </w:rPr>
              <w:t>[Insert text here]</w:t>
            </w:r>
          </w:p>
          <w:p w:rsidR="001100D3" w:rsidRDefault="001100D3" w:rsidP="00663C60">
            <w:pPr>
              <w:pStyle w:val="BodyText"/>
              <w:rPr>
                <w:bCs/>
                <w:iCs/>
              </w:rPr>
            </w:pPr>
          </w:p>
        </w:tc>
      </w:tr>
    </w:tbl>
    <w:p w:rsidR="00837237" w:rsidRDefault="00837237" w:rsidP="00837237">
      <w:pPr>
        <w:pStyle w:val="BodyText"/>
        <w:sectPr w:rsidR="00837237" w:rsidSect="00837237">
          <w:pgSz w:w="11907" w:h="16840" w:code="9"/>
          <w:pgMar w:top="1440" w:right="1440" w:bottom="1440" w:left="1440" w:header="1134" w:footer="431" w:gutter="0"/>
          <w:cols w:space="720"/>
          <w:titlePg/>
        </w:sectPr>
      </w:pPr>
    </w:p>
    <w:p w:rsidR="00837237" w:rsidRDefault="00837237" w:rsidP="00837237">
      <w:pPr>
        <w:pStyle w:val="Heading1"/>
        <w:spacing w:line="264" w:lineRule="auto"/>
        <w:jc w:val="center"/>
      </w:pPr>
      <w:bookmarkStart w:id="782" w:name="_Toc328913816"/>
      <w:bookmarkStart w:id="783" w:name="_Toc329301665"/>
      <w:r>
        <w:t>Schedule 14a</w:t>
      </w:r>
      <w:r>
        <w:tab/>
        <w:t xml:space="preserve">Mandatory Explanatory Notes </w:t>
      </w:r>
      <w:bookmarkEnd w:id="782"/>
      <w:r w:rsidR="00B400D3">
        <w:t>on Forecast Information</w:t>
      </w:r>
      <w:bookmarkEnd w:id="783"/>
    </w:p>
    <w:p w:rsidR="00837237" w:rsidRPr="001100D3" w:rsidRDefault="00837237" w:rsidP="001100D3">
      <w:pPr>
        <w:pStyle w:val="Para1"/>
        <w:numPr>
          <w:ilvl w:val="0"/>
          <w:numId w:val="146"/>
        </w:numPr>
        <w:rPr>
          <w:bCs/>
          <w:iCs/>
        </w:rPr>
      </w:pPr>
      <w:r>
        <w:t xml:space="preserve">This Schedule </w:t>
      </w:r>
      <w:r w:rsidR="001100D3">
        <w:t xml:space="preserve">requires </w:t>
      </w:r>
      <w:proofErr w:type="spellStart"/>
      <w:r w:rsidRPr="001100D3">
        <w:rPr>
          <w:b/>
        </w:rPr>
        <w:t>GDB</w:t>
      </w:r>
      <w:r>
        <w:t>s</w:t>
      </w:r>
      <w:proofErr w:type="spellEnd"/>
      <w:r>
        <w:t xml:space="preserve"> to provide explanatory notes to reports prepared in accordance with clause </w:t>
      </w:r>
      <w:r w:rsidR="00004445">
        <w:fldChar w:fldCharType="begin"/>
      </w:r>
      <w:r>
        <w:instrText xml:space="preserve"> REF _Ref310881972 \r \h </w:instrText>
      </w:r>
      <w:r w:rsidR="00004445">
        <w:fldChar w:fldCharType="separate"/>
      </w:r>
      <w:r w:rsidR="00A84D28">
        <w:t>2.6.5</w:t>
      </w:r>
      <w:r w:rsidR="00004445">
        <w:fldChar w:fldCharType="end"/>
      </w:r>
      <w:r w:rsidRPr="001100D3">
        <w:rPr>
          <w:bCs/>
          <w:iCs/>
        </w:rPr>
        <w:t>.</w:t>
      </w:r>
    </w:p>
    <w:p w:rsidR="00837237" w:rsidRDefault="00837237" w:rsidP="00837237">
      <w:pPr>
        <w:pStyle w:val="Para1"/>
        <w:rPr>
          <w:bCs/>
          <w:iCs/>
        </w:rPr>
      </w:pPr>
      <w:r>
        <w:rPr>
          <w:bCs/>
          <w:iCs/>
        </w:rPr>
        <w:t>This Schedule is mandatory—</w:t>
      </w:r>
      <w:proofErr w:type="spellStart"/>
      <w:r>
        <w:rPr>
          <w:b/>
          <w:bCs/>
          <w:iCs/>
        </w:rPr>
        <w:t>GDB</w:t>
      </w:r>
      <w:r>
        <w:rPr>
          <w:bCs/>
          <w:iCs/>
        </w:rPr>
        <w:t>s</w:t>
      </w:r>
      <w:proofErr w:type="spellEnd"/>
      <w:r>
        <w:rPr>
          <w:bCs/>
          <w:iCs/>
        </w:rPr>
        <w:t xml:space="preserve"> must provide the explanatory comment specified below, in accordance with clause </w:t>
      </w:r>
      <w:r w:rsidR="00004445">
        <w:rPr>
          <w:bCs/>
          <w:iCs/>
        </w:rPr>
        <w:fldChar w:fldCharType="begin"/>
      </w:r>
      <w:r>
        <w:rPr>
          <w:bCs/>
          <w:iCs/>
        </w:rPr>
        <w:instrText xml:space="preserve"> REF _Ref328811155 \n \h </w:instrText>
      </w:r>
      <w:r w:rsidR="00004445">
        <w:rPr>
          <w:bCs/>
          <w:iCs/>
        </w:rPr>
      </w:r>
      <w:r w:rsidR="00004445">
        <w:rPr>
          <w:bCs/>
          <w:iCs/>
        </w:rPr>
        <w:fldChar w:fldCharType="separate"/>
      </w:r>
      <w:r w:rsidR="00A84D28">
        <w:rPr>
          <w:bCs/>
          <w:iCs/>
        </w:rPr>
        <w:t>2.7.1</w:t>
      </w:r>
      <w:r w:rsidR="00004445">
        <w:rPr>
          <w:bCs/>
          <w:iCs/>
        </w:rPr>
        <w:fldChar w:fldCharType="end"/>
      </w:r>
      <w:r>
        <w:rPr>
          <w:bCs/>
          <w:iCs/>
        </w:rPr>
        <w:t xml:space="preserve">. This information is not part of the </w:t>
      </w:r>
      <w:r w:rsidRPr="00DA295F">
        <w:rPr>
          <w:b/>
          <w:bCs/>
          <w:iCs/>
        </w:rPr>
        <w:t>audited disclosure information</w:t>
      </w:r>
      <w:r w:rsidRPr="00DA295F">
        <w:rPr>
          <w:bCs/>
          <w:iCs/>
        </w:rPr>
        <w:t>,</w:t>
      </w:r>
      <w:r>
        <w:rPr>
          <w:b/>
          <w:bCs/>
          <w:iCs/>
        </w:rPr>
        <w:t xml:space="preserve"> </w:t>
      </w:r>
      <w:r>
        <w:rPr>
          <w:bCs/>
          <w:iCs/>
        </w:rPr>
        <w:t>and so is not subject to the assurance requirements specified in section</w:t>
      </w:r>
      <w:r w:rsidR="009D74FF">
        <w:rPr>
          <w:bCs/>
          <w:iCs/>
        </w:rPr>
        <w:t xml:space="preserve"> </w:t>
      </w:r>
      <w:r w:rsidR="00004445">
        <w:rPr>
          <w:bCs/>
          <w:iCs/>
        </w:rPr>
        <w:fldChar w:fldCharType="begin"/>
      </w:r>
      <w:r w:rsidR="009D74FF">
        <w:rPr>
          <w:bCs/>
          <w:iCs/>
        </w:rPr>
        <w:instrText xml:space="preserve"> REF _Ref328951160 \r \h </w:instrText>
      </w:r>
      <w:r w:rsidR="00004445">
        <w:rPr>
          <w:bCs/>
          <w:iCs/>
        </w:rPr>
      </w:r>
      <w:r w:rsidR="00004445">
        <w:rPr>
          <w:bCs/>
          <w:iCs/>
        </w:rPr>
        <w:fldChar w:fldCharType="separate"/>
      </w:r>
      <w:r w:rsidR="00A84D28">
        <w:rPr>
          <w:bCs/>
          <w:iCs/>
        </w:rPr>
        <w:t>2.8</w:t>
      </w:r>
      <w:r w:rsidR="00004445">
        <w:rPr>
          <w:bCs/>
          <w:iCs/>
        </w:rPr>
        <w:fldChar w:fldCharType="end"/>
      </w:r>
      <w:r>
        <w:rPr>
          <w:bCs/>
          <w:iCs/>
        </w:rPr>
        <w:t>.</w:t>
      </w:r>
    </w:p>
    <w:p w:rsidR="00837237" w:rsidRDefault="00837237" w:rsidP="00837237">
      <w:pPr>
        <w:pStyle w:val="BodyText"/>
        <w:rPr>
          <w:bCs/>
          <w:i/>
          <w:iCs/>
        </w:rPr>
      </w:pPr>
      <w:r>
        <w:rPr>
          <w:bCs/>
          <w:i/>
          <w:iCs/>
        </w:rPr>
        <w:t>Commentary on difference between nominal and real capital expenditure forecasts (Schedule 11a)</w:t>
      </w:r>
    </w:p>
    <w:p w:rsidR="00837237" w:rsidRPr="00A048D1" w:rsidRDefault="00837237" w:rsidP="00837237">
      <w:pPr>
        <w:pStyle w:val="Para1"/>
      </w:pPr>
      <w:r>
        <w:t>In the box below, comment</w:t>
      </w:r>
      <w:r w:rsidRPr="00B873BF">
        <w:t xml:space="preserve"> on</w:t>
      </w:r>
      <w:r>
        <w:t xml:space="preserve"> the difference between nominal and real capital</w:t>
      </w:r>
      <w:r w:rsidRPr="0029158A">
        <w:rPr>
          <w:bCs/>
          <w:iCs/>
        </w:rPr>
        <w:t xml:space="preserve"> expenditure for the </w:t>
      </w:r>
      <w:r>
        <w:t>disclosure year, as disclosed in Schedule 11a.</w:t>
      </w:r>
    </w:p>
    <w:tbl>
      <w:tblPr>
        <w:tblStyle w:val="TableGrid"/>
        <w:tblW w:w="9243" w:type="dxa"/>
        <w:tblLook w:val="04A0"/>
      </w:tblPr>
      <w:tblGrid>
        <w:gridCol w:w="9243"/>
      </w:tblGrid>
      <w:tr w:rsidR="00837237" w:rsidTr="00837237">
        <w:tc>
          <w:tcPr>
            <w:tcW w:w="9243" w:type="dxa"/>
          </w:tcPr>
          <w:p w:rsidR="00837237" w:rsidRPr="00A048D1" w:rsidRDefault="00837237" w:rsidP="00837237">
            <w:pPr>
              <w:pStyle w:val="Caption"/>
              <w:keepNext/>
            </w:pPr>
            <w:r w:rsidRPr="00A048D1">
              <w:t xml:space="preserve">Box </w:t>
            </w:r>
            <w:r w:rsidR="00004445">
              <w:fldChar w:fldCharType="begin"/>
            </w:r>
            <w:r w:rsidR="009764C2">
              <w:instrText xml:space="preserve"> SEQ Box \* ARABIC </w:instrText>
            </w:r>
            <w:r w:rsidR="00004445">
              <w:fldChar w:fldCharType="separate"/>
            </w:r>
            <w:r w:rsidR="00A84D28">
              <w:rPr>
                <w:noProof/>
              </w:rPr>
              <w:t>5</w:t>
            </w:r>
            <w:r w:rsidR="00004445">
              <w:fldChar w:fldCharType="end"/>
            </w:r>
            <w:r w:rsidRPr="00A048D1">
              <w:t xml:space="preserve">: Commentary on </w:t>
            </w:r>
            <w:r w:rsidRPr="00A048D1">
              <w:rPr>
                <w:bCs w:val="0"/>
                <w:iCs/>
              </w:rPr>
              <w:t>difference between nominal and real capital expenditure forecasts</w:t>
            </w:r>
          </w:p>
          <w:p w:rsidR="00837237" w:rsidRDefault="00837237" w:rsidP="00837237">
            <w:pPr>
              <w:pStyle w:val="BodyText"/>
              <w:rPr>
                <w:bCs/>
                <w:iCs/>
              </w:rPr>
            </w:pPr>
            <w:r>
              <w:rPr>
                <w:bCs/>
                <w:iCs/>
              </w:rPr>
              <w:t>[Insert text here]</w:t>
            </w:r>
          </w:p>
          <w:p w:rsidR="00837237" w:rsidRDefault="00837237" w:rsidP="00837237">
            <w:pPr>
              <w:pStyle w:val="BodyText"/>
              <w:rPr>
                <w:bCs/>
                <w:iCs/>
              </w:rPr>
            </w:pPr>
          </w:p>
        </w:tc>
      </w:tr>
    </w:tbl>
    <w:p w:rsidR="00837237" w:rsidRDefault="00837237" w:rsidP="00837237">
      <w:pPr>
        <w:pStyle w:val="BodyText"/>
        <w:rPr>
          <w:bCs/>
          <w:iCs/>
        </w:rPr>
      </w:pPr>
    </w:p>
    <w:p w:rsidR="00837237" w:rsidRDefault="00837237" w:rsidP="00837237">
      <w:pPr>
        <w:pStyle w:val="BodyText"/>
        <w:rPr>
          <w:bCs/>
          <w:i/>
          <w:iCs/>
        </w:rPr>
      </w:pPr>
      <w:r>
        <w:rPr>
          <w:bCs/>
          <w:i/>
          <w:iCs/>
        </w:rPr>
        <w:t>Commentary on difference between nominal and real operational expenditure forecasts (Schedule 11b)</w:t>
      </w:r>
    </w:p>
    <w:p w:rsidR="00837237" w:rsidRPr="00A048D1" w:rsidRDefault="00837237" w:rsidP="00837237">
      <w:pPr>
        <w:pStyle w:val="Para1"/>
      </w:pPr>
      <w:r>
        <w:t>In the box below, comment</w:t>
      </w:r>
      <w:r w:rsidRPr="00B873BF">
        <w:t xml:space="preserve"> on</w:t>
      </w:r>
      <w:r>
        <w:t xml:space="preserve"> the difference between nominal and real operational</w:t>
      </w:r>
      <w:r w:rsidRPr="0029158A">
        <w:rPr>
          <w:bCs/>
          <w:iCs/>
        </w:rPr>
        <w:t xml:space="preserve"> expenditure for the </w:t>
      </w:r>
      <w:r>
        <w:t>disclosure year, as disclosed in Schedule 11b.</w:t>
      </w:r>
    </w:p>
    <w:tbl>
      <w:tblPr>
        <w:tblStyle w:val="TableGrid"/>
        <w:tblW w:w="9243" w:type="dxa"/>
        <w:tblLook w:val="04A0"/>
      </w:tblPr>
      <w:tblGrid>
        <w:gridCol w:w="9243"/>
      </w:tblGrid>
      <w:tr w:rsidR="00837237" w:rsidTr="00837237">
        <w:tc>
          <w:tcPr>
            <w:tcW w:w="9243" w:type="dxa"/>
          </w:tcPr>
          <w:p w:rsidR="00837237" w:rsidRDefault="00837237" w:rsidP="00837237">
            <w:pPr>
              <w:pStyle w:val="Caption"/>
              <w:keepNext/>
            </w:pPr>
            <w:r>
              <w:t xml:space="preserve">Box </w:t>
            </w:r>
            <w:r w:rsidR="00004445">
              <w:fldChar w:fldCharType="begin"/>
            </w:r>
            <w:r w:rsidR="009764C2">
              <w:instrText xml:space="preserve"> SEQ Box \* ARABIC </w:instrText>
            </w:r>
            <w:r w:rsidR="00004445">
              <w:fldChar w:fldCharType="separate"/>
            </w:r>
            <w:r w:rsidR="00A84D28">
              <w:rPr>
                <w:noProof/>
              </w:rPr>
              <w:t>6</w:t>
            </w:r>
            <w:r w:rsidR="00004445">
              <w:fldChar w:fldCharType="end"/>
            </w:r>
            <w:r>
              <w:t xml:space="preserve">: Commentary on </w:t>
            </w:r>
            <w:r w:rsidRPr="00A048D1">
              <w:rPr>
                <w:bCs w:val="0"/>
                <w:iCs/>
              </w:rPr>
              <w:t>difference between nominal and real capital expenditure forecasts</w:t>
            </w:r>
          </w:p>
          <w:p w:rsidR="00837237" w:rsidRDefault="00837237" w:rsidP="00837237">
            <w:pPr>
              <w:pStyle w:val="BodyText"/>
              <w:rPr>
                <w:bCs/>
                <w:iCs/>
              </w:rPr>
            </w:pPr>
            <w:r>
              <w:rPr>
                <w:bCs/>
                <w:iCs/>
              </w:rPr>
              <w:t>[Insert text here]</w:t>
            </w:r>
          </w:p>
          <w:p w:rsidR="00837237" w:rsidRDefault="00837237" w:rsidP="00837237">
            <w:pPr>
              <w:pStyle w:val="BodyText"/>
              <w:rPr>
                <w:bCs/>
                <w:iCs/>
              </w:rPr>
            </w:pPr>
          </w:p>
        </w:tc>
      </w:tr>
    </w:tbl>
    <w:p w:rsidR="00837237" w:rsidRDefault="00837237" w:rsidP="00837237">
      <w:pPr>
        <w:pStyle w:val="BodyText"/>
        <w:rPr>
          <w:bCs/>
          <w:iCs/>
        </w:rPr>
      </w:pPr>
    </w:p>
    <w:p w:rsidR="00837237" w:rsidRDefault="00837237" w:rsidP="00837237">
      <w:pPr>
        <w:pStyle w:val="BodyText"/>
      </w:pPr>
    </w:p>
    <w:p w:rsidR="00837237" w:rsidRDefault="00837237" w:rsidP="00837237">
      <w:pPr>
        <w:pStyle w:val="BodyText"/>
      </w:pPr>
    </w:p>
    <w:p w:rsidR="00837237" w:rsidRDefault="00837237" w:rsidP="00837237">
      <w:pPr>
        <w:pStyle w:val="BodyText"/>
        <w:sectPr w:rsidR="00837237" w:rsidSect="00837237">
          <w:pgSz w:w="11907" w:h="16840" w:code="9"/>
          <w:pgMar w:top="1440" w:right="1440" w:bottom="1440" w:left="1440" w:header="1134" w:footer="431" w:gutter="0"/>
          <w:cols w:space="720"/>
          <w:titlePg/>
        </w:sectPr>
      </w:pPr>
    </w:p>
    <w:p w:rsidR="00837237" w:rsidRPr="00604256" w:rsidRDefault="00837237" w:rsidP="00837237">
      <w:pPr>
        <w:pStyle w:val="Heading1"/>
        <w:spacing w:line="264" w:lineRule="auto"/>
        <w:jc w:val="center"/>
      </w:pPr>
      <w:bookmarkStart w:id="784" w:name="_Toc328913817"/>
      <w:bookmarkStart w:id="785" w:name="_Toc329301666"/>
      <w:r>
        <w:t>Schedule 14b</w:t>
      </w:r>
      <w:r>
        <w:tab/>
        <w:t>Explanatory Notes on Transitional Financial Information</w:t>
      </w:r>
      <w:bookmarkEnd w:id="784"/>
      <w:bookmarkEnd w:id="785"/>
    </w:p>
    <w:p w:rsidR="00837237" w:rsidRPr="001100D3" w:rsidRDefault="00837237" w:rsidP="001100D3">
      <w:pPr>
        <w:pStyle w:val="Para1"/>
        <w:numPr>
          <w:ilvl w:val="0"/>
          <w:numId w:val="145"/>
        </w:numPr>
        <w:rPr>
          <w:bCs/>
          <w:iCs/>
        </w:rPr>
      </w:pPr>
      <w:r>
        <w:t xml:space="preserve">This Schedule </w:t>
      </w:r>
      <w:r w:rsidR="001100D3">
        <w:t xml:space="preserve">requires </w:t>
      </w:r>
      <w:proofErr w:type="spellStart"/>
      <w:r w:rsidRPr="001100D3">
        <w:rPr>
          <w:b/>
        </w:rPr>
        <w:t>GDB</w:t>
      </w:r>
      <w:r>
        <w:t>s</w:t>
      </w:r>
      <w:proofErr w:type="spellEnd"/>
      <w:r>
        <w:t xml:space="preserve"> to provide explanatory notes to the transitional financial disclosed in accordance with clause </w:t>
      </w:r>
      <w:r w:rsidR="00004445">
        <w:fldChar w:fldCharType="begin"/>
      </w:r>
      <w:r>
        <w:instrText xml:space="preserve"> REF _Ref279613542 \r \h </w:instrText>
      </w:r>
      <w:r w:rsidR="00004445">
        <w:fldChar w:fldCharType="separate"/>
      </w:r>
      <w:r w:rsidR="00A84D28">
        <w:t>2.12.1</w:t>
      </w:r>
      <w:r w:rsidR="00004445">
        <w:fldChar w:fldCharType="end"/>
      </w:r>
      <w:r w:rsidRPr="001100D3">
        <w:rPr>
          <w:bCs/>
          <w:iCs/>
        </w:rPr>
        <w:t>.</w:t>
      </w:r>
    </w:p>
    <w:p w:rsidR="00837237" w:rsidRDefault="00837237" w:rsidP="00837237">
      <w:pPr>
        <w:pStyle w:val="Para1"/>
        <w:rPr>
          <w:bCs/>
          <w:iCs/>
        </w:rPr>
      </w:pPr>
      <w:r>
        <w:rPr>
          <w:bCs/>
          <w:iCs/>
        </w:rPr>
        <w:t>This Schedule is mandatory—</w:t>
      </w:r>
      <w:proofErr w:type="spellStart"/>
      <w:r>
        <w:rPr>
          <w:b/>
          <w:bCs/>
          <w:iCs/>
        </w:rPr>
        <w:t>GDB</w:t>
      </w:r>
      <w:r>
        <w:rPr>
          <w:bCs/>
          <w:iCs/>
        </w:rPr>
        <w:t>s</w:t>
      </w:r>
      <w:proofErr w:type="spellEnd"/>
      <w:r>
        <w:rPr>
          <w:bCs/>
          <w:iCs/>
        </w:rPr>
        <w:t xml:space="preserve"> must provide the explanatory comment specified below, in accordance with clause </w:t>
      </w:r>
      <w:r w:rsidR="00004445">
        <w:rPr>
          <w:bCs/>
          <w:iCs/>
        </w:rPr>
        <w:fldChar w:fldCharType="begin"/>
      </w:r>
      <w:r>
        <w:rPr>
          <w:bCs/>
          <w:iCs/>
        </w:rPr>
        <w:instrText xml:space="preserve"> REF _Ref328811155 \n \h </w:instrText>
      </w:r>
      <w:r w:rsidR="00004445">
        <w:rPr>
          <w:bCs/>
          <w:iCs/>
        </w:rPr>
      </w:r>
      <w:r w:rsidR="00004445">
        <w:rPr>
          <w:bCs/>
          <w:iCs/>
        </w:rPr>
        <w:fldChar w:fldCharType="separate"/>
      </w:r>
      <w:r w:rsidR="00A84D28">
        <w:rPr>
          <w:bCs/>
          <w:iCs/>
        </w:rPr>
        <w:t>2.7.1</w:t>
      </w:r>
      <w:r w:rsidR="00004445">
        <w:rPr>
          <w:bCs/>
          <w:iCs/>
        </w:rPr>
        <w:fldChar w:fldCharType="end"/>
      </w:r>
      <w:r>
        <w:rPr>
          <w:bCs/>
          <w:iCs/>
        </w:rPr>
        <w:t xml:space="preserve">. This information is part of the </w:t>
      </w:r>
      <w:r w:rsidRPr="00DA295F">
        <w:rPr>
          <w:b/>
          <w:bCs/>
          <w:iCs/>
        </w:rPr>
        <w:t>audited disclosure information</w:t>
      </w:r>
      <w:r w:rsidRPr="00DA295F">
        <w:rPr>
          <w:bCs/>
          <w:iCs/>
        </w:rPr>
        <w:t>,</w:t>
      </w:r>
      <w:r>
        <w:rPr>
          <w:b/>
          <w:bCs/>
          <w:iCs/>
        </w:rPr>
        <w:t xml:space="preserve"> </w:t>
      </w:r>
      <w:r>
        <w:rPr>
          <w:bCs/>
          <w:iCs/>
        </w:rPr>
        <w:t>and so is subject to the assurance requirements specified in section</w:t>
      </w:r>
      <w:r w:rsidR="009D74FF">
        <w:rPr>
          <w:bCs/>
          <w:iCs/>
        </w:rPr>
        <w:t xml:space="preserve"> </w:t>
      </w:r>
      <w:r w:rsidR="00004445">
        <w:rPr>
          <w:bCs/>
          <w:iCs/>
        </w:rPr>
        <w:fldChar w:fldCharType="begin"/>
      </w:r>
      <w:r w:rsidR="009D74FF">
        <w:rPr>
          <w:bCs/>
          <w:iCs/>
        </w:rPr>
        <w:instrText xml:space="preserve"> REF _Ref328951160 \r \h </w:instrText>
      </w:r>
      <w:r w:rsidR="00004445">
        <w:rPr>
          <w:bCs/>
          <w:iCs/>
        </w:rPr>
      </w:r>
      <w:r w:rsidR="00004445">
        <w:rPr>
          <w:bCs/>
          <w:iCs/>
        </w:rPr>
        <w:fldChar w:fldCharType="separate"/>
      </w:r>
      <w:r w:rsidR="00A84D28">
        <w:rPr>
          <w:bCs/>
          <w:iCs/>
        </w:rPr>
        <w:t>2.8</w:t>
      </w:r>
      <w:r w:rsidR="00004445">
        <w:rPr>
          <w:bCs/>
          <w:iCs/>
        </w:rPr>
        <w:fldChar w:fldCharType="end"/>
      </w:r>
      <w:r>
        <w:rPr>
          <w:bCs/>
          <w:iCs/>
        </w:rPr>
        <w:t>.</w:t>
      </w:r>
    </w:p>
    <w:p w:rsidR="003D5E30" w:rsidRDefault="003D5E30" w:rsidP="00837237">
      <w:pPr>
        <w:pStyle w:val="Para1"/>
        <w:rPr>
          <w:bCs/>
          <w:iCs/>
        </w:rPr>
      </w:pPr>
      <w:r>
        <w:rPr>
          <w:bCs/>
          <w:iCs/>
        </w:rPr>
        <w:t xml:space="preserve">In the box below, provide explanatory comment on the </w:t>
      </w:r>
      <w:proofErr w:type="spellStart"/>
      <w:r w:rsidRPr="003D5E30">
        <w:rPr>
          <w:b/>
          <w:bCs/>
          <w:iCs/>
        </w:rPr>
        <w:t>GDB</w:t>
      </w:r>
      <w:r w:rsidR="00592857" w:rsidRPr="00592857">
        <w:rPr>
          <w:bCs/>
          <w:iCs/>
        </w:rPr>
        <w:t>’</w:t>
      </w:r>
      <w:r>
        <w:rPr>
          <w:bCs/>
          <w:iCs/>
        </w:rPr>
        <w:t>s</w:t>
      </w:r>
      <w:proofErr w:type="spellEnd"/>
      <w:r>
        <w:rPr>
          <w:bCs/>
          <w:iCs/>
        </w:rPr>
        <w:t xml:space="preserve"> initial RAB adjustments, as disclosed in Schedule 4c (Transitional financial information), summarising the adjustments made in accordance with clause 2.2.1 of the </w:t>
      </w:r>
      <w:r w:rsidRPr="003D5E30">
        <w:rPr>
          <w:b/>
          <w:bCs/>
          <w:iCs/>
        </w:rPr>
        <w:t>IM determination</w:t>
      </w:r>
      <w:r>
        <w:rPr>
          <w:bCs/>
          <w:iCs/>
        </w:rPr>
        <w:t>.</w:t>
      </w:r>
    </w:p>
    <w:tbl>
      <w:tblPr>
        <w:tblStyle w:val="TableGrid"/>
        <w:tblW w:w="9243" w:type="dxa"/>
        <w:tblLook w:val="04A0"/>
      </w:tblPr>
      <w:tblGrid>
        <w:gridCol w:w="9243"/>
      </w:tblGrid>
      <w:tr w:rsidR="003D5E30" w:rsidTr="000F2AAB">
        <w:tc>
          <w:tcPr>
            <w:tcW w:w="9243" w:type="dxa"/>
          </w:tcPr>
          <w:p w:rsidR="003D5E30" w:rsidRDefault="003D5E30" w:rsidP="000F2AAB">
            <w:pPr>
              <w:pStyle w:val="Caption"/>
              <w:keepNext/>
            </w:pPr>
            <w:r>
              <w:t xml:space="preserve">Box </w:t>
            </w:r>
            <w:r w:rsidR="00004445">
              <w:fldChar w:fldCharType="begin"/>
            </w:r>
            <w:r>
              <w:instrText xml:space="preserve"> SEQ Box \* ARABIC </w:instrText>
            </w:r>
            <w:r w:rsidR="00004445">
              <w:fldChar w:fldCharType="separate"/>
            </w:r>
            <w:r w:rsidR="00A84D28">
              <w:rPr>
                <w:noProof/>
              </w:rPr>
              <w:t>7</w:t>
            </w:r>
            <w:r w:rsidR="00004445">
              <w:fldChar w:fldCharType="end"/>
            </w:r>
            <w:r>
              <w:t>: Initial RAB adjustments</w:t>
            </w:r>
          </w:p>
          <w:p w:rsidR="003D5E30" w:rsidRDefault="003D5E30" w:rsidP="000F2AAB">
            <w:pPr>
              <w:pStyle w:val="BodyText"/>
              <w:rPr>
                <w:bCs/>
                <w:iCs/>
              </w:rPr>
            </w:pPr>
            <w:r>
              <w:rPr>
                <w:bCs/>
                <w:iCs/>
              </w:rPr>
              <w:t>[Insert text here]</w:t>
            </w:r>
          </w:p>
          <w:p w:rsidR="003D5E30" w:rsidRDefault="003D5E30" w:rsidP="000F2AAB">
            <w:pPr>
              <w:pStyle w:val="Para2"/>
              <w:numPr>
                <w:ilvl w:val="1"/>
                <w:numId w:val="0"/>
              </w:numPr>
              <w:tabs>
                <w:tab w:val="num" w:pos="1418"/>
              </w:tabs>
              <w:ind w:left="1418" w:hanging="709"/>
              <w:rPr>
                <w:bCs/>
                <w:iCs/>
              </w:rPr>
            </w:pPr>
          </w:p>
        </w:tc>
      </w:tr>
    </w:tbl>
    <w:p w:rsidR="003D5E30" w:rsidRDefault="003D5E30" w:rsidP="003D5E30">
      <w:pPr>
        <w:pStyle w:val="BodyText"/>
      </w:pPr>
    </w:p>
    <w:p w:rsidR="00837237" w:rsidRDefault="00837237" w:rsidP="00837237">
      <w:pPr>
        <w:pStyle w:val="Para1"/>
        <w:rPr>
          <w:bCs/>
          <w:iCs/>
        </w:rPr>
      </w:pPr>
      <w:r>
        <w:rPr>
          <w:bCs/>
          <w:iCs/>
        </w:rPr>
        <w:t xml:space="preserve">In the box below provide explanatory comment on the tax effect of other temporary differences for </w:t>
      </w:r>
      <w:r>
        <w:rPr>
          <w:lang w:eastAsia="en-NZ"/>
        </w:rPr>
        <w:t xml:space="preserve">the years ending 31 March 2010 and 31 March 2011 (as reported in </w:t>
      </w:r>
      <w:proofErr w:type="gramStart"/>
      <w:r w:rsidR="001100D3">
        <w:rPr>
          <w:lang w:eastAsia="en-NZ"/>
        </w:rPr>
        <w:t>4d(</w:t>
      </w:r>
      <w:proofErr w:type="gramEnd"/>
      <w:r w:rsidR="001100D3">
        <w:rPr>
          <w:lang w:eastAsia="en-NZ"/>
        </w:rPr>
        <w:t xml:space="preserve">vi) of </w:t>
      </w:r>
      <w:r>
        <w:rPr>
          <w:lang w:eastAsia="en-NZ"/>
        </w:rPr>
        <w:t>Schedule 4d).</w:t>
      </w:r>
    </w:p>
    <w:tbl>
      <w:tblPr>
        <w:tblStyle w:val="TableGrid"/>
        <w:tblW w:w="9243" w:type="dxa"/>
        <w:tblLook w:val="04A0"/>
      </w:tblPr>
      <w:tblGrid>
        <w:gridCol w:w="9243"/>
      </w:tblGrid>
      <w:tr w:rsidR="00837237" w:rsidTr="00837237">
        <w:tc>
          <w:tcPr>
            <w:tcW w:w="9243" w:type="dxa"/>
          </w:tcPr>
          <w:p w:rsidR="00837237" w:rsidRDefault="00837237" w:rsidP="00837237">
            <w:pPr>
              <w:pStyle w:val="Caption"/>
              <w:keepNext/>
            </w:pPr>
            <w:r>
              <w:t xml:space="preserve">Box </w:t>
            </w:r>
            <w:r w:rsidR="00004445">
              <w:fldChar w:fldCharType="begin"/>
            </w:r>
            <w:r w:rsidR="009764C2">
              <w:instrText xml:space="preserve"> SEQ Box \* ARABIC </w:instrText>
            </w:r>
            <w:r w:rsidR="00004445">
              <w:fldChar w:fldCharType="separate"/>
            </w:r>
            <w:r w:rsidR="00A84D28">
              <w:rPr>
                <w:noProof/>
              </w:rPr>
              <w:t>8</w:t>
            </w:r>
            <w:r w:rsidR="00004445">
              <w:fldChar w:fldCharType="end"/>
            </w:r>
            <w:r>
              <w:t xml:space="preserve">: </w:t>
            </w:r>
            <w:r w:rsidR="003D5E30">
              <w:t xml:space="preserve">Temporary differences / </w:t>
            </w:r>
            <w:r>
              <w:t>Tax effect of other temporary differences (years ended 31 March 2010 and 31 March 2011)</w:t>
            </w:r>
          </w:p>
          <w:p w:rsidR="00837237" w:rsidRDefault="00837237" w:rsidP="00837237">
            <w:pPr>
              <w:pStyle w:val="BodyText"/>
              <w:rPr>
                <w:bCs/>
                <w:iCs/>
              </w:rPr>
            </w:pPr>
            <w:r>
              <w:rPr>
                <w:bCs/>
                <w:iCs/>
              </w:rPr>
              <w:t>[Insert text here]</w:t>
            </w:r>
          </w:p>
          <w:p w:rsidR="00837237" w:rsidRDefault="00837237" w:rsidP="00837237">
            <w:pPr>
              <w:pStyle w:val="Para2"/>
              <w:numPr>
                <w:ilvl w:val="1"/>
                <w:numId w:val="0"/>
              </w:numPr>
              <w:tabs>
                <w:tab w:val="num" w:pos="1418"/>
              </w:tabs>
              <w:ind w:left="1418" w:hanging="709"/>
              <w:rPr>
                <w:bCs/>
                <w:iCs/>
              </w:rPr>
            </w:pPr>
          </w:p>
        </w:tc>
      </w:tr>
    </w:tbl>
    <w:p w:rsidR="00837237" w:rsidRDefault="00837237" w:rsidP="00837237">
      <w:pPr>
        <w:pStyle w:val="BodyText"/>
        <w:rPr>
          <w:bCs/>
          <w:iCs/>
        </w:rPr>
      </w:pPr>
    </w:p>
    <w:p w:rsidR="00837237" w:rsidRDefault="00837237" w:rsidP="00837237">
      <w:pPr>
        <w:pStyle w:val="BodyText"/>
      </w:pPr>
    </w:p>
    <w:p w:rsidR="00837237" w:rsidRDefault="00837237" w:rsidP="00837237">
      <w:pPr>
        <w:pStyle w:val="Singlespacedparagraph"/>
      </w:pPr>
    </w:p>
    <w:p w:rsidR="00837237" w:rsidRDefault="00837237" w:rsidP="00837237">
      <w:pPr>
        <w:pStyle w:val="Singlespacedparagraph"/>
        <w:sectPr w:rsidR="00837237" w:rsidSect="00837237">
          <w:pgSz w:w="11907" w:h="16840" w:code="9"/>
          <w:pgMar w:top="1440" w:right="1440" w:bottom="1440" w:left="1440" w:header="1134" w:footer="431" w:gutter="0"/>
          <w:cols w:space="720"/>
          <w:titlePg/>
        </w:sectPr>
      </w:pPr>
    </w:p>
    <w:p w:rsidR="00837237" w:rsidRPr="00604256" w:rsidRDefault="00837237" w:rsidP="00837237">
      <w:pPr>
        <w:pStyle w:val="Heading1"/>
        <w:spacing w:line="264" w:lineRule="auto"/>
        <w:jc w:val="center"/>
      </w:pPr>
      <w:bookmarkStart w:id="786" w:name="_Toc328913818"/>
      <w:bookmarkStart w:id="787" w:name="_Toc329301667"/>
      <w:r>
        <w:t>Schedule 15</w:t>
      </w:r>
      <w:r w:rsidRPr="00604256">
        <w:tab/>
      </w:r>
      <w:r w:rsidRPr="00604256">
        <w:tab/>
      </w:r>
      <w:r>
        <w:t>Voluntary Explanatory Notes</w:t>
      </w:r>
      <w:bookmarkEnd w:id="786"/>
      <w:bookmarkEnd w:id="787"/>
    </w:p>
    <w:p w:rsidR="00B400D3" w:rsidRPr="009B0AA6" w:rsidRDefault="00837237" w:rsidP="001100D3">
      <w:pPr>
        <w:pStyle w:val="Para1"/>
        <w:numPr>
          <w:ilvl w:val="0"/>
          <w:numId w:val="144"/>
        </w:numPr>
        <w:rPr>
          <w:bCs/>
          <w:iCs/>
        </w:rPr>
      </w:pPr>
      <w:r w:rsidRPr="009B0AA6">
        <w:t xml:space="preserve">This Schedule </w:t>
      </w:r>
      <w:r w:rsidR="001100D3" w:rsidRPr="009B0AA6">
        <w:t>enable</w:t>
      </w:r>
      <w:r w:rsidRPr="009B0AA6">
        <w:t xml:space="preserve"> </w:t>
      </w:r>
      <w:proofErr w:type="spellStart"/>
      <w:r w:rsidRPr="009B0AA6">
        <w:t>GDBs</w:t>
      </w:r>
      <w:proofErr w:type="spellEnd"/>
      <w:r w:rsidRPr="009B0AA6">
        <w:t xml:space="preserve"> to provide, should they wish to</w:t>
      </w:r>
      <w:r w:rsidR="00B400D3" w:rsidRPr="009B0AA6">
        <w:t>:</w:t>
      </w:r>
    </w:p>
    <w:p w:rsidR="00F56F86" w:rsidRPr="009B0AA6" w:rsidRDefault="00837237">
      <w:pPr>
        <w:pStyle w:val="Para2"/>
        <w:numPr>
          <w:ilvl w:val="1"/>
          <w:numId w:val="144"/>
        </w:numPr>
        <w:rPr>
          <w:bCs/>
          <w:iCs/>
        </w:rPr>
      </w:pPr>
      <w:proofErr w:type="gramStart"/>
      <w:r w:rsidRPr="009B0AA6">
        <w:t>additional</w:t>
      </w:r>
      <w:proofErr w:type="gramEnd"/>
      <w:r w:rsidRPr="009B0AA6">
        <w:t xml:space="preserve"> explanatory comment to reports prepared in accordance with clauses </w:t>
      </w:r>
      <w:fldSimple w:instr=" REF _Ref279613342 \r \h  \* MERGEFORMAT ">
        <w:r w:rsidR="00A84D28">
          <w:t>2.3.1</w:t>
        </w:r>
      </w:fldSimple>
      <w:r w:rsidRPr="009B0AA6">
        <w:t xml:space="preserve">, </w:t>
      </w:r>
      <w:r w:rsidR="00004445">
        <w:fldChar w:fldCharType="begin"/>
      </w:r>
      <w:r w:rsidR="009D74FF">
        <w:instrText xml:space="preserve"> REF _Ref328953510 \r \h </w:instrText>
      </w:r>
      <w:r w:rsidR="00004445">
        <w:fldChar w:fldCharType="separate"/>
      </w:r>
      <w:r w:rsidR="00A84D28">
        <w:t>2.4.19</w:t>
      </w:r>
      <w:r w:rsidR="00004445">
        <w:fldChar w:fldCharType="end"/>
      </w:r>
      <w:r w:rsidR="009D74FF">
        <w:t xml:space="preserve">, </w:t>
      </w:r>
      <w:r w:rsidR="00004445">
        <w:fldChar w:fldCharType="begin"/>
      </w:r>
      <w:r w:rsidR="009D74FF">
        <w:instrText xml:space="preserve"> REF _Ref328953520 \r \h </w:instrText>
      </w:r>
      <w:r w:rsidR="00004445">
        <w:fldChar w:fldCharType="separate"/>
      </w:r>
      <w:r w:rsidR="00A84D28">
        <w:t>2.4.20</w:t>
      </w:r>
      <w:r w:rsidR="00004445">
        <w:fldChar w:fldCharType="end"/>
      </w:r>
      <w:r w:rsidR="009D74FF">
        <w:t xml:space="preserve">, </w:t>
      </w:r>
      <w:r w:rsidR="00004445">
        <w:fldChar w:fldCharType="begin"/>
      </w:r>
      <w:r w:rsidR="009D74FF">
        <w:instrText xml:space="preserve"> REF _Ref328953556 \r \h </w:instrText>
      </w:r>
      <w:r w:rsidR="00004445">
        <w:fldChar w:fldCharType="separate"/>
      </w:r>
      <w:r w:rsidR="00A84D28">
        <w:t>2.5.1</w:t>
      </w:r>
      <w:r w:rsidR="00004445">
        <w:fldChar w:fldCharType="end"/>
      </w:r>
      <w:r w:rsidR="009D74FF">
        <w:t xml:space="preserve">, and </w:t>
      </w:r>
      <w:r w:rsidR="00004445">
        <w:fldChar w:fldCharType="begin"/>
      </w:r>
      <w:r w:rsidR="009D74FF">
        <w:instrText xml:space="preserve"> REF _Ref310881972 \r \h </w:instrText>
      </w:r>
      <w:r w:rsidR="00004445">
        <w:fldChar w:fldCharType="separate"/>
      </w:r>
      <w:r w:rsidR="00A84D28">
        <w:t>2.6.5</w:t>
      </w:r>
      <w:r w:rsidR="00004445">
        <w:fldChar w:fldCharType="end"/>
      </w:r>
      <w:r w:rsidR="009D74FF">
        <w:t>.</w:t>
      </w:r>
    </w:p>
    <w:p w:rsidR="00B400D3" w:rsidRPr="009B0AA6" w:rsidRDefault="00B400D3" w:rsidP="00B400D3">
      <w:pPr>
        <w:pStyle w:val="Para2"/>
        <w:numPr>
          <w:ilvl w:val="1"/>
          <w:numId w:val="144"/>
        </w:numPr>
        <w:rPr>
          <w:bCs/>
          <w:iCs/>
        </w:rPr>
      </w:pPr>
      <w:proofErr w:type="gramStart"/>
      <w:r w:rsidRPr="009B0AA6">
        <w:rPr>
          <w:bCs/>
          <w:iCs/>
        </w:rPr>
        <w:t>information</w:t>
      </w:r>
      <w:proofErr w:type="gramEnd"/>
      <w:r w:rsidRPr="009B0AA6">
        <w:rPr>
          <w:bCs/>
          <w:iCs/>
        </w:rPr>
        <w:t xml:space="preserve"> on any substantial changes to information disclosed in relation to a prior disclosure year, as a result of final wash-ups.</w:t>
      </w:r>
    </w:p>
    <w:p w:rsidR="00837237" w:rsidRPr="009B0AA6" w:rsidRDefault="001100D3" w:rsidP="00837237">
      <w:pPr>
        <w:pStyle w:val="Para1"/>
        <w:rPr>
          <w:bCs/>
          <w:iCs/>
        </w:rPr>
      </w:pPr>
      <w:r w:rsidRPr="009B0AA6">
        <w:rPr>
          <w:bCs/>
          <w:iCs/>
        </w:rPr>
        <w:t>I</w:t>
      </w:r>
      <w:r w:rsidR="00837237" w:rsidRPr="009B0AA6">
        <w:rPr>
          <w:bCs/>
          <w:iCs/>
        </w:rPr>
        <w:t xml:space="preserve">nformation </w:t>
      </w:r>
      <w:r w:rsidRPr="009B0AA6">
        <w:rPr>
          <w:bCs/>
          <w:iCs/>
        </w:rPr>
        <w:t xml:space="preserve">in this Schedule </w:t>
      </w:r>
      <w:r w:rsidR="00837237" w:rsidRPr="009B0AA6">
        <w:rPr>
          <w:bCs/>
          <w:iCs/>
        </w:rPr>
        <w:t xml:space="preserve">is not part of the audited disclosure information, and so is not subject to the assurance requirements specified in section </w:t>
      </w:r>
      <w:r w:rsidR="00004445">
        <w:rPr>
          <w:bCs/>
          <w:iCs/>
        </w:rPr>
        <w:fldChar w:fldCharType="begin"/>
      </w:r>
      <w:r w:rsidR="009D74FF">
        <w:rPr>
          <w:bCs/>
          <w:iCs/>
        </w:rPr>
        <w:instrText xml:space="preserve"> REF _Ref328951160 \r \h </w:instrText>
      </w:r>
      <w:r w:rsidR="00004445">
        <w:rPr>
          <w:bCs/>
          <w:iCs/>
        </w:rPr>
      </w:r>
      <w:r w:rsidR="00004445">
        <w:rPr>
          <w:bCs/>
          <w:iCs/>
        </w:rPr>
        <w:fldChar w:fldCharType="separate"/>
      </w:r>
      <w:r w:rsidR="00A84D28">
        <w:rPr>
          <w:bCs/>
          <w:iCs/>
        </w:rPr>
        <w:t>2.8</w:t>
      </w:r>
      <w:r w:rsidR="00004445">
        <w:rPr>
          <w:bCs/>
          <w:iCs/>
        </w:rPr>
        <w:fldChar w:fldCharType="end"/>
      </w:r>
      <w:r w:rsidR="00837237" w:rsidRPr="009B0AA6">
        <w:rPr>
          <w:bCs/>
          <w:iCs/>
        </w:rPr>
        <w:t>.</w:t>
      </w:r>
    </w:p>
    <w:p w:rsidR="00837237" w:rsidRDefault="00837237" w:rsidP="00837237">
      <w:pPr>
        <w:pStyle w:val="Para1"/>
        <w:rPr>
          <w:bCs/>
          <w:iCs/>
        </w:rPr>
      </w:pPr>
      <w:r>
        <w:rPr>
          <w:bCs/>
          <w:iCs/>
        </w:rPr>
        <w:t>Provide additional explanatory comment in the box below.</w:t>
      </w:r>
    </w:p>
    <w:tbl>
      <w:tblPr>
        <w:tblStyle w:val="TableGrid"/>
        <w:tblW w:w="0" w:type="auto"/>
        <w:tblLook w:val="04A0"/>
      </w:tblPr>
      <w:tblGrid>
        <w:gridCol w:w="9243"/>
      </w:tblGrid>
      <w:tr w:rsidR="00837237" w:rsidTr="00837237">
        <w:tc>
          <w:tcPr>
            <w:tcW w:w="9243" w:type="dxa"/>
          </w:tcPr>
          <w:p w:rsidR="00837237" w:rsidRDefault="00837237" w:rsidP="00837237">
            <w:pPr>
              <w:pStyle w:val="Caption"/>
              <w:keepNext/>
            </w:pPr>
            <w:r>
              <w:t xml:space="preserve">Box </w:t>
            </w:r>
            <w:r w:rsidR="00004445">
              <w:fldChar w:fldCharType="begin"/>
            </w:r>
            <w:r w:rsidR="009764C2">
              <w:instrText xml:space="preserve"> SEQ Box \* ARABIC </w:instrText>
            </w:r>
            <w:r w:rsidR="00004445">
              <w:fldChar w:fldCharType="separate"/>
            </w:r>
            <w:r w:rsidR="00A84D28">
              <w:rPr>
                <w:noProof/>
              </w:rPr>
              <w:t>9</w:t>
            </w:r>
            <w:r w:rsidR="00004445">
              <w:fldChar w:fldCharType="end"/>
            </w:r>
            <w:r>
              <w:t>: Voluntary explanatory comment on disclosed information</w:t>
            </w:r>
          </w:p>
          <w:p w:rsidR="00837237" w:rsidRDefault="00837237" w:rsidP="00837237">
            <w:pPr>
              <w:pStyle w:val="Tablebodytext"/>
            </w:pPr>
            <w:r>
              <w:t>[Insert text below]</w:t>
            </w:r>
          </w:p>
          <w:p w:rsidR="00837237" w:rsidRDefault="00837237" w:rsidP="00837237">
            <w:pPr>
              <w:pStyle w:val="Tablebodytext"/>
            </w:pPr>
          </w:p>
          <w:p w:rsidR="00837237" w:rsidRDefault="00837237" w:rsidP="00837237">
            <w:pPr>
              <w:pStyle w:val="Tablebodytext"/>
            </w:pPr>
          </w:p>
          <w:p w:rsidR="00837237" w:rsidRDefault="00837237" w:rsidP="00837237">
            <w:pPr>
              <w:pStyle w:val="Tablebodytext"/>
            </w:pPr>
          </w:p>
        </w:tc>
      </w:tr>
    </w:tbl>
    <w:p w:rsidR="00837237" w:rsidRDefault="00837237" w:rsidP="00837237">
      <w:pPr>
        <w:pStyle w:val="Tablebodytext"/>
      </w:pPr>
    </w:p>
    <w:p w:rsidR="00837237" w:rsidRDefault="00837237" w:rsidP="00837237">
      <w:pPr>
        <w:pStyle w:val="Singlespacedparagraph"/>
      </w:pPr>
    </w:p>
    <w:p w:rsidR="00626EDC" w:rsidRDefault="00626EDC" w:rsidP="00626EDC">
      <w:pPr>
        <w:pStyle w:val="Singlespacedparagraph"/>
      </w:pPr>
    </w:p>
    <w:p w:rsidR="00626EDC" w:rsidRDefault="00626EDC" w:rsidP="00626EDC">
      <w:pPr>
        <w:pStyle w:val="Singlespacedparagraph"/>
        <w:sectPr w:rsidR="00626EDC" w:rsidSect="0005720D">
          <w:pgSz w:w="11907" w:h="16840" w:code="9"/>
          <w:pgMar w:top="1440" w:right="1440" w:bottom="1440" w:left="1440" w:header="1134" w:footer="431" w:gutter="0"/>
          <w:cols w:space="720"/>
          <w:titlePg/>
        </w:sectPr>
      </w:pPr>
    </w:p>
    <w:p w:rsidR="00626EDC" w:rsidRPr="00494E3B" w:rsidRDefault="00626EDC" w:rsidP="00626EDC">
      <w:pPr>
        <w:pStyle w:val="Heading1"/>
        <w:spacing w:line="264" w:lineRule="auto"/>
        <w:jc w:val="center"/>
        <w:rPr>
          <w:rFonts w:asciiTheme="minorHAnsi" w:hAnsiTheme="minorHAnsi"/>
        </w:rPr>
      </w:pPr>
      <w:bookmarkStart w:id="788" w:name="_Toc328596095"/>
      <w:bookmarkStart w:id="789" w:name="_Toc329301668"/>
      <w:r w:rsidRPr="00494E3B">
        <w:rPr>
          <w:rFonts w:asciiTheme="minorHAnsi" w:hAnsiTheme="minorHAnsi"/>
        </w:rPr>
        <w:t>Schedule 16</w:t>
      </w:r>
      <w:r w:rsidRPr="00494E3B">
        <w:rPr>
          <w:rFonts w:asciiTheme="minorHAnsi" w:hAnsiTheme="minorHAnsi"/>
        </w:rPr>
        <w:tab/>
      </w:r>
      <w:r w:rsidRPr="00494E3B">
        <w:rPr>
          <w:rFonts w:asciiTheme="minorHAnsi" w:hAnsiTheme="minorHAnsi"/>
        </w:rPr>
        <w:tab/>
        <w:t>Definitions of Terms used in Schedules 1 to 15</w:t>
      </w:r>
      <w:bookmarkEnd w:id="788"/>
      <w:bookmarkEnd w:id="789"/>
    </w:p>
    <w:p w:rsidR="009B0AA6" w:rsidRPr="00494E3B" w:rsidRDefault="009B0AA6" w:rsidP="009B0AA6">
      <w:pPr>
        <w:pStyle w:val="Para1"/>
        <w:numPr>
          <w:ilvl w:val="0"/>
          <w:numId w:val="156"/>
        </w:numPr>
        <w:rPr>
          <w:rFonts w:asciiTheme="minorHAnsi" w:hAnsiTheme="minorHAnsi"/>
        </w:rPr>
      </w:pPr>
      <w:r w:rsidRPr="00494E3B">
        <w:rPr>
          <w:rFonts w:asciiTheme="minorHAnsi" w:hAnsiTheme="minorHAnsi"/>
        </w:rPr>
        <w:t xml:space="preserve">This Schedule provides definitions for terms used in Schedules 1 to 15 of this Determination. </w:t>
      </w:r>
    </w:p>
    <w:p w:rsidR="009B0AA6" w:rsidRPr="00494E3B" w:rsidRDefault="009B0AA6" w:rsidP="009B0AA6">
      <w:pPr>
        <w:pStyle w:val="Para1"/>
        <w:rPr>
          <w:rFonts w:asciiTheme="minorHAnsi" w:hAnsiTheme="minorHAnsi"/>
        </w:rPr>
      </w:pPr>
      <w:r w:rsidRPr="00494E3B">
        <w:rPr>
          <w:rFonts w:asciiTheme="minorHAnsi" w:hAnsiTheme="minorHAnsi"/>
        </w:rPr>
        <w:t xml:space="preserve">Where terms used in the Schedules are defined in section </w:t>
      </w:r>
      <w:r w:rsidR="00004445">
        <w:rPr>
          <w:rFonts w:asciiTheme="minorHAnsi" w:hAnsiTheme="minorHAnsi"/>
        </w:rPr>
        <w:fldChar w:fldCharType="begin"/>
      </w:r>
      <w:r w:rsidR="009A3B66">
        <w:rPr>
          <w:rFonts w:asciiTheme="minorHAnsi" w:hAnsiTheme="minorHAnsi"/>
        </w:rPr>
        <w:instrText xml:space="preserve"> REF _Ref329296863 \r \h </w:instrText>
      </w:r>
      <w:r w:rsidR="00004445">
        <w:rPr>
          <w:rFonts w:asciiTheme="minorHAnsi" w:hAnsiTheme="minorHAnsi"/>
        </w:rPr>
      </w:r>
      <w:r w:rsidR="00004445">
        <w:rPr>
          <w:rFonts w:asciiTheme="minorHAnsi" w:hAnsiTheme="minorHAnsi"/>
        </w:rPr>
        <w:fldChar w:fldCharType="separate"/>
      </w:r>
      <w:r w:rsidR="00A84D28">
        <w:rPr>
          <w:rFonts w:asciiTheme="minorHAnsi" w:hAnsiTheme="minorHAnsi"/>
        </w:rPr>
        <w:t>1.4</w:t>
      </w:r>
      <w:r w:rsidR="00004445">
        <w:rPr>
          <w:rFonts w:asciiTheme="minorHAnsi" w:hAnsiTheme="minorHAnsi"/>
        </w:rPr>
        <w:fldChar w:fldCharType="end"/>
      </w:r>
      <w:r w:rsidR="009A3B66">
        <w:rPr>
          <w:rFonts w:asciiTheme="minorHAnsi" w:hAnsiTheme="minorHAnsi"/>
        </w:rPr>
        <w:t xml:space="preserve"> </w:t>
      </w:r>
      <w:r w:rsidRPr="00494E3B">
        <w:rPr>
          <w:rFonts w:asciiTheme="minorHAnsi" w:hAnsiTheme="minorHAnsi"/>
        </w:rPr>
        <w:t xml:space="preserve">of this determination but are not defined below, they have the meanings set out in section </w:t>
      </w:r>
      <w:r w:rsidR="00004445">
        <w:rPr>
          <w:rFonts w:asciiTheme="minorHAnsi" w:hAnsiTheme="minorHAnsi"/>
        </w:rPr>
        <w:fldChar w:fldCharType="begin"/>
      </w:r>
      <w:r w:rsidR="009A3B66">
        <w:rPr>
          <w:rFonts w:asciiTheme="minorHAnsi" w:hAnsiTheme="minorHAnsi"/>
        </w:rPr>
        <w:instrText xml:space="preserve"> REF _Ref329296863 \r \h </w:instrText>
      </w:r>
      <w:r w:rsidR="00004445">
        <w:rPr>
          <w:rFonts w:asciiTheme="minorHAnsi" w:hAnsiTheme="minorHAnsi"/>
        </w:rPr>
      </w:r>
      <w:r w:rsidR="00004445">
        <w:rPr>
          <w:rFonts w:asciiTheme="minorHAnsi" w:hAnsiTheme="minorHAnsi"/>
        </w:rPr>
        <w:fldChar w:fldCharType="separate"/>
      </w:r>
      <w:r w:rsidR="00A84D28">
        <w:rPr>
          <w:rFonts w:asciiTheme="minorHAnsi" w:hAnsiTheme="minorHAnsi"/>
        </w:rPr>
        <w:t>1.4</w:t>
      </w:r>
      <w:r w:rsidR="00004445">
        <w:rPr>
          <w:rFonts w:asciiTheme="minorHAnsi" w:hAnsiTheme="minorHAnsi"/>
        </w:rPr>
        <w:fldChar w:fldCharType="end"/>
      </w:r>
      <w:r w:rsidRPr="00494E3B">
        <w:rPr>
          <w:rFonts w:asciiTheme="minorHAnsi" w:hAnsiTheme="minorHAnsi"/>
        </w:rPr>
        <w:t xml:space="preserve"> of this determination. Terms used in the Schedules that are defined in the IM determination have the meanings set out in the IM determination. Otherwise, unless defined below, terms used in the Schedules have meanings consistent with industry practice. </w:t>
      </w:r>
    </w:p>
    <w:p w:rsidR="00626EDC" w:rsidRPr="00494E3B" w:rsidRDefault="00626EDC" w:rsidP="00626EDC">
      <w:pPr>
        <w:pStyle w:val="Singlespacedparagraph"/>
        <w:rPr>
          <w:rFonts w:asciiTheme="minorHAnsi" w:hAnsiTheme="minorHAnsi"/>
        </w:rPr>
      </w:pPr>
    </w:p>
    <w:tbl>
      <w:tblPr>
        <w:tblStyle w:val="TableGrid"/>
        <w:tblW w:w="0" w:type="auto"/>
        <w:tblLook w:val="04A0"/>
      </w:tblPr>
      <w:tblGrid>
        <w:gridCol w:w="4621"/>
        <w:gridCol w:w="4622"/>
      </w:tblGrid>
      <w:tr w:rsidR="0089227F" w:rsidRPr="006B142F" w:rsidTr="00B20AEC">
        <w:trPr>
          <w:cantSplit/>
        </w:trPr>
        <w:tc>
          <w:tcPr>
            <w:tcW w:w="4621" w:type="dxa"/>
          </w:tcPr>
          <w:p w:rsidR="0089227F" w:rsidRPr="006B142F" w:rsidRDefault="0089227F" w:rsidP="0089227F">
            <w:pPr>
              <w:pStyle w:val="Tableheading"/>
              <w:rPr>
                <w:rFonts w:asciiTheme="minorHAnsi" w:hAnsiTheme="minorHAnsi"/>
                <w:b w:val="0"/>
                <w:szCs w:val="24"/>
              </w:rPr>
            </w:pPr>
            <w:r w:rsidRPr="006B142F">
              <w:rPr>
                <w:rFonts w:asciiTheme="minorHAnsi" w:hAnsiTheme="minorHAnsi"/>
                <w:b w:val="0"/>
                <w:szCs w:val="24"/>
              </w:rPr>
              <w:t>Term</w:t>
            </w:r>
          </w:p>
        </w:tc>
        <w:tc>
          <w:tcPr>
            <w:tcW w:w="4622" w:type="dxa"/>
          </w:tcPr>
          <w:p w:rsidR="0089227F" w:rsidRPr="006B142F" w:rsidRDefault="0089227F" w:rsidP="0089227F">
            <w:pPr>
              <w:pStyle w:val="Tableheading"/>
              <w:rPr>
                <w:rFonts w:asciiTheme="minorHAnsi" w:hAnsiTheme="minorHAnsi"/>
                <w:b w:val="0"/>
                <w:szCs w:val="24"/>
              </w:rPr>
            </w:pPr>
            <w:r w:rsidRPr="006B142F">
              <w:rPr>
                <w:rFonts w:asciiTheme="minorHAnsi" w:hAnsiTheme="minorHAnsi"/>
                <w:b w:val="0"/>
                <w:szCs w:val="24"/>
              </w:rPr>
              <w:t>Definition</w:t>
            </w:r>
          </w:p>
        </w:tc>
      </w:tr>
      <w:tr w:rsidR="0089227F" w:rsidRPr="006B142F" w:rsidTr="00B20AEC">
        <w:trPr>
          <w:cantSplit/>
        </w:trPr>
        <w:tc>
          <w:tcPr>
            <w:tcW w:w="4621" w:type="dxa"/>
          </w:tcPr>
          <w:p w:rsidR="0089227F" w:rsidRPr="006B142F" w:rsidRDefault="0089227F" w:rsidP="0089227F">
            <w:pPr>
              <w:rPr>
                <w:rFonts w:asciiTheme="minorHAnsi" w:hAnsiTheme="minorHAnsi"/>
                <w:color w:val="000000" w:themeColor="text1"/>
              </w:rPr>
            </w:pPr>
            <w:r w:rsidRPr="006B142F">
              <w:rPr>
                <w:rFonts w:asciiTheme="minorHAnsi" w:hAnsiTheme="minorHAnsi"/>
                <w:color w:val="000000" w:themeColor="text1"/>
              </w:rPr>
              <w:t>% of asset forecast to</w:t>
            </w:r>
          </w:p>
          <w:p w:rsidR="0089227F" w:rsidRPr="006B142F" w:rsidRDefault="0089227F" w:rsidP="0089227F">
            <w:pPr>
              <w:rPr>
                <w:rFonts w:asciiTheme="minorHAnsi" w:hAnsiTheme="minorHAnsi"/>
                <w:color w:val="000000" w:themeColor="text1"/>
              </w:rPr>
            </w:pPr>
            <w:r w:rsidRPr="006B142F">
              <w:rPr>
                <w:rFonts w:asciiTheme="minorHAnsi" w:hAnsiTheme="minorHAnsi"/>
                <w:color w:val="000000" w:themeColor="text1"/>
              </w:rPr>
              <w:t xml:space="preserve"> be replaced in next 5 years</w:t>
            </w:r>
          </w:p>
        </w:tc>
        <w:tc>
          <w:tcPr>
            <w:tcW w:w="4622" w:type="dxa"/>
          </w:tcPr>
          <w:p w:rsidR="0089227F" w:rsidRPr="006B142F" w:rsidRDefault="0089227F" w:rsidP="0089227F">
            <w:pPr>
              <w:pStyle w:val="BodyText"/>
              <w:rPr>
                <w:rFonts w:asciiTheme="minorHAnsi" w:hAnsiTheme="minorHAnsi"/>
              </w:rPr>
            </w:pPr>
            <w:r w:rsidRPr="006B142F">
              <w:rPr>
                <w:rFonts w:asciiTheme="minorHAnsi" w:hAnsiTheme="minorHAnsi"/>
              </w:rPr>
              <w:t>% of asset forecast to be replaced in next 5 years consistent with the capital expenditure forecast</w:t>
            </w:r>
          </w:p>
        </w:tc>
      </w:tr>
      <w:tr w:rsidR="0089227F" w:rsidRPr="006B142F" w:rsidTr="00B20AEC">
        <w:trPr>
          <w:cantSplit/>
        </w:trPr>
        <w:tc>
          <w:tcPr>
            <w:tcW w:w="4621" w:type="dxa"/>
          </w:tcPr>
          <w:p w:rsidR="0089227F" w:rsidRPr="006B142F" w:rsidRDefault="0089227F" w:rsidP="0089227F">
            <w:pPr>
              <w:pStyle w:val="BodyText"/>
              <w:spacing w:line="264" w:lineRule="auto"/>
              <w:rPr>
                <w:rFonts w:asciiTheme="minorHAnsi" w:hAnsiTheme="minorHAnsi"/>
              </w:rPr>
            </w:pPr>
            <w:r w:rsidRPr="006B142F">
              <w:rPr>
                <w:rFonts w:asciiTheme="minorHAnsi" w:hAnsiTheme="minorHAnsi" w:cs="Arial"/>
                <w:bCs/>
                <w:lang w:eastAsia="en-NZ"/>
              </w:rPr>
              <w:t>% variance</w:t>
            </w:r>
          </w:p>
        </w:tc>
        <w:tc>
          <w:tcPr>
            <w:tcW w:w="4622" w:type="dxa"/>
          </w:tcPr>
          <w:p w:rsidR="0089227F" w:rsidRPr="006B142F" w:rsidRDefault="0089227F" w:rsidP="0089227F">
            <w:pPr>
              <w:pStyle w:val="BodyText"/>
              <w:spacing w:line="264" w:lineRule="auto"/>
              <w:ind w:left="459" w:hanging="425"/>
              <w:rPr>
                <w:rFonts w:asciiTheme="minorHAnsi" w:hAnsiTheme="minorHAnsi"/>
              </w:rPr>
            </w:pPr>
            <w:r w:rsidRPr="006B142F">
              <w:rPr>
                <w:rFonts w:asciiTheme="minorHAnsi" w:hAnsiTheme="minorHAnsi" w:cs="Arial"/>
                <w:lang w:eastAsia="en-NZ"/>
              </w:rPr>
              <w:t>means:</w:t>
            </w:r>
            <w:r w:rsidRPr="006B142F">
              <w:rPr>
                <w:rFonts w:asciiTheme="minorHAnsi" w:hAnsiTheme="minorHAnsi" w:cs="Arial"/>
                <w:lang w:eastAsia="en-NZ"/>
              </w:rPr>
              <w:br/>
            </w:r>
            <w:r w:rsidRPr="006B142F">
              <w:rPr>
                <w:rFonts w:asciiTheme="minorHAnsi" w:hAnsiTheme="minorHAnsi"/>
                <w:position w:val="-10"/>
              </w:rPr>
              <w:object w:dxaOrig="200" w:dyaOrig="2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3pt;height:12.15pt" o:ole="">
                  <v:imagedata r:id="rId67" o:title=""/>
                </v:shape>
                <o:OLEObject Type="Embed" ProgID="Equation.3" ShapeID="_x0000_i1025" DrawAspect="Content" ObjectID="_1403043769" r:id="rId68"/>
              </w:object>
            </w:r>
            <w:r w:rsidRPr="006B142F">
              <w:rPr>
                <w:rFonts w:asciiTheme="minorHAnsi" w:hAnsiTheme="minorHAnsi"/>
              </w:rPr>
              <w:tab/>
              <w:t>=</w:t>
            </w:r>
            <w:r w:rsidRPr="006B142F">
              <w:rPr>
                <w:rFonts w:asciiTheme="minorHAnsi" w:hAnsiTheme="minorHAnsi"/>
              </w:rPr>
              <w:tab/>
            </w:r>
            <w:r w:rsidRPr="006B142F">
              <w:rPr>
                <w:rFonts w:asciiTheme="minorHAnsi" w:hAnsiTheme="minorHAnsi"/>
                <w:position w:val="-24"/>
              </w:rPr>
              <w:object w:dxaOrig="1120" w:dyaOrig="620">
                <v:shape id="_x0000_i1026" type="#_x0000_t75" style="width:56.1pt;height:30.85pt" o:ole="">
                  <v:imagedata r:id="rId69" o:title=""/>
                </v:shape>
                <o:OLEObject Type="Embed" ProgID="Equation.3" ShapeID="_x0000_i1026" DrawAspect="Content" ObjectID="_1403043770" r:id="rId70"/>
              </w:object>
            </w:r>
          </w:p>
          <w:p w:rsidR="0089227F" w:rsidRPr="006B142F" w:rsidRDefault="0089227F" w:rsidP="0089227F">
            <w:pPr>
              <w:pStyle w:val="BodyText"/>
              <w:spacing w:line="264" w:lineRule="auto"/>
              <w:ind w:left="459" w:hanging="425"/>
              <w:rPr>
                <w:rFonts w:asciiTheme="minorHAnsi" w:hAnsiTheme="minorHAnsi" w:cs="Arial"/>
                <w:lang w:eastAsia="en-NZ"/>
              </w:rPr>
            </w:pPr>
            <w:r w:rsidRPr="006B142F">
              <w:rPr>
                <w:rFonts w:asciiTheme="minorHAnsi" w:hAnsiTheme="minorHAnsi" w:cs="Arial"/>
                <w:lang w:eastAsia="en-NZ"/>
              </w:rPr>
              <w:t>where:</w:t>
            </w:r>
          </w:p>
          <w:p w:rsidR="0089227F" w:rsidRPr="006B142F" w:rsidRDefault="0089227F" w:rsidP="0089227F">
            <w:pPr>
              <w:pStyle w:val="BodyText"/>
              <w:spacing w:line="264" w:lineRule="auto"/>
              <w:ind w:left="459" w:hanging="425"/>
              <w:rPr>
                <w:rFonts w:asciiTheme="minorHAnsi" w:hAnsiTheme="minorHAnsi" w:cs="Arial"/>
                <w:lang w:eastAsia="en-NZ"/>
              </w:rPr>
            </w:pPr>
            <w:r w:rsidRPr="006B142F">
              <w:rPr>
                <w:rFonts w:asciiTheme="minorHAnsi" w:hAnsiTheme="minorHAnsi"/>
                <w:position w:val="-6"/>
              </w:rPr>
              <w:object w:dxaOrig="200" w:dyaOrig="220">
                <v:shape id="_x0000_i1027" type="#_x0000_t75" style="width:10.3pt;height:12.15pt" o:ole="">
                  <v:imagedata r:id="rId71" o:title=""/>
                </v:shape>
                <o:OLEObject Type="Embed" ProgID="Equation.3" ShapeID="_x0000_i1027" DrawAspect="Content" ObjectID="_1403043771" r:id="rId72"/>
              </w:object>
            </w:r>
            <w:r w:rsidRPr="006B142F">
              <w:rPr>
                <w:rFonts w:asciiTheme="minorHAnsi" w:hAnsiTheme="minorHAnsi" w:cs="Arial"/>
                <w:lang w:eastAsia="en-NZ"/>
              </w:rPr>
              <w:t xml:space="preserve"> = </w:t>
            </w:r>
            <w:r w:rsidRPr="006B142F">
              <w:rPr>
                <w:rFonts w:asciiTheme="minorHAnsi" w:hAnsiTheme="minorHAnsi" w:cs="Arial"/>
                <w:lang w:eastAsia="en-NZ"/>
              </w:rPr>
              <w:tab/>
              <w:t xml:space="preserve">actual expenditure </w:t>
            </w:r>
          </w:p>
          <w:p w:rsidR="0089227F" w:rsidRPr="006B142F" w:rsidRDefault="0089227F" w:rsidP="0089227F">
            <w:pPr>
              <w:pStyle w:val="BodyText"/>
              <w:spacing w:line="264" w:lineRule="auto"/>
              <w:ind w:left="459" w:hanging="425"/>
              <w:rPr>
                <w:rFonts w:asciiTheme="minorHAnsi" w:hAnsiTheme="minorHAnsi"/>
              </w:rPr>
            </w:pPr>
            <w:r w:rsidRPr="006B142F">
              <w:rPr>
                <w:rFonts w:asciiTheme="minorHAnsi" w:hAnsiTheme="minorHAnsi"/>
                <w:position w:val="-6"/>
              </w:rPr>
              <w:object w:dxaOrig="200" w:dyaOrig="279">
                <v:shape id="_x0000_i1028" type="#_x0000_t75" style="width:10.3pt;height:14.95pt" o:ole="">
                  <v:imagedata r:id="rId73" o:title=""/>
                </v:shape>
                <o:OLEObject Type="Embed" ProgID="Equation.3" ShapeID="_x0000_i1028" DrawAspect="Content" ObjectID="_1403043772" r:id="rId74"/>
              </w:object>
            </w:r>
            <w:r w:rsidRPr="006B142F">
              <w:rPr>
                <w:rFonts w:asciiTheme="minorHAnsi" w:hAnsiTheme="minorHAnsi" w:cs="Arial"/>
                <w:lang w:eastAsia="en-NZ"/>
              </w:rPr>
              <w:t xml:space="preserve">= </w:t>
            </w:r>
            <w:r w:rsidRPr="006B142F">
              <w:rPr>
                <w:rFonts w:asciiTheme="minorHAnsi" w:hAnsiTheme="minorHAnsi" w:cs="Arial"/>
                <w:lang w:eastAsia="en-NZ"/>
              </w:rPr>
              <w:tab/>
            </w:r>
            <w:r w:rsidRPr="006B142F">
              <w:rPr>
                <w:rFonts w:asciiTheme="minorHAnsi" w:hAnsiTheme="minorHAnsi" w:cs="Arial"/>
                <w:lang w:eastAsia="en-NZ"/>
              </w:rPr>
              <w:tab/>
              <w:t>forecast expenditure</w:t>
            </w:r>
          </w:p>
        </w:tc>
      </w:tr>
      <w:tr w:rsidR="0089227F" w:rsidRPr="006B142F" w:rsidTr="00B20AEC">
        <w:trPr>
          <w:cantSplit/>
        </w:trPr>
        <w:tc>
          <w:tcPr>
            <w:tcW w:w="4621" w:type="dxa"/>
          </w:tcPr>
          <w:p w:rsidR="0089227F" w:rsidRPr="006B142F" w:rsidRDefault="0089227F" w:rsidP="0089227F">
            <w:pPr>
              <w:pStyle w:val="BodyText"/>
              <w:spacing w:line="264" w:lineRule="auto"/>
              <w:rPr>
                <w:rFonts w:asciiTheme="minorHAnsi" w:hAnsiTheme="minorHAnsi" w:cs="Arial"/>
                <w:bCs/>
                <w:lang w:eastAsia="en-NZ"/>
              </w:rPr>
            </w:pPr>
            <w:r w:rsidRPr="006B142F">
              <w:rPr>
                <w:rFonts w:asciiTheme="minorHAnsi" w:hAnsiTheme="minorHAnsi" w:cs="Arial"/>
                <w:bCs/>
                <w:lang w:eastAsia="en-NZ"/>
              </w:rPr>
              <w:t>2009 authorisation assets</w:t>
            </w:r>
          </w:p>
        </w:tc>
        <w:tc>
          <w:tcPr>
            <w:tcW w:w="4622" w:type="dxa"/>
          </w:tcPr>
          <w:p w:rsidR="0089227F" w:rsidRPr="006B142F" w:rsidRDefault="0089227F" w:rsidP="0089227F">
            <w:pPr>
              <w:pStyle w:val="BodyText"/>
              <w:spacing w:line="264" w:lineRule="auto"/>
              <w:rPr>
                <w:rFonts w:asciiTheme="minorHAnsi" w:hAnsiTheme="minorHAnsi" w:cs="Arial"/>
                <w:lang w:eastAsia="en-NZ"/>
              </w:rPr>
            </w:pPr>
            <w:r w:rsidRPr="006B142F">
              <w:rPr>
                <w:rFonts w:asciiTheme="minorHAnsi" w:hAnsiTheme="minorHAnsi" w:cs="Arial"/>
                <w:lang w:eastAsia="en-NZ"/>
              </w:rPr>
              <w:t>has the meaning set out in the IM determination</w:t>
            </w:r>
          </w:p>
        </w:tc>
      </w:tr>
      <w:tr w:rsidR="0089227F" w:rsidRPr="006B142F" w:rsidTr="00B20AEC">
        <w:trPr>
          <w:cantSplit/>
        </w:trPr>
        <w:tc>
          <w:tcPr>
            <w:tcW w:w="4621" w:type="dxa"/>
          </w:tcPr>
          <w:p w:rsidR="0089227F" w:rsidRPr="006B142F" w:rsidRDefault="0089227F" w:rsidP="0089227F">
            <w:pPr>
              <w:pStyle w:val="BodyText"/>
              <w:spacing w:line="264" w:lineRule="auto"/>
              <w:rPr>
                <w:rFonts w:asciiTheme="minorHAnsi" w:hAnsiTheme="minorHAnsi" w:cs="Arial"/>
                <w:bCs/>
                <w:lang w:eastAsia="en-NZ"/>
              </w:rPr>
            </w:pPr>
            <w:r w:rsidRPr="006B142F">
              <w:rPr>
                <w:rFonts w:asciiTheme="minorHAnsi" w:hAnsiTheme="minorHAnsi" w:cs="Arial"/>
                <w:bCs/>
                <w:lang w:eastAsia="en-NZ"/>
              </w:rPr>
              <w:t>2009 disclosed assets</w:t>
            </w:r>
          </w:p>
        </w:tc>
        <w:tc>
          <w:tcPr>
            <w:tcW w:w="4622" w:type="dxa"/>
          </w:tcPr>
          <w:p w:rsidR="0089227F" w:rsidRPr="006B142F" w:rsidRDefault="0089227F" w:rsidP="0089227F">
            <w:pPr>
              <w:pStyle w:val="BodyText"/>
              <w:spacing w:line="264" w:lineRule="auto"/>
              <w:rPr>
                <w:rFonts w:asciiTheme="minorHAnsi" w:hAnsiTheme="minorHAnsi" w:cs="Arial"/>
                <w:lang w:eastAsia="en-NZ"/>
              </w:rPr>
            </w:pPr>
            <w:r w:rsidRPr="006B142F">
              <w:rPr>
                <w:rFonts w:asciiTheme="minorHAnsi" w:hAnsiTheme="minorHAnsi" w:cs="Arial"/>
                <w:lang w:eastAsia="en-NZ"/>
              </w:rPr>
              <w:t xml:space="preserve">has the meaning set out in the </w:t>
            </w:r>
            <w:r w:rsidRPr="006B142F">
              <w:rPr>
                <w:rFonts w:asciiTheme="minorHAnsi" w:hAnsiTheme="minorHAnsi" w:cs="Arial"/>
                <w:bCs/>
                <w:lang w:eastAsia="en-NZ"/>
              </w:rPr>
              <w:t>IM determination</w:t>
            </w:r>
          </w:p>
        </w:tc>
      </w:tr>
      <w:tr w:rsidR="0089227F" w:rsidRPr="006B142F" w:rsidTr="00B20AEC">
        <w:trPr>
          <w:cantSplit/>
        </w:trPr>
        <w:tc>
          <w:tcPr>
            <w:tcW w:w="4621" w:type="dxa"/>
          </w:tcPr>
          <w:p w:rsidR="0089227F" w:rsidRPr="006B142F" w:rsidRDefault="0089227F" w:rsidP="0089227F">
            <w:pPr>
              <w:pStyle w:val="BodyText"/>
              <w:spacing w:line="264" w:lineRule="auto"/>
              <w:rPr>
                <w:rFonts w:asciiTheme="minorHAnsi" w:hAnsiTheme="minorHAnsi" w:cs="Arial"/>
                <w:bCs/>
                <w:lang w:eastAsia="en-NZ"/>
              </w:rPr>
            </w:pPr>
            <w:r w:rsidRPr="006B142F">
              <w:rPr>
                <w:rFonts w:asciiTheme="minorHAnsi" w:hAnsiTheme="minorHAnsi" w:cs="Arial"/>
                <w:bCs/>
                <w:lang w:eastAsia="en-NZ"/>
              </w:rPr>
              <w:t>2009 part year</w:t>
            </w:r>
          </w:p>
        </w:tc>
        <w:tc>
          <w:tcPr>
            <w:tcW w:w="4622" w:type="dxa"/>
          </w:tcPr>
          <w:p w:rsidR="0089227F" w:rsidRPr="006B142F" w:rsidRDefault="0089227F" w:rsidP="0089227F">
            <w:pPr>
              <w:pStyle w:val="BodyText"/>
              <w:spacing w:line="264" w:lineRule="auto"/>
              <w:rPr>
                <w:rFonts w:asciiTheme="minorHAnsi" w:hAnsiTheme="minorHAnsi" w:cs="Arial"/>
                <w:lang w:eastAsia="en-NZ"/>
              </w:rPr>
            </w:pPr>
            <w:r w:rsidRPr="006B142F">
              <w:rPr>
                <w:rFonts w:asciiTheme="minorHAnsi" w:hAnsiTheme="minorHAnsi" w:cs="Arial"/>
                <w:lang w:eastAsia="en-NZ"/>
              </w:rPr>
              <w:t>means amounts determined in accordance with the IM determination for the period 1 July 2009 to 30 September 2009</w:t>
            </w:r>
          </w:p>
        </w:tc>
      </w:tr>
      <w:tr w:rsidR="0089227F" w:rsidRPr="006B142F" w:rsidTr="00B20AEC">
        <w:trPr>
          <w:cantSplit/>
        </w:trPr>
        <w:tc>
          <w:tcPr>
            <w:tcW w:w="4621" w:type="dxa"/>
          </w:tcPr>
          <w:p w:rsidR="0089227F" w:rsidRPr="006B142F" w:rsidRDefault="0089227F" w:rsidP="0089227F">
            <w:pPr>
              <w:pStyle w:val="BodyText"/>
              <w:spacing w:line="264" w:lineRule="auto"/>
              <w:rPr>
                <w:rFonts w:asciiTheme="minorHAnsi" w:hAnsiTheme="minorHAnsi" w:cs="Arial"/>
                <w:bCs/>
                <w:lang w:eastAsia="en-NZ"/>
              </w:rPr>
            </w:pPr>
            <w:r w:rsidRPr="006B142F">
              <w:rPr>
                <w:rFonts w:asciiTheme="minorHAnsi" w:hAnsiTheme="minorHAnsi" w:cs="Arial"/>
                <w:bCs/>
                <w:lang w:eastAsia="en-NZ"/>
              </w:rPr>
              <w:t>25th percentile estimate</w:t>
            </w:r>
          </w:p>
        </w:tc>
        <w:tc>
          <w:tcPr>
            <w:tcW w:w="4622" w:type="dxa"/>
          </w:tcPr>
          <w:p w:rsidR="0089227F" w:rsidRPr="006B142F" w:rsidRDefault="0089227F" w:rsidP="0089227F">
            <w:pPr>
              <w:pStyle w:val="BodyText"/>
              <w:spacing w:line="264" w:lineRule="auto"/>
              <w:ind w:left="34"/>
              <w:rPr>
                <w:rFonts w:asciiTheme="minorHAnsi" w:hAnsiTheme="minorHAnsi" w:cs="Arial"/>
                <w:lang w:eastAsia="en-NZ"/>
              </w:rPr>
            </w:pPr>
            <w:r w:rsidRPr="006B142F">
              <w:rPr>
                <w:rFonts w:asciiTheme="minorHAnsi" w:hAnsiTheme="minorHAnsi" w:cs="Arial"/>
                <w:lang w:eastAsia="en-NZ"/>
              </w:rPr>
              <w:t>means the 25th percentile estimate for the range of the</w:t>
            </w:r>
            <w:r w:rsidRPr="006B142F">
              <w:rPr>
                <w:rFonts w:asciiTheme="minorHAnsi" w:hAnsiTheme="minorHAnsi" w:cs="Arial"/>
                <w:bCs/>
                <w:lang w:eastAsia="en-NZ"/>
              </w:rPr>
              <w:t xml:space="preserve"> mid-point post tax WACC</w:t>
            </w:r>
            <w:r w:rsidRPr="006B142F">
              <w:rPr>
                <w:rFonts w:asciiTheme="minorHAnsi" w:hAnsiTheme="minorHAnsi" w:cs="Arial"/>
                <w:lang w:eastAsia="en-NZ"/>
              </w:rPr>
              <w:t xml:space="preserve"> or </w:t>
            </w:r>
            <w:r w:rsidRPr="006B142F">
              <w:rPr>
                <w:rFonts w:asciiTheme="minorHAnsi" w:hAnsiTheme="minorHAnsi" w:cs="Arial"/>
                <w:bCs/>
                <w:lang w:eastAsia="en-NZ"/>
              </w:rPr>
              <w:t>mid-point vanilla WACC</w:t>
            </w:r>
            <w:r w:rsidRPr="006B142F">
              <w:rPr>
                <w:rFonts w:asciiTheme="minorHAnsi" w:hAnsiTheme="minorHAnsi" w:cs="Arial"/>
                <w:lang w:eastAsia="en-NZ"/>
              </w:rPr>
              <w:t xml:space="preserve"> determined by the </w:t>
            </w:r>
            <w:r w:rsidRPr="006B142F">
              <w:rPr>
                <w:rFonts w:asciiTheme="minorHAnsi" w:hAnsiTheme="minorHAnsi" w:cs="Arial"/>
                <w:bCs/>
                <w:lang w:eastAsia="en-NZ"/>
              </w:rPr>
              <w:t>Commission</w:t>
            </w:r>
            <w:r w:rsidRPr="006B142F">
              <w:rPr>
                <w:rFonts w:asciiTheme="minorHAnsi" w:hAnsiTheme="minorHAnsi" w:cs="Arial"/>
                <w:lang w:eastAsia="en-NZ"/>
              </w:rPr>
              <w:t xml:space="preserve"> in accordance with clause 2.4.7 of the </w:t>
            </w:r>
            <w:r w:rsidRPr="006B142F">
              <w:rPr>
                <w:rFonts w:asciiTheme="minorHAnsi" w:hAnsiTheme="minorHAnsi" w:cs="Arial"/>
                <w:bCs/>
                <w:lang w:eastAsia="en-NZ"/>
              </w:rPr>
              <w:t>IM determination</w:t>
            </w:r>
          </w:p>
        </w:tc>
      </w:tr>
      <w:tr w:rsidR="0089227F" w:rsidRPr="006B142F" w:rsidTr="00B20AEC">
        <w:trPr>
          <w:cantSplit/>
        </w:trPr>
        <w:tc>
          <w:tcPr>
            <w:tcW w:w="4621" w:type="dxa"/>
          </w:tcPr>
          <w:p w:rsidR="0089227F" w:rsidRPr="006B142F" w:rsidRDefault="0089227F" w:rsidP="0089227F">
            <w:pPr>
              <w:pStyle w:val="BodyText"/>
              <w:spacing w:line="264" w:lineRule="auto"/>
              <w:rPr>
                <w:rFonts w:asciiTheme="minorHAnsi" w:hAnsiTheme="minorHAnsi" w:cs="Arial"/>
                <w:bCs/>
                <w:lang w:eastAsia="en-NZ"/>
              </w:rPr>
            </w:pPr>
            <w:r w:rsidRPr="006B142F">
              <w:rPr>
                <w:rFonts w:asciiTheme="minorHAnsi" w:hAnsiTheme="minorHAnsi" w:cs="Arial"/>
                <w:bCs/>
                <w:lang w:eastAsia="en-NZ"/>
              </w:rPr>
              <w:t>75th percentile estimate</w:t>
            </w:r>
          </w:p>
        </w:tc>
        <w:tc>
          <w:tcPr>
            <w:tcW w:w="4622" w:type="dxa"/>
          </w:tcPr>
          <w:p w:rsidR="0089227F" w:rsidRPr="006B142F" w:rsidRDefault="0089227F" w:rsidP="0089227F">
            <w:pPr>
              <w:pStyle w:val="BodyText"/>
              <w:spacing w:line="264" w:lineRule="auto"/>
              <w:rPr>
                <w:rFonts w:asciiTheme="minorHAnsi" w:hAnsiTheme="minorHAnsi" w:cs="Arial"/>
                <w:lang w:eastAsia="en-NZ"/>
              </w:rPr>
            </w:pPr>
            <w:r w:rsidRPr="006B142F">
              <w:rPr>
                <w:rFonts w:asciiTheme="minorHAnsi" w:hAnsiTheme="minorHAnsi" w:cs="Arial"/>
                <w:lang w:eastAsia="en-NZ"/>
              </w:rPr>
              <w:t>means the 75th percentile estimate for the range of the</w:t>
            </w:r>
            <w:r w:rsidRPr="006B142F">
              <w:rPr>
                <w:rFonts w:asciiTheme="minorHAnsi" w:hAnsiTheme="minorHAnsi" w:cs="Arial"/>
                <w:bCs/>
                <w:lang w:eastAsia="en-NZ"/>
              </w:rPr>
              <w:t xml:space="preserve"> mid-point post tax WACC</w:t>
            </w:r>
            <w:r w:rsidRPr="006B142F">
              <w:rPr>
                <w:rFonts w:asciiTheme="minorHAnsi" w:hAnsiTheme="minorHAnsi" w:cs="Arial"/>
                <w:lang w:eastAsia="en-NZ"/>
              </w:rPr>
              <w:t xml:space="preserve"> or </w:t>
            </w:r>
            <w:r w:rsidRPr="006B142F">
              <w:rPr>
                <w:rFonts w:asciiTheme="minorHAnsi" w:hAnsiTheme="minorHAnsi" w:cs="Arial"/>
                <w:bCs/>
                <w:lang w:eastAsia="en-NZ"/>
              </w:rPr>
              <w:t>mid-point vanilla WACC</w:t>
            </w:r>
            <w:r w:rsidRPr="006B142F">
              <w:rPr>
                <w:rFonts w:asciiTheme="minorHAnsi" w:hAnsiTheme="minorHAnsi" w:cs="Arial"/>
                <w:lang w:eastAsia="en-NZ"/>
              </w:rPr>
              <w:t xml:space="preserve"> determined by the </w:t>
            </w:r>
            <w:r w:rsidRPr="006B142F">
              <w:rPr>
                <w:rFonts w:asciiTheme="minorHAnsi" w:hAnsiTheme="minorHAnsi" w:cs="Arial"/>
                <w:bCs/>
                <w:lang w:eastAsia="en-NZ"/>
              </w:rPr>
              <w:t>Commission</w:t>
            </w:r>
            <w:r w:rsidRPr="006B142F">
              <w:rPr>
                <w:rFonts w:asciiTheme="minorHAnsi" w:hAnsiTheme="minorHAnsi" w:cs="Arial"/>
                <w:lang w:eastAsia="en-NZ"/>
              </w:rPr>
              <w:t xml:space="preserve"> in accordance with clause 2.4.7 of the </w:t>
            </w:r>
            <w:r w:rsidRPr="006B142F">
              <w:rPr>
                <w:rFonts w:asciiTheme="minorHAnsi" w:hAnsiTheme="minorHAnsi" w:cs="Arial"/>
                <w:bCs/>
                <w:lang w:eastAsia="en-NZ"/>
              </w:rPr>
              <w:t>IM determination</w:t>
            </w:r>
          </w:p>
        </w:tc>
      </w:tr>
      <w:tr w:rsidR="0089227F" w:rsidRPr="006B142F" w:rsidTr="00B20AEC">
        <w:trPr>
          <w:cantSplit/>
        </w:trPr>
        <w:tc>
          <w:tcPr>
            <w:tcW w:w="4621" w:type="dxa"/>
          </w:tcPr>
          <w:p w:rsidR="0089227F" w:rsidRPr="006B142F" w:rsidRDefault="0089227F" w:rsidP="0089227F">
            <w:pPr>
              <w:pStyle w:val="BodyText"/>
              <w:spacing w:line="264" w:lineRule="auto"/>
              <w:rPr>
                <w:rFonts w:asciiTheme="minorHAnsi" w:hAnsiTheme="minorHAnsi" w:cs="Arial"/>
                <w:bCs/>
                <w:lang w:eastAsia="en-NZ"/>
              </w:rPr>
            </w:pPr>
            <w:r w:rsidRPr="006B142F">
              <w:rPr>
                <w:rFonts w:asciiTheme="minorHAnsi" w:hAnsiTheme="minorHAnsi" w:cs="Arial"/>
                <w:bCs/>
                <w:lang w:eastAsia="en-NZ"/>
              </w:rPr>
              <w:t xml:space="preserve">Actual controllable </w:t>
            </w:r>
            <w:proofErr w:type="spellStart"/>
            <w:r w:rsidRPr="006B142F">
              <w:rPr>
                <w:rFonts w:asciiTheme="minorHAnsi" w:hAnsiTheme="minorHAnsi" w:cs="Arial"/>
                <w:bCs/>
                <w:lang w:eastAsia="en-NZ"/>
              </w:rPr>
              <w:t>opex</w:t>
            </w:r>
            <w:proofErr w:type="spellEnd"/>
          </w:p>
        </w:tc>
        <w:tc>
          <w:tcPr>
            <w:tcW w:w="4622" w:type="dxa"/>
          </w:tcPr>
          <w:p w:rsidR="0089227F" w:rsidRPr="006B142F" w:rsidRDefault="0089227F" w:rsidP="0089227F">
            <w:pPr>
              <w:pStyle w:val="BodyText"/>
              <w:spacing w:line="264" w:lineRule="auto"/>
              <w:rPr>
                <w:rFonts w:asciiTheme="minorHAnsi" w:hAnsiTheme="minorHAnsi" w:cs="Arial"/>
                <w:lang w:eastAsia="en-NZ"/>
              </w:rPr>
            </w:pPr>
            <w:r w:rsidRPr="006B142F">
              <w:rPr>
                <w:rFonts w:asciiTheme="minorHAnsi" w:hAnsiTheme="minorHAnsi" w:cs="Arial"/>
                <w:lang w:eastAsia="en-NZ"/>
              </w:rPr>
              <w:t xml:space="preserve">has the meaning set out in the </w:t>
            </w:r>
            <w:r w:rsidRPr="006B142F">
              <w:rPr>
                <w:rFonts w:asciiTheme="minorHAnsi" w:hAnsiTheme="minorHAnsi" w:cs="Arial"/>
                <w:bCs/>
                <w:lang w:eastAsia="en-NZ"/>
              </w:rPr>
              <w:t>IM determination</w:t>
            </w:r>
          </w:p>
        </w:tc>
      </w:tr>
      <w:tr w:rsidR="0089227F" w:rsidRPr="006B142F" w:rsidTr="00B20AEC">
        <w:trPr>
          <w:cantSplit/>
        </w:trPr>
        <w:tc>
          <w:tcPr>
            <w:tcW w:w="4621" w:type="dxa"/>
          </w:tcPr>
          <w:p w:rsidR="0089227F" w:rsidRPr="006B142F" w:rsidRDefault="0089227F" w:rsidP="0089227F">
            <w:pPr>
              <w:pStyle w:val="BodyText"/>
              <w:spacing w:line="264" w:lineRule="auto"/>
              <w:rPr>
                <w:rFonts w:asciiTheme="minorHAnsi" w:hAnsiTheme="minorHAnsi" w:cs="Arial"/>
                <w:bCs/>
                <w:lang w:eastAsia="en-NZ"/>
              </w:rPr>
            </w:pPr>
            <w:r w:rsidRPr="006B142F">
              <w:rPr>
                <w:rFonts w:asciiTheme="minorHAnsi" w:hAnsiTheme="minorHAnsi" w:cs="Arial"/>
                <w:bCs/>
                <w:lang w:eastAsia="en-NZ"/>
              </w:rPr>
              <w:t>Actual expenditure</w:t>
            </w:r>
          </w:p>
        </w:tc>
        <w:tc>
          <w:tcPr>
            <w:tcW w:w="4622" w:type="dxa"/>
          </w:tcPr>
          <w:p w:rsidR="0089227F" w:rsidRPr="006B142F" w:rsidRDefault="0089227F" w:rsidP="0089227F">
            <w:pPr>
              <w:spacing w:line="264" w:lineRule="auto"/>
              <w:ind w:left="459" w:hanging="459"/>
              <w:rPr>
                <w:rFonts w:asciiTheme="minorHAnsi" w:hAnsiTheme="minorHAnsi" w:cs="Arial"/>
                <w:lang w:eastAsia="en-NZ"/>
              </w:rPr>
            </w:pPr>
            <w:r w:rsidRPr="006B142F">
              <w:rPr>
                <w:rFonts w:asciiTheme="minorHAnsi" w:hAnsiTheme="minorHAnsi" w:cs="Arial"/>
                <w:lang w:eastAsia="en-NZ"/>
              </w:rPr>
              <w:t>means, in relation to:</w:t>
            </w:r>
          </w:p>
          <w:p w:rsidR="0089227F" w:rsidRPr="006B142F" w:rsidRDefault="0089227F" w:rsidP="0089227F">
            <w:pPr>
              <w:pStyle w:val="ListParagraph"/>
              <w:numPr>
                <w:ilvl w:val="4"/>
                <w:numId w:val="15"/>
              </w:numPr>
              <w:spacing w:line="264" w:lineRule="auto"/>
              <w:ind w:left="459" w:hanging="459"/>
              <w:rPr>
                <w:rFonts w:asciiTheme="minorHAnsi" w:hAnsiTheme="minorHAnsi" w:cs="Arial"/>
                <w:lang w:eastAsia="en-NZ"/>
              </w:rPr>
            </w:pPr>
            <w:r w:rsidRPr="006B142F">
              <w:rPr>
                <w:rFonts w:asciiTheme="minorHAnsi" w:hAnsiTheme="minorHAnsi" w:cs="Arial"/>
                <w:lang w:eastAsia="en-NZ"/>
              </w:rPr>
              <w:t>any disclosure year, expenditure for that disclosure year</w:t>
            </w:r>
          </w:p>
          <w:p w:rsidR="0089227F" w:rsidRPr="006B142F" w:rsidRDefault="0089227F" w:rsidP="0089227F">
            <w:pPr>
              <w:pStyle w:val="ListParagraph"/>
              <w:numPr>
                <w:ilvl w:val="4"/>
                <w:numId w:val="15"/>
              </w:numPr>
              <w:tabs>
                <w:tab w:val="left" w:pos="4045"/>
              </w:tabs>
              <w:spacing w:line="264" w:lineRule="auto"/>
              <w:ind w:left="459" w:hanging="459"/>
              <w:rPr>
                <w:rFonts w:asciiTheme="minorHAnsi" w:hAnsiTheme="minorHAnsi" w:cs="Arial"/>
                <w:lang w:eastAsia="en-NZ"/>
              </w:rPr>
            </w:pPr>
            <w:r w:rsidRPr="006B142F">
              <w:rPr>
                <w:rFonts w:asciiTheme="minorHAnsi" w:hAnsiTheme="minorHAnsi" w:cs="Arial"/>
                <w:lang w:eastAsia="en-NZ"/>
              </w:rPr>
              <w:t>the regulatory period, expenditure for the disclosure years from the start of the regulatory period to the current disclosure year</w:t>
            </w:r>
          </w:p>
        </w:tc>
      </w:tr>
      <w:tr w:rsidR="0089227F" w:rsidRPr="006B142F" w:rsidTr="00B20AEC">
        <w:trPr>
          <w:cantSplit/>
        </w:trPr>
        <w:tc>
          <w:tcPr>
            <w:tcW w:w="4621" w:type="dxa"/>
          </w:tcPr>
          <w:p w:rsidR="0089227F" w:rsidRPr="006B142F" w:rsidRDefault="0089227F" w:rsidP="0089227F">
            <w:pPr>
              <w:pStyle w:val="BodyText"/>
              <w:spacing w:line="264" w:lineRule="auto"/>
              <w:rPr>
                <w:rFonts w:asciiTheme="minorHAnsi" w:hAnsiTheme="minorHAnsi" w:cs="Arial"/>
                <w:bCs/>
                <w:lang w:eastAsia="en-NZ"/>
              </w:rPr>
            </w:pPr>
            <w:r w:rsidRPr="006B142F">
              <w:rPr>
                <w:rFonts w:asciiTheme="minorHAnsi" w:hAnsiTheme="minorHAnsi" w:cs="Arial"/>
                <w:bCs/>
                <w:lang w:eastAsia="en-NZ"/>
              </w:rPr>
              <w:t>Adjusted depreciation</w:t>
            </w:r>
          </w:p>
        </w:tc>
        <w:tc>
          <w:tcPr>
            <w:tcW w:w="4622" w:type="dxa"/>
          </w:tcPr>
          <w:p w:rsidR="0089227F" w:rsidRPr="006B142F" w:rsidRDefault="0089227F" w:rsidP="0089227F">
            <w:pPr>
              <w:spacing w:line="264" w:lineRule="auto"/>
              <w:ind w:left="34"/>
              <w:rPr>
                <w:rFonts w:asciiTheme="minorHAnsi" w:hAnsiTheme="minorHAnsi" w:cs="Arial"/>
                <w:lang w:eastAsia="en-NZ"/>
              </w:rPr>
            </w:pPr>
            <w:r w:rsidRPr="006B142F">
              <w:rPr>
                <w:rFonts w:asciiTheme="minorHAnsi" w:hAnsiTheme="minorHAnsi" w:cs="Arial"/>
                <w:lang w:eastAsia="en-NZ"/>
              </w:rPr>
              <w:t xml:space="preserve">has the meaning set out in the </w:t>
            </w:r>
            <w:r w:rsidRPr="006B142F">
              <w:rPr>
                <w:rFonts w:asciiTheme="minorHAnsi" w:hAnsiTheme="minorHAnsi" w:cs="Arial"/>
                <w:bCs/>
                <w:lang w:eastAsia="en-NZ"/>
              </w:rPr>
              <w:t>IM determination</w:t>
            </w:r>
          </w:p>
        </w:tc>
      </w:tr>
      <w:tr w:rsidR="0089227F" w:rsidRPr="006B142F" w:rsidTr="00B20AEC">
        <w:trPr>
          <w:cantSplit/>
        </w:trPr>
        <w:tc>
          <w:tcPr>
            <w:tcW w:w="4621" w:type="dxa"/>
          </w:tcPr>
          <w:p w:rsidR="0089227F" w:rsidRPr="006B142F" w:rsidRDefault="0089227F" w:rsidP="0089227F">
            <w:pPr>
              <w:pStyle w:val="BodyText"/>
              <w:spacing w:line="264" w:lineRule="auto"/>
              <w:rPr>
                <w:rFonts w:asciiTheme="minorHAnsi" w:hAnsiTheme="minorHAnsi" w:cs="Arial"/>
                <w:bCs/>
                <w:lang w:eastAsia="en-NZ"/>
              </w:rPr>
            </w:pPr>
            <w:r w:rsidRPr="006B142F">
              <w:rPr>
                <w:rFonts w:asciiTheme="minorHAnsi" w:hAnsiTheme="minorHAnsi" w:cs="Arial"/>
                <w:bCs/>
                <w:lang w:eastAsia="en-NZ"/>
              </w:rPr>
              <w:t>Adjustment for unamortised initial differences in assets acquired</w:t>
            </w:r>
          </w:p>
        </w:tc>
        <w:tc>
          <w:tcPr>
            <w:tcW w:w="4622" w:type="dxa"/>
          </w:tcPr>
          <w:p w:rsidR="0089227F" w:rsidRPr="006B142F" w:rsidRDefault="0089227F" w:rsidP="0089227F">
            <w:pPr>
              <w:spacing w:line="264" w:lineRule="auto"/>
              <w:ind w:left="34"/>
              <w:rPr>
                <w:rFonts w:asciiTheme="minorHAnsi" w:hAnsiTheme="minorHAnsi" w:cs="Arial"/>
                <w:lang w:eastAsia="en-NZ"/>
              </w:rPr>
            </w:pPr>
            <w:r w:rsidRPr="006B142F">
              <w:rPr>
                <w:rFonts w:asciiTheme="minorHAnsi" w:hAnsiTheme="minorHAnsi" w:cs="Arial"/>
                <w:lang w:eastAsia="en-NZ"/>
              </w:rPr>
              <w:t>means for assets acquired from another regulated supplier, the value of the unamortised initial differences in asset values for those assets acquired as unamortised initial differences in asset values is determined in accordance with the input methodologies that applies to the regulated goods or services supplied by that regulated supplier</w:t>
            </w:r>
          </w:p>
        </w:tc>
      </w:tr>
      <w:tr w:rsidR="0089227F" w:rsidRPr="006B142F" w:rsidTr="00B20AEC">
        <w:trPr>
          <w:cantSplit/>
        </w:trPr>
        <w:tc>
          <w:tcPr>
            <w:tcW w:w="4621" w:type="dxa"/>
          </w:tcPr>
          <w:p w:rsidR="0089227F" w:rsidRPr="006B142F" w:rsidRDefault="0089227F" w:rsidP="0089227F">
            <w:pPr>
              <w:pStyle w:val="BodyText"/>
              <w:spacing w:line="264" w:lineRule="auto"/>
              <w:rPr>
                <w:rFonts w:asciiTheme="minorHAnsi" w:hAnsiTheme="minorHAnsi" w:cs="Arial"/>
                <w:bCs/>
                <w:lang w:eastAsia="en-NZ"/>
              </w:rPr>
            </w:pPr>
            <w:r w:rsidRPr="006B142F">
              <w:rPr>
                <w:rFonts w:asciiTheme="minorHAnsi" w:hAnsiTheme="minorHAnsi" w:cs="Arial"/>
                <w:bCs/>
                <w:lang w:eastAsia="en-NZ"/>
              </w:rPr>
              <w:t>Adjustment for unamortised initial differences in assets disposed</w:t>
            </w:r>
          </w:p>
        </w:tc>
        <w:tc>
          <w:tcPr>
            <w:tcW w:w="4622" w:type="dxa"/>
          </w:tcPr>
          <w:p w:rsidR="0089227F" w:rsidRPr="006B142F" w:rsidRDefault="0089227F" w:rsidP="0089227F">
            <w:pPr>
              <w:spacing w:line="264" w:lineRule="auto"/>
              <w:ind w:left="34"/>
              <w:rPr>
                <w:rFonts w:asciiTheme="minorHAnsi" w:hAnsiTheme="minorHAnsi" w:cs="Arial"/>
                <w:lang w:eastAsia="en-NZ"/>
              </w:rPr>
            </w:pPr>
            <w:r w:rsidRPr="006B142F">
              <w:rPr>
                <w:rFonts w:asciiTheme="minorHAnsi" w:hAnsiTheme="minorHAnsi" w:cs="Arial"/>
                <w:lang w:eastAsia="en-NZ"/>
              </w:rPr>
              <w:t xml:space="preserve">means the value of </w:t>
            </w:r>
            <w:r w:rsidRPr="006B142F">
              <w:rPr>
                <w:rFonts w:asciiTheme="minorHAnsi" w:hAnsiTheme="minorHAnsi" w:cs="Arial"/>
                <w:bCs/>
                <w:lang w:eastAsia="en-NZ"/>
              </w:rPr>
              <w:t xml:space="preserve">opening unamortised initial differences in asset values </w:t>
            </w:r>
            <w:r w:rsidRPr="006B142F">
              <w:rPr>
                <w:rFonts w:asciiTheme="minorHAnsi" w:hAnsiTheme="minorHAnsi" w:cs="Arial"/>
                <w:lang w:eastAsia="en-NZ"/>
              </w:rPr>
              <w:t>for assets that are disposed of during the year</w:t>
            </w:r>
          </w:p>
        </w:tc>
      </w:tr>
      <w:tr w:rsidR="0089227F" w:rsidRPr="006B142F" w:rsidTr="00B20AEC">
        <w:trPr>
          <w:cantSplit/>
        </w:trPr>
        <w:tc>
          <w:tcPr>
            <w:tcW w:w="4621" w:type="dxa"/>
          </w:tcPr>
          <w:p w:rsidR="0089227F" w:rsidRPr="006B142F" w:rsidRDefault="0089227F" w:rsidP="0089227F">
            <w:pPr>
              <w:pStyle w:val="BodyText"/>
              <w:spacing w:line="264" w:lineRule="auto"/>
              <w:rPr>
                <w:rFonts w:asciiTheme="minorHAnsi" w:hAnsiTheme="minorHAnsi" w:cs="Arial"/>
                <w:bCs/>
                <w:lang w:eastAsia="en-NZ"/>
              </w:rPr>
            </w:pPr>
            <w:r w:rsidRPr="006B142F">
              <w:rPr>
                <w:rFonts w:asciiTheme="minorHAnsi" w:hAnsiTheme="minorHAnsi" w:cs="Arial"/>
                <w:bCs/>
                <w:lang w:eastAsia="en-NZ"/>
              </w:rPr>
              <w:t>Adjustment resulting from asset allocation</w:t>
            </w:r>
          </w:p>
        </w:tc>
        <w:tc>
          <w:tcPr>
            <w:tcW w:w="4622" w:type="dxa"/>
          </w:tcPr>
          <w:p w:rsidR="0089227F" w:rsidRPr="006B142F" w:rsidRDefault="0089227F" w:rsidP="0089227F">
            <w:pPr>
              <w:pStyle w:val="EquationsL2"/>
              <w:spacing w:line="264" w:lineRule="auto"/>
              <w:ind w:left="0" w:firstLine="0"/>
              <w:rPr>
                <w:rFonts w:asciiTheme="minorHAnsi" w:hAnsiTheme="minorHAnsi"/>
              </w:rPr>
            </w:pPr>
            <w:r w:rsidRPr="006B142F">
              <w:rPr>
                <w:rFonts w:asciiTheme="minorHAnsi" w:hAnsiTheme="minorHAnsi" w:cs="Arial"/>
                <w:lang w:eastAsia="en-NZ"/>
              </w:rPr>
              <w:t xml:space="preserve">means </w:t>
            </w:r>
          </w:p>
          <w:p w:rsidR="0089227F" w:rsidRPr="006B142F" w:rsidRDefault="0089227F" w:rsidP="0089227F">
            <w:pPr>
              <w:pStyle w:val="EquationsL2"/>
              <w:numPr>
                <w:ilvl w:val="0"/>
                <w:numId w:val="17"/>
              </w:numPr>
              <w:spacing w:line="264" w:lineRule="auto"/>
              <w:ind w:left="459" w:hanging="425"/>
              <w:rPr>
                <w:rFonts w:asciiTheme="minorHAnsi" w:hAnsiTheme="minorHAnsi"/>
              </w:rPr>
            </w:pPr>
            <w:r w:rsidRPr="006B142F">
              <w:rPr>
                <w:rFonts w:asciiTheme="minorHAnsi" w:hAnsiTheme="minorHAnsi" w:cs="Arial"/>
                <w:lang w:eastAsia="en-NZ"/>
              </w:rPr>
              <w:t xml:space="preserve">in relation to the </w:t>
            </w:r>
            <w:r w:rsidRPr="006B142F">
              <w:rPr>
                <w:rFonts w:asciiTheme="minorHAnsi" w:hAnsiTheme="minorHAnsi" w:cs="Arial"/>
                <w:bCs/>
                <w:lang w:eastAsia="en-NZ"/>
              </w:rPr>
              <w:t>works under construction</w:t>
            </w:r>
            <w:r w:rsidRPr="006B142F">
              <w:rPr>
                <w:rFonts w:asciiTheme="minorHAnsi" w:hAnsiTheme="minorHAnsi" w:cs="Arial"/>
                <w:lang w:eastAsia="en-NZ"/>
              </w:rPr>
              <w:t xml:space="preserve"> roll-forward, the change in </w:t>
            </w:r>
            <w:r w:rsidRPr="006B142F">
              <w:rPr>
                <w:rFonts w:asciiTheme="minorHAnsi" w:hAnsiTheme="minorHAnsi" w:cs="Arial"/>
                <w:bCs/>
                <w:lang w:eastAsia="en-NZ"/>
              </w:rPr>
              <w:t>works under construction</w:t>
            </w:r>
            <w:r w:rsidRPr="006B142F">
              <w:rPr>
                <w:rFonts w:asciiTheme="minorHAnsi" w:hAnsiTheme="minorHAnsi" w:cs="Arial"/>
                <w:lang w:eastAsia="en-NZ"/>
              </w:rPr>
              <w:t xml:space="preserve"> resulting from a change in asset allocation assumptions for assets included in </w:t>
            </w:r>
            <w:r w:rsidRPr="006B142F">
              <w:rPr>
                <w:rFonts w:asciiTheme="minorHAnsi" w:hAnsiTheme="minorHAnsi" w:cs="Arial"/>
                <w:bCs/>
                <w:lang w:eastAsia="en-NZ"/>
              </w:rPr>
              <w:t xml:space="preserve">works under construction, </w:t>
            </w:r>
            <w:r w:rsidRPr="006B142F">
              <w:rPr>
                <w:rFonts w:asciiTheme="minorHAnsi" w:hAnsiTheme="minorHAnsi" w:cs="Arial"/>
                <w:lang w:eastAsia="en-NZ"/>
              </w:rPr>
              <w:t xml:space="preserve">where increases in the value of </w:t>
            </w:r>
            <w:r w:rsidRPr="006B142F">
              <w:rPr>
                <w:rFonts w:asciiTheme="minorHAnsi" w:hAnsiTheme="minorHAnsi" w:cs="Arial"/>
                <w:bCs/>
                <w:lang w:eastAsia="en-NZ"/>
              </w:rPr>
              <w:t xml:space="preserve">works under construction </w:t>
            </w:r>
            <w:r w:rsidRPr="006B142F">
              <w:rPr>
                <w:rFonts w:asciiTheme="minorHAnsi" w:hAnsiTheme="minorHAnsi" w:cs="Arial"/>
                <w:lang w:eastAsia="en-NZ"/>
              </w:rPr>
              <w:t>are positive and decreases are negative</w:t>
            </w:r>
          </w:p>
          <w:p w:rsidR="0089227F" w:rsidRPr="006B142F" w:rsidRDefault="0089227F" w:rsidP="0089227F">
            <w:pPr>
              <w:pStyle w:val="EquationsL2"/>
              <w:numPr>
                <w:ilvl w:val="0"/>
                <w:numId w:val="17"/>
              </w:numPr>
              <w:spacing w:line="264" w:lineRule="auto"/>
              <w:ind w:left="459" w:hanging="425"/>
              <w:rPr>
                <w:rFonts w:asciiTheme="minorHAnsi" w:hAnsiTheme="minorHAnsi"/>
              </w:rPr>
            </w:pPr>
            <w:r w:rsidRPr="006B142F">
              <w:rPr>
                <w:rFonts w:asciiTheme="minorHAnsi" w:hAnsiTheme="minorHAnsi" w:cs="Arial"/>
                <w:lang w:eastAsia="en-NZ"/>
              </w:rPr>
              <w:t xml:space="preserve">in all other instances, the value of </w:t>
            </w:r>
            <w:r w:rsidRPr="006B142F">
              <w:rPr>
                <w:rFonts w:asciiTheme="minorHAnsi" w:hAnsiTheme="minorHAnsi" w:cs="Arial"/>
                <w:i/>
                <w:lang w:eastAsia="en-NZ"/>
              </w:rPr>
              <w:t xml:space="preserve">q </w:t>
            </w:r>
            <w:r w:rsidRPr="006B142F">
              <w:rPr>
                <w:rFonts w:asciiTheme="minorHAnsi" w:hAnsiTheme="minorHAnsi" w:cs="Arial"/>
                <w:lang w:eastAsia="en-NZ"/>
              </w:rPr>
              <w:t>calculated using the following formula:</w:t>
            </w:r>
          </w:p>
          <w:p w:rsidR="0089227F" w:rsidRPr="006B142F" w:rsidRDefault="0089227F" w:rsidP="0089227F">
            <w:pPr>
              <w:pStyle w:val="EquationsL2"/>
              <w:spacing w:line="264" w:lineRule="auto"/>
              <w:ind w:left="1134" w:firstLine="0"/>
              <w:rPr>
                <w:rFonts w:asciiTheme="minorHAnsi" w:hAnsiTheme="minorHAnsi"/>
              </w:rPr>
            </w:pPr>
            <w:r w:rsidRPr="006B142F">
              <w:rPr>
                <w:rFonts w:asciiTheme="minorHAnsi" w:hAnsiTheme="minorHAnsi"/>
                <w:position w:val="-10"/>
              </w:rPr>
              <w:object w:dxaOrig="200" w:dyaOrig="240">
                <v:shape id="_x0000_i1029" type="#_x0000_t75" style="width:10.3pt;height:12.15pt" o:ole="">
                  <v:imagedata r:id="rId75" o:title=""/>
                </v:shape>
                <o:OLEObject Type="Embed" ProgID="Equation.3" ShapeID="_x0000_i1029" DrawAspect="Content" ObjectID="_1403043773" r:id="rId76"/>
              </w:object>
            </w:r>
            <w:r w:rsidRPr="006B142F">
              <w:rPr>
                <w:rFonts w:asciiTheme="minorHAnsi" w:hAnsiTheme="minorHAnsi"/>
              </w:rPr>
              <w:tab/>
              <w:t>=</w:t>
            </w:r>
            <w:r w:rsidRPr="006B142F">
              <w:rPr>
                <w:rFonts w:asciiTheme="minorHAnsi" w:hAnsiTheme="minorHAnsi"/>
              </w:rPr>
              <w:tab/>
            </w:r>
            <w:r w:rsidRPr="006B142F">
              <w:rPr>
                <w:rFonts w:asciiTheme="minorHAnsi" w:hAnsiTheme="minorHAnsi"/>
                <w:position w:val="-10"/>
              </w:rPr>
              <w:object w:dxaOrig="2240" w:dyaOrig="320">
                <v:shape id="_x0000_i1030" type="#_x0000_t75" style="width:113.15pt;height:14.95pt" o:ole="">
                  <v:imagedata r:id="rId77" o:title=""/>
                </v:shape>
                <o:OLEObject Type="Embed" ProgID="Equation.3" ShapeID="_x0000_i1030" DrawAspect="Content" ObjectID="_1403043774" r:id="rId78"/>
              </w:object>
            </w:r>
          </w:p>
          <w:p w:rsidR="0089227F" w:rsidRPr="006B142F" w:rsidRDefault="0089227F" w:rsidP="0089227F">
            <w:pPr>
              <w:spacing w:line="264" w:lineRule="auto"/>
              <w:ind w:left="34"/>
              <w:rPr>
                <w:rFonts w:asciiTheme="minorHAnsi" w:hAnsiTheme="minorHAnsi" w:cs="Arial"/>
                <w:lang w:eastAsia="en-NZ"/>
              </w:rPr>
            </w:pPr>
            <w:r w:rsidRPr="006B142F">
              <w:rPr>
                <w:rFonts w:asciiTheme="minorHAnsi" w:hAnsiTheme="minorHAnsi" w:cs="Arial"/>
                <w:lang w:eastAsia="en-NZ"/>
              </w:rPr>
              <w:t>where:</w:t>
            </w:r>
          </w:p>
          <w:p w:rsidR="0089227F" w:rsidRPr="006B142F" w:rsidRDefault="0089227F" w:rsidP="0089227F">
            <w:pPr>
              <w:spacing w:line="264" w:lineRule="auto"/>
              <w:ind w:left="601" w:hanging="567"/>
              <w:rPr>
                <w:rFonts w:asciiTheme="minorHAnsi" w:hAnsiTheme="minorHAnsi" w:cs="Arial"/>
                <w:lang w:eastAsia="en-NZ"/>
              </w:rPr>
            </w:pPr>
            <w:r w:rsidRPr="006B142F">
              <w:rPr>
                <w:rFonts w:asciiTheme="minorHAnsi" w:hAnsiTheme="minorHAnsi"/>
                <w:position w:val="-6"/>
              </w:rPr>
              <w:object w:dxaOrig="200" w:dyaOrig="220">
                <v:shape id="_x0000_i1031" type="#_x0000_t75" style="width:10.3pt;height:12.15pt" o:ole="">
                  <v:imagedata r:id="rId79" o:title=""/>
                </v:shape>
                <o:OLEObject Type="Embed" ProgID="Equation.3" ShapeID="_x0000_i1031" DrawAspect="Content" ObjectID="_1403043775" r:id="rId80"/>
              </w:object>
            </w:r>
            <w:r w:rsidRPr="006B142F">
              <w:rPr>
                <w:rFonts w:asciiTheme="minorHAnsi" w:hAnsiTheme="minorHAnsi" w:cs="Arial"/>
                <w:lang w:eastAsia="en-NZ"/>
              </w:rPr>
              <w:t xml:space="preserve"> = </w:t>
            </w:r>
            <w:r w:rsidRPr="006B142F">
              <w:rPr>
                <w:rFonts w:asciiTheme="minorHAnsi" w:hAnsiTheme="minorHAnsi" w:cs="Arial"/>
                <w:lang w:eastAsia="en-NZ"/>
              </w:rPr>
              <w:tab/>
              <w:t>total closing RAB value</w:t>
            </w:r>
          </w:p>
          <w:p w:rsidR="0089227F" w:rsidRPr="006B142F" w:rsidRDefault="0089227F" w:rsidP="0089227F">
            <w:pPr>
              <w:spacing w:line="264" w:lineRule="auto"/>
              <w:ind w:left="601" w:hanging="567"/>
              <w:rPr>
                <w:rFonts w:asciiTheme="minorHAnsi" w:hAnsiTheme="minorHAnsi" w:cs="Arial"/>
                <w:lang w:eastAsia="en-NZ"/>
              </w:rPr>
            </w:pPr>
            <w:r w:rsidRPr="006B142F">
              <w:rPr>
                <w:rFonts w:asciiTheme="minorHAnsi" w:hAnsiTheme="minorHAnsi"/>
                <w:position w:val="-6"/>
              </w:rPr>
              <w:object w:dxaOrig="200" w:dyaOrig="279">
                <v:shape id="_x0000_i1032" type="#_x0000_t75" style="width:10.3pt;height:14.95pt" o:ole="">
                  <v:imagedata r:id="rId81" o:title=""/>
                </v:shape>
                <o:OLEObject Type="Embed" ProgID="Equation.3" ShapeID="_x0000_i1032" DrawAspect="Content" ObjectID="_1403043776" r:id="rId82"/>
              </w:object>
            </w:r>
            <w:r w:rsidRPr="006B142F">
              <w:rPr>
                <w:rFonts w:asciiTheme="minorHAnsi" w:hAnsiTheme="minorHAnsi" w:cs="Arial"/>
                <w:lang w:eastAsia="en-NZ"/>
              </w:rPr>
              <w:t xml:space="preserve"> = </w:t>
            </w:r>
            <w:r w:rsidRPr="006B142F">
              <w:rPr>
                <w:rFonts w:asciiTheme="minorHAnsi" w:hAnsiTheme="minorHAnsi" w:cs="Arial"/>
                <w:lang w:eastAsia="en-NZ"/>
              </w:rPr>
              <w:tab/>
              <w:t>total opening RAB value</w:t>
            </w:r>
          </w:p>
          <w:p w:rsidR="0089227F" w:rsidRPr="006B142F" w:rsidRDefault="0089227F" w:rsidP="0089227F">
            <w:pPr>
              <w:spacing w:line="264" w:lineRule="auto"/>
              <w:ind w:left="601" w:hanging="567"/>
              <w:rPr>
                <w:rFonts w:asciiTheme="minorHAnsi" w:hAnsiTheme="minorHAnsi" w:cs="Arial"/>
                <w:lang w:eastAsia="en-NZ"/>
              </w:rPr>
            </w:pPr>
            <w:r w:rsidRPr="006B142F">
              <w:rPr>
                <w:rFonts w:asciiTheme="minorHAnsi" w:hAnsiTheme="minorHAnsi"/>
                <w:position w:val="-6"/>
              </w:rPr>
              <w:object w:dxaOrig="180" w:dyaOrig="220">
                <v:shape id="_x0000_i1033" type="#_x0000_t75" style="width:10.3pt;height:12.15pt" o:ole="">
                  <v:imagedata r:id="rId83" o:title=""/>
                </v:shape>
                <o:OLEObject Type="Embed" ProgID="Equation.3" ShapeID="_x0000_i1033" DrawAspect="Content" ObjectID="_1403043777" r:id="rId84"/>
              </w:object>
            </w:r>
            <w:r w:rsidRPr="006B142F">
              <w:rPr>
                <w:rFonts w:asciiTheme="minorHAnsi" w:hAnsiTheme="minorHAnsi" w:cs="Arial"/>
                <w:lang w:eastAsia="en-NZ"/>
              </w:rPr>
              <w:t xml:space="preserve"> = </w:t>
            </w:r>
            <w:r w:rsidRPr="006B142F">
              <w:rPr>
                <w:rFonts w:asciiTheme="minorHAnsi" w:hAnsiTheme="minorHAnsi" w:cs="Arial"/>
                <w:lang w:eastAsia="en-NZ"/>
              </w:rPr>
              <w:tab/>
            </w:r>
            <w:r w:rsidRPr="006B142F">
              <w:rPr>
                <w:rFonts w:asciiTheme="minorHAnsi" w:hAnsiTheme="minorHAnsi" w:cs="Arial"/>
                <w:bCs/>
                <w:lang w:eastAsia="en-NZ"/>
              </w:rPr>
              <w:t>total depreciation</w:t>
            </w:r>
          </w:p>
          <w:p w:rsidR="0089227F" w:rsidRPr="006B142F" w:rsidRDefault="0089227F" w:rsidP="0089227F">
            <w:pPr>
              <w:spacing w:line="264" w:lineRule="auto"/>
              <w:ind w:left="601" w:hanging="567"/>
              <w:rPr>
                <w:rFonts w:asciiTheme="minorHAnsi" w:hAnsiTheme="minorHAnsi" w:cs="Arial"/>
                <w:lang w:eastAsia="en-NZ"/>
              </w:rPr>
            </w:pPr>
            <w:r w:rsidRPr="006B142F">
              <w:rPr>
                <w:rFonts w:asciiTheme="minorHAnsi" w:hAnsiTheme="minorHAnsi"/>
                <w:position w:val="-6"/>
              </w:rPr>
              <w:object w:dxaOrig="220" w:dyaOrig="279">
                <v:shape id="_x0000_i1034" type="#_x0000_t75" style="width:12.15pt;height:14.95pt" o:ole="">
                  <v:imagedata r:id="rId85" o:title=""/>
                </v:shape>
                <o:OLEObject Type="Embed" ProgID="Equation.3" ShapeID="_x0000_i1034" DrawAspect="Content" ObjectID="_1403043778" r:id="rId86"/>
              </w:object>
            </w:r>
            <w:r w:rsidRPr="006B142F">
              <w:rPr>
                <w:rFonts w:asciiTheme="minorHAnsi" w:hAnsiTheme="minorHAnsi" w:cs="Arial"/>
                <w:lang w:eastAsia="en-NZ"/>
              </w:rPr>
              <w:t xml:space="preserve"> = </w:t>
            </w:r>
            <w:r w:rsidRPr="006B142F">
              <w:rPr>
                <w:rFonts w:asciiTheme="minorHAnsi" w:hAnsiTheme="minorHAnsi" w:cs="Arial"/>
                <w:lang w:eastAsia="en-NZ"/>
              </w:rPr>
              <w:tab/>
            </w:r>
            <w:r w:rsidRPr="006B142F">
              <w:rPr>
                <w:rFonts w:asciiTheme="minorHAnsi" w:hAnsiTheme="minorHAnsi" w:cs="Arial"/>
                <w:bCs/>
                <w:lang w:eastAsia="en-NZ"/>
              </w:rPr>
              <w:t>total CPI revaluations</w:t>
            </w:r>
          </w:p>
          <w:p w:rsidR="0089227F" w:rsidRPr="006B142F" w:rsidRDefault="0089227F" w:rsidP="0089227F">
            <w:pPr>
              <w:spacing w:line="264" w:lineRule="auto"/>
              <w:ind w:left="601" w:hanging="567"/>
              <w:rPr>
                <w:rFonts w:asciiTheme="minorHAnsi" w:hAnsiTheme="minorHAnsi" w:cs="Arial"/>
                <w:lang w:eastAsia="en-NZ"/>
              </w:rPr>
            </w:pPr>
            <w:r w:rsidRPr="006B142F">
              <w:rPr>
                <w:rFonts w:asciiTheme="minorHAnsi" w:hAnsiTheme="minorHAnsi"/>
                <w:position w:val="-6"/>
              </w:rPr>
              <w:object w:dxaOrig="180" w:dyaOrig="220">
                <v:shape id="_x0000_i1035" type="#_x0000_t75" style="width:10.3pt;height:12.15pt" o:ole="">
                  <v:imagedata r:id="rId87" o:title=""/>
                </v:shape>
                <o:OLEObject Type="Embed" ProgID="Equation.3" ShapeID="_x0000_i1035" DrawAspect="Content" ObjectID="_1403043779" r:id="rId88"/>
              </w:object>
            </w:r>
            <w:r w:rsidRPr="006B142F">
              <w:rPr>
                <w:rFonts w:asciiTheme="minorHAnsi" w:hAnsiTheme="minorHAnsi"/>
                <w:position w:val="-6"/>
              </w:rPr>
              <w:t xml:space="preserve"> </w:t>
            </w:r>
            <w:r w:rsidRPr="006B142F">
              <w:rPr>
                <w:rFonts w:asciiTheme="minorHAnsi" w:hAnsiTheme="minorHAnsi" w:cs="Arial"/>
                <w:lang w:eastAsia="en-NZ"/>
              </w:rPr>
              <w:t xml:space="preserve">= </w:t>
            </w:r>
            <w:r w:rsidRPr="006B142F">
              <w:rPr>
                <w:rFonts w:asciiTheme="minorHAnsi" w:hAnsiTheme="minorHAnsi" w:cs="Arial"/>
                <w:lang w:eastAsia="en-NZ"/>
              </w:rPr>
              <w:tab/>
            </w:r>
            <w:r w:rsidRPr="006B142F">
              <w:rPr>
                <w:rFonts w:asciiTheme="minorHAnsi" w:hAnsiTheme="minorHAnsi" w:cs="Arial"/>
                <w:bCs/>
                <w:lang w:eastAsia="en-NZ"/>
              </w:rPr>
              <w:t>assets commissioned</w:t>
            </w:r>
          </w:p>
          <w:p w:rsidR="0089227F" w:rsidRPr="006B142F" w:rsidRDefault="0089227F" w:rsidP="0089227F">
            <w:pPr>
              <w:spacing w:line="264" w:lineRule="auto"/>
              <w:ind w:left="601" w:hanging="567"/>
              <w:rPr>
                <w:rFonts w:asciiTheme="minorHAnsi" w:hAnsiTheme="minorHAnsi" w:cs="Arial"/>
                <w:lang w:eastAsia="en-NZ"/>
              </w:rPr>
            </w:pPr>
            <w:r w:rsidRPr="006B142F">
              <w:rPr>
                <w:rFonts w:asciiTheme="minorHAnsi" w:hAnsiTheme="minorHAnsi"/>
                <w:position w:val="-10"/>
              </w:rPr>
              <w:object w:dxaOrig="240" w:dyaOrig="320">
                <v:shape id="_x0000_i1036" type="#_x0000_t75" style="width:12.15pt;height:14.95pt" o:ole="">
                  <v:imagedata r:id="rId89" o:title=""/>
                </v:shape>
                <o:OLEObject Type="Embed" ProgID="Equation.3" ShapeID="_x0000_i1036" DrawAspect="Content" ObjectID="_1403043780" r:id="rId90"/>
              </w:object>
            </w:r>
            <w:r w:rsidRPr="006B142F">
              <w:rPr>
                <w:rFonts w:asciiTheme="minorHAnsi" w:hAnsiTheme="minorHAnsi"/>
                <w:position w:val="-10"/>
              </w:rPr>
              <w:t xml:space="preserve"> </w:t>
            </w:r>
            <w:r w:rsidRPr="006B142F">
              <w:rPr>
                <w:rFonts w:asciiTheme="minorHAnsi" w:hAnsiTheme="minorHAnsi" w:cs="Arial"/>
                <w:lang w:eastAsia="en-NZ"/>
              </w:rPr>
              <w:t xml:space="preserve">= </w:t>
            </w:r>
            <w:r w:rsidRPr="006B142F">
              <w:rPr>
                <w:rFonts w:asciiTheme="minorHAnsi" w:hAnsiTheme="minorHAnsi" w:cs="Arial"/>
                <w:lang w:eastAsia="en-NZ"/>
              </w:rPr>
              <w:tab/>
            </w:r>
            <w:r w:rsidRPr="006B142F">
              <w:rPr>
                <w:rFonts w:asciiTheme="minorHAnsi" w:hAnsiTheme="minorHAnsi" w:cs="Arial"/>
                <w:bCs/>
                <w:lang w:eastAsia="en-NZ"/>
              </w:rPr>
              <w:t>asset disposals</w:t>
            </w:r>
          </w:p>
          <w:p w:rsidR="0089227F" w:rsidRPr="006B142F" w:rsidRDefault="0089227F" w:rsidP="0089227F">
            <w:pPr>
              <w:spacing w:line="264" w:lineRule="auto"/>
              <w:ind w:left="601" w:hanging="567"/>
              <w:rPr>
                <w:rFonts w:asciiTheme="minorHAnsi" w:hAnsiTheme="minorHAnsi" w:cs="Arial"/>
                <w:lang w:eastAsia="en-NZ"/>
              </w:rPr>
            </w:pPr>
            <w:r w:rsidRPr="006B142F">
              <w:rPr>
                <w:rFonts w:asciiTheme="minorHAnsi" w:hAnsiTheme="minorHAnsi"/>
                <w:position w:val="-10"/>
              </w:rPr>
              <w:object w:dxaOrig="220" w:dyaOrig="260">
                <v:shape id="_x0000_i1037" type="#_x0000_t75" style="width:12.15pt;height:14.05pt" o:ole="">
                  <v:imagedata r:id="rId91" o:title=""/>
                </v:shape>
                <o:OLEObject Type="Embed" ProgID="Equation.3" ShapeID="_x0000_i1037" DrawAspect="Content" ObjectID="_1403043781" r:id="rId92"/>
              </w:object>
            </w:r>
            <w:r w:rsidRPr="006B142F">
              <w:rPr>
                <w:rFonts w:asciiTheme="minorHAnsi" w:hAnsiTheme="minorHAnsi"/>
                <w:position w:val="-10"/>
              </w:rPr>
              <w:t xml:space="preserve"> </w:t>
            </w:r>
            <w:r w:rsidRPr="006B142F">
              <w:rPr>
                <w:rFonts w:asciiTheme="minorHAnsi" w:hAnsiTheme="minorHAnsi" w:cs="Arial"/>
                <w:lang w:eastAsia="en-NZ"/>
              </w:rPr>
              <w:t xml:space="preserve">= </w:t>
            </w:r>
            <w:r w:rsidRPr="006B142F">
              <w:rPr>
                <w:rFonts w:asciiTheme="minorHAnsi" w:hAnsiTheme="minorHAnsi" w:cs="Arial"/>
                <w:lang w:eastAsia="en-NZ"/>
              </w:rPr>
              <w:tab/>
            </w:r>
            <w:r w:rsidRPr="006B142F">
              <w:rPr>
                <w:rFonts w:asciiTheme="minorHAnsi" w:hAnsiTheme="minorHAnsi" w:cs="Arial"/>
                <w:bCs/>
                <w:lang w:eastAsia="en-NZ"/>
              </w:rPr>
              <w:t>lost and found assets adjustment</w:t>
            </w:r>
          </w:p>
          <w:p w:rsidR="0089227F" w:rsidRPr="006B142F" w:rsidRDefault="0089227F" w:rsidP="0089227F">
            <w:pPr>
              <w:spacing w:line="264" w:lineRule="auto"/>
              <w:ind w:left="34"/>
              <w:rPr>
                <w:rFonts w:asciiTheme="minorHAnsi" w:hAnsiTheme="minorHAnsi" w:cs="Arial"/>
                <w:lang w:eastAsia="en-NZ"/>
              </w:rPr>
            </w:pPr>
          </w:p>
          <w:p w:rsidR="0089227F" w:rsidRPr="006B142F" w:rsidRDefault="0089227F" w:rsidP="0089227F">
            <w:pPr>
              <w:spacing w:line="264" w:lineRule="auto"/>
              <w:rPr>
                <w:rFonts w:asciiTheme="minorHAnsi" w:hAnsiTheme="minorHAnsi" w:cs="Arial"/>
                <w:lang w:eastAsia="en-NZ"/>
              </w:rPr>
            </w:pPr>
            <w:r w:rsidRPr="006B142F">
              <w:rPr>
                <w:rFonts w:asciiTheme="minorHAnsi" w:hAnsiTheme="minorHAnsi" w:cs="Arial"/>
                <w:lang w:eastAsia="en-NZ"/>
              </w:rPr>
              <w:t xml:space="preserve">The formula must be calculated using component values that relate to the </w:t>
            </w:r>
            <w:r w:rsidRPr="006B142F">
              <w:rPr>
                <w:rFonts w:asciiTheme="minorHAnsi" w:hAnsiTheme="minorHAnsi" w:cs="Arial"/>
                <w:bCs/>
                <w:lang w:eastAsia="en-NZ"/>
              </w:rPr>
              <w:t>RAB.</w:t>
            </w:r>
            <w:r w:rsidRPr="006B142F">
              <w:rPr>
                <w:rFonts w:asciiTheme="minorHAnsi" w:hAnsiTheme="minorHAnsi" w:cs="Arial"/>
                <w:lang w:eastAsia="en-NZ"/>
              </w:rPr>
              <w:t xml:space="preserve">  These inputs are the values that result from the application of clause 2.1.1 of the </w:t>
            </w:r>
            <w:r w:rsidRPr="006B142F">
              <w:rPr>
                <w:rFonts w:asciiTheme="minorHAnsi" w:hAnsiTheme="minorHAnsi" w:cs="Arial"/>
                <w:bCs/>
                <w:lang w:eastAsia="en-NZ"/>
              </w:rPr>
              <w:t>IM determination</w:t>
            </w:r>
          </w:p>
        </w:tc>
      </w:tr>
      <w:tr w:rsidR="0089227F" w:rsidRPr="006B142F" w:rsidTr="00B20AEC">
        <w:trPr>
          <w:cantSplit/>
        </w:trPr>
        <w:tc>
          <w:tcPr>
            <w:tcW w:w="4621" w:type="dxa"/>
          </w:tcPr>
          <w:p w:rsidR="0089227F" w:rsidRPr="006B142F" w:rsidRDefault="0089227F" w:rsidP="0089227F">
            <w:pPr>
              <w:pStyle w:val="BodyText"/>
              <w:rPr>
                <w:rFonts w:asciiTheme="minorHAnsi" w:hAnsiTheme="minorHAnsi" w:cs="Arial"/>
                <w:bCs/>
                <w:lang w:eastAsia="en-NZ"/>
              </w:rPr>
            </w:pPr>
            <w:r w:rsidRPr="006B142F">
              <w:rPr>
                <w:rFonts w:asciiTheme="minorHAnsi" w:hAnsiTheme="minorHAnsi" w:cs="Arial"/>
                <w:bCs/>
                <w:lang w:eastAsia="en-NZ"/>
              </w:rPr>
              <w:t>Adjustment to reinstate 2009 modified asset values to unallocated amounts</w:t>
            </w:r>
          </w:p>
        </w:tc>
        <w:tc>
          <w:tcPr>
            <w:tcW w:w="4622" w:type="dxa"/>
          </w:tcPr>
          <w:p w:rsidR="0089227F" w:rsidRPr="006B142F" w:rsidRDefault="0089227F" w:rsidP="0089227F">
            <w:pPr>
              <w:pStyle w:val="EquationsL2"/>
              <w:ind w:left="34" w:firstLine="0"/>
              <w:rPr>
                <w:rFonts w:asciiTheme="minorHAnsi" w:hAnsiTheme="minorHAnsi" w:cs="Arial"/>
                <w:lang w:eastAsia="en-NZ"/>
              </w:rPr>
            </w:pPr>
            <w:r w:rsidRPr="006B142F">
              <w:rPr>
                <w:rFonts w:asciiTheme="minorHAnsi" w:hAnsiTheme="minorHAnsi" w:cs="Arial"/>
                <w:lang w:eastAsia="en-NZ"/>
              </w:rPr>
              <w:t xml:space="preserve">means the value of the adjustment required to the </w:t>
            </w:r>
            <w:r w:rsidRPr="006B142F">
              <w:rPr>
                <w:rFonts w:asciiTheme="minorHAnsi" w:hAnsiTheme="minorHAnsi" w:cs="Arial"/>
                <w:bCs/>
                <w:lang w:eastAsia="en-NZ"/>
              </w:rPr>
              <w:t xml:space="preserve">2009 modified asset values </w:t>
            </w:r>
            <w:r w:rsidRPr="006B142F">
              <w:rPr>
                <w:rFonts w:asciiTheme="minorHAnsi" w:hAnsiTheme="minorHAnsi" w:cs="Arial"/>
                <w:lang w:eastAsia="en-NZ"/>
              </w:rPr>
              <w:t xml:space="preserve">so the resultant value represents the unallocated </w:t>
            </w:r>
            <w:r w:rsidRPr="006B142F">
              <w:rPr>
                <w:rFonts w:asciiTheme="minorHAnsi" w:hAnsiTheme="minorHAnsi" w:cs="Arial"/>
                <w:bCs/>
                <w:lang w:eastAsia="en-NZ"/>
              </w:rPr>
              <w:t>2009 modified asset values</w:t>
            </w:r>
          </w:p>
        </w:tc>
      </w:tr>
      <w:tr w:rsidR="0089227F" w:rsidRPr="006B142F" w:rsidTr="00B20AEC">
        <w:trPr>
          <w:cantSplit/>
        </w:trPr>
        <w:tc>
          <w:tcPr>
            <w:tcW w:w="4621" w:type="dxa"/>
          </w:tcPr>
          <w:p w:rsidR="0089227F" w:rsidRPr="006B142F" w:rsidRDefault="0089227F" w:rsidP="0089227F">
            <w:pPr>
              <w:rPr>
                <w:rFonts w:asciiTheme="minorHAnsi" w:hAnsiTheme="minorHAnsi"/>
                <w:color w:val="000000"/>
                <w:lang w:val="en-AU"/>
              </w:rPr>
            </w:pPr>
            <w:r w:rsidRPr="006B142F">
              <w:rPr>
                <w:rFonts w:asciiTheme="minorHAnsi" w:hAnsiTheme="minorHAnsi"/>
                <w:color w:val="000000"/>
                <w:lang w:val="en-AU"/>
              </w:rPr>
              <w:t>All other projects or programmes</w:t>
            </w:r>
          </w:p>
        </w:tc>
        <w:tc>
          <w:tcPr>
            <w:tcW w:w="4622" w:type="dxa"/>
          </w:tcPr>
          <w:p w:rsidR="0089227F" w:rsidRPr="006B142F" w:rsidRDefault="0089227F" w:rsidP="0089227F">
            <w:pPr>
              <w:pStyle w:val="BodyText"/>
              <w:rPr>
                <w:rFonts w:asciiTheme="minorHAnsi" w:hAnsiTheme="minorHAnsi"/>
                <w:lang w:val="en-AU"/>
              </w:rPr>
            </w:pPr>
            <w:proofErr w:type="gramStart"/>
            <w:r w:rsidRPr="006B142F">
              <w:rPr>
                <w:rFonts w:asciiTheme="minorHAnsi" w:hAnsiTheme="minorHAnsi"/>
                <w:lang w:val="en-AU"/>
              </w:rPr>
              <w:t>means</w:t>
            </w:r>
            <w:proofErr w:type="gramEnd"/>
            <w:r w:rsidRPr="006B142F">
              <w:rPr>
                <w:rFonts w:asciiTheme="minorHAnsi" w:hAnsiTheme="minorHAnsi"/>
                <w:lang w:val="en-AU"/>
              </w:rPr>
              <w:t>, within an expenditure category, the total of projects and programmes that are not material projects and programmes.</w:t>
            </w:r>
          </w:p>
        </w:tc>
      </w:tr>
      <w:tr w:rsidR="0089227F" w:rsidRPr="006B142F" w:rsidTr="00B20AEC">
        <w:trPr>
          <w:cantSplit/>
        </w:trPr>
        <w:tc>
          <w:tcPr>
            <w:tcW w:w="4621" w:type="dxa"/>
          </w:tcPr>
          <w:p w:rsidR="0089227F" w:rsidRPr="006B142F" w:rsidRDefault="0089227F" w:rsidP="0089227F">
            <w:pPr>
              <w:pStyle w:val="BodyText"/>
              <w:rPr>
                <w:rFonts w:asciiTheme="minorHAnsi" w:hAnsiTheme="minorHAnsi" w:cs="Arial"/>
                <w:bCs/>
                <w:lang w:eastAsia="en-NZ"/>
              </w:rPr>
            </w:pPr>
            <w:r w:rsidRPr="006B142F">
              <w:rPr>
                <w:rFonts w:asciiTheme="minorHAnsi" w:hAnsiTheme="minorHAnsi" w:cs="Arial"/>
                <w:bCs/>
                <w:lang w:eastAsia="en-NZ"/>
              </w:rPr>
              <w:t>Allocated works under construction</w:t>
            </w:r>
          </w:p>
        </w:tc>
        <w:tc>
          <w:tcPr>
            <w:tcW w:w="4622" w:type="dxa"/>
          </w:tcPr>
          <w:p w:rsidR="0089227F" w:rsidRPr="006B142F" w:rsidRDefault="0089227F" w:rsidP="0089227F">
            <w:pPr>
              <w:pStyle w:val="EquationsL2"/>
              <w:ind w:left="34" w:firstLine="0"/>
              <w:rPr>
                <w:rFonts w:asciiTheme="minorHAnsi" w:hAnsiTheme="minorHAnsi" w:cs="Arial"/>
                <w:lang w:eastAsia="en-NZ"/>
              </w:rPr>
            </w:pPr>
            <w:r w:rsidRPr="006B142F">
              <w:rPr>
                <w:rFonts w:asciiTheme="minorHAnsi" w:hAnsiTheme="minorHAnsi" w:cs="Arial"/>
                <w:lang w:eastAsia="en-NZ"/>
              </w:rPr>
              <w:t xml:space="preserve">means, for the components of the works under construction roll-forward, the works under construction values after the application of clause 2.1.1 of the </w:t>
            </w:r>
            <w:r w:rsidRPr="006B142F">
              <w:rPr>
                <w:rFonts w:asciiTheme="minorHAnsi" w:hAnsiTheme="minorHAnsi" w:cs="Arial"/>
                <w:bCs/>
                <w:lang w:eastAsia="en-NZ"/>
              </w:rPr>
              <w:t>IM determination</w:t>
            </w:r>
          </w:p>
        </w:tc>
      </w:tr>
      <w:tr w:rsidR="0089227F" w:rsidRPr="006B142F" w:rsidTr="00B20AEC">
        <w:trPr>
          <w:cantSplit/>
        </w:trPr>
        <w:tc>
          <w:tcPr>
            <w:tcW w:w="4621" w:type="dxa"/>
          </w:tcPr>
          <w:p w:rsidR="0089227F" w:rsidRPr="006B142F" w:rsidRDefault="0089227F" w:rsidP="0089227F">
            <w:pPr>
              <w:pStyle w:val="BodyText"/>
              <w:rPr>
                <w:rFonts w:asciiTheme="minorHAnsi" w:hAnsiTheme="minorHAnsi" w:cs="Arial"/>
                <w:bCs/>
                <w:lang w:eastAsia="en-NZ"/>
              </w:rPr>
            </w:pPr>
            <w:r w:rsidRPr="006B142F">
              <w:rPr>
                <w:rFonts w:asciiTheme="minorHAnsi" w:hAnsiTheme="minorHAnsi" w:cs="Arial"/>
                <w:bCs/>
                <w:lang w:eastAsia="en-NZ"/>
              </w:rPr>
              <w:t>Allocation methodology type</w:t>
            </w:r>
          </w:p>
        </w:tc>
        <w:tc>
          <w:tcPr>
            <w:tcW w:w="4622" w:type="dxa"/>
          </w:tcPr>
          <w:p w:rsidR="0089227F" w:rsidRPr="006B142F" w:rsidRDefault="0089227F" w:rsidP="0089227F">
            <w:pPr>
              <w:pStyle w:val="EquationsL2"/>
              <w:ind w:left="34" w:firstLine="0"/>
              <w:rPr>
                <w:rFonts w:asciiTheme="minorHAnsi" w:hAnsiTheme="minorHAnsi" w:cs="Arial"/>
                <w:lang w:eastAsia="en-NZ"/>
              </w:rPr>
            </w:pPr>
            <w:r w:rsidRPr="006B142F">
              <w:rPr>
                <w:rFonts w:asciiTheme="minorHAnsi" w:hAnsiTheme="minorHAnsi" w:cs="Arial"/>
                <w:lang w:eastAsia="en-NZ"/>
              </w:rPr>
              <w:t>has the meaning set out in the</w:t>
            </w:r>
            <w:r w:rsidRPr="006B142F">
              <w:rPr>
                <w:rFonts w:asciiTheme="minorHAnsi" w:hAnsiTheme="minorHAnsi" w:cs="Arial"/>
                <w:bCs/>
                <w:lang w:eastAsia="en-NZ"/>
              </w:rPr>
              <w:t xml:space="preserve"> IM determination</w:t>
            </w:r>
          </w:p>
        </w:tc>
      </w:tr>
      <w:tr w:rsidR="0089227F" w:rsidRPr="006B142F" w:rsidTr="00B20AEC">
        <w:trPr>
          <w:cantSplit/>
        </w:trPr>
        <w:tc>
          <w:tcPr>
            <w:tcW w:w="4621" w:type="dxa"/>
          </w:tcPr>
          <w:p w:rsidR="0089227F" w:rsidRPr="006B142F" w:rsidRDefault="0089227F" w:rsidP="0089227F">
            <w:pPr>
              <w:pStyle w:val="BodyText"/>
              <w:rPr>
                <w:rFonts w:asciiTheme="minorHAnsi" w:hAnsiTheme="minorHAnsi" w:cs="Arial"/>
                <w:bCs/>
                <w:lang w:eastAsia="en-NZ"/>
              </w:rPr>
            </w:pPr>
            <w:proofErr w:type="spellStart"/>
            <w:r w:rsidRPr="006B142F">
              <w:rPr>
                <w:rFonts w:asciiTheme="minorHAnsi" w:hAnsiTheme="minorHAnsi" w:cs="Arial"/>
                <w:bCs/>
                <w:lang w:eastAsia="en-NZ"/>
              </w:rPr>
              <w:t>Allocator</w:t>
            </w:r>
            <w:proofErr w:type="spellEnd"/>
            <w:r w:rsidRPr="006B142F">
              <w:rPr>
                <w:rFonts w:asciiTheme="minorHAnsi" w:hAnsiTheme="minorHAnsi" w:cs="Arial"/>
                <w:bCs/>
                <w:lang w:eastAsia="en-NZ"/>
              </w:rPr>
              <w:t xml:space="preserve"> metric</w:t>
            </w:r>
          </w:p>
        </w:tc>
        <w:tc>
          <w:tcPr>
            <w:tcW w:w="4622" w:type="dxa"/>
          </w:tcPr>
          <w:p w:rsidR="0089227F" w:rsidRPr="006B142F" w:rsidRDefault="0089227F" w:rsidP="0089227F">
            <w:pPr>
              <w:pStyle w:val="EquationsL2"/>
              <w:ind w:left="34" w:firstLine="0"/>
              <w:rPr>
                <w:rFonts w:asciiTheme="minorHAnsi" w:hAnsiTheme="minorHAnsi" w:cs="Arial"/>
                <w:lang w:eastAsia="en-NZ"/>
              </w:rPr>
            </w:pPr>
            <w:r w:rsidRPr="006B142F">
              <w:rPr>
                <w:rFonts w:asciiTheme="minorHAnsi" w:hAnsiTheme="minorHAnsi" w:cs="Arial"/>
                <w:lang w:eastAsia="en-NZ"/>
              </w:rPr>
              <w:t>has the meaning set out in the</w:t>
            </w:r>
            <w:r w:rsidRPr="006B142F">
              <w:rPr>
                <w:rFonts w:asciiTheme="minorHAnsi" w:hAnsiTheme="minorHAnsi" w:cs="Arial"/>
                <w:bCs/>
                <w:lang w:eastAsia="en-NZ"/>
              </w:rPr>
              <w:t xml:space="preserve"> IM determination</w:t>
            </w:r>
          </w:p>
        </w:tc>
      </w:tr>
      <w:tr w:rsidR="0089227F" w:rsidRPr="006B142F" w:rsidTr="00B20AEC">
        <w:trPr>
          <w:cantSplit/>
        </w:trPr>
        <w:tc>
          <w:tcPr>
            <w:tcW w:w="4621" w:type="dxa"/>
          </w:tcPr>
          <w:p w:rsidR="0089227F" w:rsidRPr="006B142F" w:rsidRDefault="0089227F" w:rsidP="0089227F">
            <w:pPr>
              <w:pStyle w:val="BodyText"/>
              <w:rPr>
                <w:rFonts w:asciiTheme="minorHAnsi" w:hAnsiTheme="minorHAnsi" w:cs="Arial"/>
                <w:bCs/>
                <w:lang w:eastAsia="en-NZ"/>
              </w:rPr>
            </w:pPr>
            <w:proofErr w:type="spellStart"/>
            <w:r w:rsidRPr="006B142F">
              <w:rPr>
                <w:rFonts w:asciiTheme="minorHAnsi" w:hAnsiTheme="minorHAnsi" w:cs="Arial"/>
                <w:bCs/>
                <w:lang w:eastAsia="en-NZ"/>
              </w:rPr>
              <w:t>Allocator</w:t>
            </w:r>
            <w:proofErr w:type="spellEnd"/>
            <w:r w:rsidRPr="006B142F">
              <w:rPr>
                <w:rFonts w:asciiTheme="minorHAnsi" w:hAnsiTheme="minorHAnsi" w:cs="Arial"/>
                <w:bCs/>
                <w:lang w:eastAsia="en-NZ"/>
              </w:rPr>
              <w:t xml:space="preserve"> type</w:t>
            </w:r>
          </w:p>
        </w:tc>
        <w:tc>
          <w:tcPr>
            <w:tcW w:w="4622" w:type="dxa"/>
          </w:tcPr>
          <w:p w:rsidR="0089227F" w:rsidRPr="006B142F" w:rsidRDefault="0089227F" w:rsidP="0089227F">
            <w:pPr>
              <w:pStyle w:val="EquationsL2"/>
              <w:ind w:left="34" w:firstLine="0"/>
              <w:rPr>
                <w:rFonts w:asciiTheme="minorHAnsi" w:hAnsiTheme="minorHAnsi" w:cs="Arial"/>
                <w:lang w:eastAsia="en-NZ"/>
              </w:rPr>
            </w:pPr>
            <w:r w:rsidRPr="006B142F">
              <w:rPr>
                <w:rFonts w:asciiTheme="minorHAnsi" w:hAnsiTheme="minorHAnsi" w:cs="Arial"/>
                <w:lang w:eastAsia="en-NZ"/>
              </w:rPr>
              <w:t>has the meaning set out in the</w:t>
            </w:r>
            <w:r w:rsidRPr="006B142F">
              <w:rPr>
                <w:rFonts w:asciiTheme="minorHAnsi" w:hAnsiTheme="minorHAnsi" w:cs="Arial"/>
                <w:bCs/>
                <w:lang w:eastAsia="en-NZ"/>
              </w:rPr>
              <w:t xml:space="preserve"> IM determination</w:t>
            </w:r>
          </w:p>
        </w:tc>
      </w:tr>
      <w:tr w:rsidR="0089227F" w:rsidRPr="006B142F" w:rsidTr="00B20AEC">
        <w:trPr>
          <w:cantSplit/>
        </w:trPr>
        <w:tc>
          <w:tcPr>
            <w:tcW w:w="4621" w:type="dxa"/>
          </w:tcPr>
          <w:p w:rsidR="0089227F" w:rsidRPr="006B142F" w:rsidRDefault="0089227F" w:rsidP="0089227F">
            <w:pPr>
              <w:pStyle w:val="BodyText"/>
              <w:rPr>
                <w:rFonts w:asciiTheme="minorHAnsi" w:hAnsiTheme="minorHAnsi" w:cs="Arial"/>
                <w:bCs/>
                <w:lang w:eastAsia="en-NZ"/>
              </w:rPr>
            </w:pPr>
            <w:r w:rsidRPr="006B142F">
              <w:rPr>
                <w:rFonts w:asciiTheme="minorHAnsi" w:hAnsiTheme="minorHAnsi" w:cs="Arial"/>
                <w:bCs/>
                <w:lang w:eastAsia="en-NZ"/>
              </w:rPr>
              <w:t xml:space="preserve">Allowed controllable </w:t>
            </w:r>
            <w:proofErr w:type="spellStart"/>
            <w:r w:rsidRPr="006B142F">
              <w:rPr>
                <w:rFonts w:asciiTheme="minorHAnsi" w:hAnsiTheme="minorHAnsi" w:cs="Arial"/>
                <w:bCs/>
                <w:lang w:eastAsia="en-NZ"/>
              </w:rPr>
              <w:t>opex</w:t>
            </w:r>
            <w:proofErr w:type="spellEnd"/>
          </w:p>
        </w:tc>
        <w:tc>
          <w:tcPr>
            <w:tcW w:w="4622" w:type="dxa"/>
          </w:tcPr>
          <w:p w:rsidR="0089227F" w:rsidRPr="006B142F" w:rsidRDefault="0089227F" w:rsidP="0089227F">
            <w:pPr>
              <w:pStyle w:val="EquationsL2"/>
              <w:ind w:left="34" w:firstLine="0"/>
              <w:rPr>
                <w:rFonts w:asciiTheme="minorHAnsi" w:hAnsiTheme="minorHAnsi" w:cs="Arial"/>
                <w:lang w:eastAsia="en-NZ"/>
              </w:rPr>
            </w:pPr>
            <w:r w:rsidRPr="006B142F">
              <w:rPr>
                <w:rFonts w:asciiTheme="minorHAnsi" w:hAnsiTheme="minorHAnsi" w:cs="Arial"/>
                <w:lang w:eastAsia="en-NZ"/>
              </w:rPr>
              <w:t>has the meaning set out in the IM determination</w:t>
            </w:r>
          </w:p>
        </w:tc>
      </w:tr>
      <w:tr w:rsidR="0089227F" w:rsidRPr="006B142F" w:rsidTr="00B20AEC">
        <w:trPr>
          <w:cantSplit/>
        </w:trPr>
        <w:tc>
          <w:tcPr>
            <w:tcW w:w="4621" w:type="dxa"/>
          </w:tcPr>
          <w:p w:rsidR="0089227F" w:rsidRPr="006B142F" w:rsidRDefault="0089227F" w:rsidP="0089227F">
            <w:pPr>
              <w:pStyle w:val="BodyText"/>
              <w:rPr>
                <w:rFonts w:asciiTheme="minorHAnsi" w:hAnsiTheme="minorHAnsi" w:cs="Arial"/>
                <w:bCs/>
                <w:lang w:eastAsia="en-NZ"/>
              </w:rPr>
            </w:pPr>
            <w:r w:rsidRPr="006B142F">
              <w:rPr>
                <w:rFonts w:asciiTheme="minorHAnsi" w:hAnsiTheme="minorHAnsi" w:cs="Arial"/>
                <w:bCs/>
                <w:lang w:eastAsia="en-NZ"/>
              </w:rPr>
              <w:t>Alternative closing RIV</w:t>
            </w:r>
          </w:p>
        </w:tc>
        <w:tc>
          <w:tcPr>
            <w:tcW w:w="4622" w:type="dxa"/>
          </w:tcPr>
          <w:p w:rsidR="0089227F" w:rsidRPr="006B142F" w:rsidRDefault="0089227F" w:rsidP="0089227F">
            <w:pPr>
              <w:rPr>
                <w:rFonts w:asciiTheme="minorHAnsi" w:hAnsiTheme="minorHAnsi"/>
              </w:rPr>
            </w:pPr>
            <w:r w:rsidRPr="006B142F">
              <w:rPr>
                <w:rFonts w:asciiTheme="minorHAnsi" w:hAnsiTheme="minorHAnsi"/>
              </w:rPr>
              <w:t>means total closing RAB value less adjustment resulting from cost allocation less lost and found assets adjustment plus closing deferred tax plus revenue related working capital</w:t>
            </w:r>
          </w:p>
        </w:tc>
      </w:tr>
      <w:tr w:rsidR="0089227F" w:rsidRPr="006B142F" w:rsidTr="00B20AEC">
        <w:trPr>
          <w:cantSplit/>
        </w:trPr>
        <w:tc>
          <w:tcPr>
            <w:tcW w:w="4621" w:type="dxa"/>
          </w:tcPr>
          <w:p w:rsidR="0089227F" w:rsidRPr="006B142F" w:rsidRDefault="0089227F" w:rsidP="0089227F">
            <w:pPr>
              <w:pStyle w:val="BodyText"/>
              <w:rPr>
                <w:rFonts w:asciiTheme="minorHAnsi" w:hAnsiTheme="minorHAnsi" w:cs="Arial"/>
                <w:bCs/>
                <w:lang w:eastAsia="en-NZ"/>
              </w:rPr>
            </w:pPr>
            <w:r w:rsidRPr="006B142F">
              <w:rPr>
                <w:rFonts w:asciiTheme="minorHAnsi" w:hAnsiTheme="minorHAnsi" w:cs="Arial"/>
                <w:bCs/>
                <w:lang w:eastAsia="en-NZ"/>
              </w:rPr>
              <w:t>Alternative opening RIV</w:t>
            </w:r>
          </w:p>
        </w:tc>
        <w:tc>
          <w:tcPr>
            <w:tcW w:w="4622" w:type="dxa"/>
          </w:tcPr>
          <w:p w:rsidR="0089227F" w:rsidRPr="006B142F" w:rsidRDefault="0089227F" w:rsidP="0089227F">
            <w:pPr>
              <w:rPr>
                <w:rFonts w:asciiTheme="minorHAnsi" w:hAnsiTheme="minorHAnsi"/>
              </w:rPr>
            </w:pPr>
            <w:r w:rsidRPr="006B142F">
              <w:rPr>
                <w:rFonts w:asciiTheme="minorHAnsi" w:hAnsiTheme="minorHAnsi"/>
              </w:rPr>
              <w:t xml:space="preserve">means the sum of total opening RAB value plus opening deferred tax plus revenue related working capital </w:t>
            </w:r>
          </w:p>
        </w:tc>
      </w:tr>
      <w:tr w:rsidR="0089227F" w:rsidRPr="006B142F" w:rsidTr="00B20AEC">
        <w:trPr>
          <w:cantSplit/>
        </w:trPr>
        <w:tc>
          <w:tcPr>
            <w:tcW w:w="4621" w:type="dxa"/>
          </w:tcPr>
          <w:p w:rsidR="0089227F" w:rsidRPr="006B142F" w:rsidRDefault="0089227F" w:rsidP="0089227F">
            <w:pPr>
              <w:pStyle w:val="BodyText"/>
              <w:rPr>
                <w:rFonts w:asciiTheme="minorHAnsi" w:hAnsiTheme="minorHAnsi" w:cs="Arial"/>
                <w:bCs/>
                <w:lang w:eastAsia="en-NZ"/>
              </w:rPr>
            </w:pPr>
            <w:r w:rsidRPr="006B142F">
              <w:rPr>
                <w:rFonts w:asciiTheme="minorHAnsi" w:hAnsiTheme="minorHAnsi" w:cs="Arial"/>
                <w:bCs/>
                <w:lang w:eastAsia="en-NZ"/>
              </w:rPr>
              <w:t>Alternative ROI – comparable to a post-tax WACC</w:t>
            </w:r>
          </w:p>
        </w:tc>
        <w:tc>
          <w:tcPr>
            <w:tcW w:w="4622" w:type="dxa"/>
          </w:tcPr>
          <w:p w:rsidR="0089227F" w:rsidRPr="006B142F" w:rsidRDefault="0089227F" w:rsidP="0089227F">
            <w:pPr>
              <w:rPr>
                <w:rFonts w:asciiTheme="minorHAnsi" w:hAnsiTheme="minorHAnsi"/>
              </w:rPr>
            </w:pPr>
            <w:r w:rsidRPr="006B142F">
              <w:rPr>
                <w:rFonts w:asciiTheme="minorHAnsi" w:hAnsiTheme="minorHAnsi"/>
              </w:rPr>
              <w:t xml:space="preserve">means the alternative </w:t>
            </w:r>
            <w:r w:rsidRPr="006B142F">
              <w:rPr>
                <w:rFonts w:asciiTheme="minorHAnsi" w:hAnsiTheme="minorHAnsi"/>
                <w:bCs/>
              </w:rPr>
              <w:t>ROI comparable to the vanilla WACC</w:t>
            </w:r>
            <w:r w:rsidRPr="006B142F">
              <w:rPr>
                <w:rFonts w:asciiTheme="minorHAnsi" w:hAnsiTheme="minorHAnsi"/>
              </w:rPr>
              <w:t xml:space="preserve"> less the product of the </w:t>
            </w:r>
            <w:r w:rsidRPr="006B142F">
              <w:rPr>
                <w:rFonts w:asciiTheme="minorHAnsi" w:hAnsiTheme="minorHAnsi"/>
                <w:bCs/>
              </w:rPr>
              <w:t>cost of debt (%), the leverage</w:t>
            </w:r>
            <w:r w:rsidRPr="006B142F">
              <w:rPr>
                <w:rFonts w:asciiTheme="minorHAnsi" w:hAnsiTheme="minorHAnsi"/>
              </w:rPr>
              <w:t xml:space="preserve"> and the </w:t>
            </w:r>
            <w:r w:rsidRPr="006B142F">
              <w:rPr>
                <w:rFonts w:asciiTheme="minorHAnsi" w:hAnsiTheme="minorHAnsi"/>
                <w:bCs/>
              </w:rPr>
              <w:t>corporate tax rate</w:t>
            </w:r>
          </w:p>
        </w:tc>
      </w:tr>
      <w:tr w:rsidR="0089227F" w:rsidRPr="006B142F" w:rsidTr="00B20AEC">
        <w:trPr>
          <w:cantSplit/>
        </w:trPr>
        <w:tc>
          <w:tcPr>
            <w:tcW w:w="4621" w:type="dxa"/>
          </w:tcPr>
          <w:p w:rsidR="0089227F" w:rsidRPr="006B142F" w:rsidRDefault="0089227F" w:rsidP="0089227F">
            <w:pPr>
              <w:pStyle w:val="BodyText"/>
              <w:rPr>
                <w:rFonts w:asciiTheme="minorHAnsi" w:hAnsiTheme="minorHAnsi" w:cs="Arial"/>
                <w:bCs/>
                <w:lang w:eastAsia="en-NZ"/>
              </w:rPr>
            </w:pPr>
            <w:r w:rsidRPr="006B142F">
              <w:rPr>
                <w:rFonts w:asciiTheme="minorHAnsi" w:hAnsiTheme="minorHAnsi" w:cs="Arial"/>
                <w:bCs/>
                <w:lang w:eastAsia="en-NZ"/>
              </w:rPr>
              <w:t>Alternative ROI – comparable to a vanilla WACC</w:t>
            </w:r>
          </w:p>
        </w:tc>
        <w:tc>
          <w:tcPr>
            <w:tcW w:w="4622" w:type="dxa"/>
          </w:tcPr>
          <w:p w:rsidR="0089227F" w:rsidRPr="006B142F" w:rsidRDefault="0089227F" w:rsidP="0089227F">
            <w:pPr>
              <w:spacing w:line="264" w:lineRule="auto"/>
              <w:rPr>
                <w:rFonts w:asciiTheme="minorHAnsi" w:hAnsiTheme="minorHAnsi"/>
              </w:rPr>
            </w:pPr>
            <w:r w:rsidRPr="006B142F">
              <w:rPr>
                <w:rFonts w:asciiTheme="minorHAnsi" w:hAnsiTheme="minorHAnsi"/>
              </w:rPr>
              <w:t>means:</w:t>
            </w:r>
          </w:p>
          <w:p w:rsidR="0089227F" w:rsidRPr="006B142F" w:rsidRDefault="0089227F" w:rsidP="0089227F">
            <w:pPr>
              <w:pStyle w:val="EquationsL2"/>
              <w:spacing w:line="264" w:lineRule="auto"/>
              <w:ind w:left="1134" w:firstLine="0"/>
              <w:rPr>
                <w:rFonts w:asciiTheme="minorHAnsi" w:hAnsiTheme="minorHAnsi"/>
                <w:i/>
                <w:position w:val="-10"/>
              </w:rPr>
            </w:pPr>
            <w:r w:rsidRPr="006B142F">
              <w:rPr>
                <w:rFonts w:asciiTheme="minorHAnsi" w:hAnsiTheme="minorHAnsi"/>
                <w:i/>
                <w:position w:val="-10"/>
              </w:rPr>
              <w:t>q = (1 + monthly IRR)</w:t>
            </w:r>
            <w:r w:rsidRPr="006B142F">
              <w:rPr>
                <w:rFonts w:asciiTheme="minorHAnsi" w:hAnsiTheme="minorHAnsi"/>
                <w:i/>
                <w:position w:val="-10"/>
                <w:vertAlign w:val="superscript"/>
              </w:rPr>
              <w:t>12</w:t>
            </w:r>
            <w:r w:rsidRPr="006B142F">
              <w:rPr>
                <w:rFonts w:asciiTheme="minorHAnsi" w:hAnsiTheme="minorHAnsi"/>
                <w:i/>
                <w:position w:val="-10"/>
              </w:rPr>
              <w:t xml:space="preserve"> – 1</w:t>
            </w:r>
          </w:p>
          <w:p w:rsidR="0089227F" w:rsidRPr="006B142F" w:rsidRDefault="0089227F" w:rsidP="0089227F">
            <w:pPr>
              <w:spacing w:line="264" w:lineRule="auto"/>
              <w:ind w:left="34"/>
              <w:rPr>
                <w:rFonts w:asciiTheme="minorHAnsi" w:hAnsiTheme="minorHAnsi"/>
              </w:rPr>
            </w:pPr>
            <w:r w:rsidRPr="006B142F">
              <w:rPr>
                <w:rFonts w:asciiTheme="minorHAnsi" w:hAnsiTheme="minorHAnsi"/>
              </w:rPr>
              <w:t>where:</w:t>
            </w:r>
          </w:p>
          <w:p w:rsidR="0089227F" w:rsidRPr="006B142F" w:rsidRDefault="0089227F" w:rsidP="0089227F">
            <w:pPr>
              <w:spacing w:line="264" w:lineRule="auto"/>
              <w:ind w:left="34"/>
              <w:rPr>
                <w:rFonts w:asciiTheme="minorHAnsi" w:hAnsiTheme="minorHAnsi"/>
              </w:rPr>
            </w:pPr>
            <w:r w:rsidRPr="006B142F">
              <w:rPr>
                <w:rFonts w:asciiTheme="minorHAnsi" w:hAnsiTheme="minorHAnsi"/>
                <w:i/>
              </w:rPr>
              <w:t>monthly IRR</w:t>
            </w:r>
            <w:r w:rsidRPr="006B142F">
              <w:rPr>
                <w:rFonts w:asciiTheme="minorHAnsi" w:hAnsiTheme="minorHAnsi"/>
              </w:rPr>
              <w:t xml:space="preserve"> = IRR (13 monthly amounts)</w:t>
            </w:r>
          </w:p>
          <w:p w:rsidR="0089227F" w:rsidRPr="006B142F" w:rsidRDefault="0089227F" w:rsidP="0089227F">
            <w:pPr>
              <w:spacing w:line="264" w:lineRule="auto"/>
              <w:ind w:left="34"/>
              <w:rPr>
                <w:rFonts w:asciiTheme="minorHAnsi" w:hAnsiTheme="minorHAnsi"/>
              </w:rPr>
            </w:pPr>
          </w:p>
          <w:p w:rsidR="0089227F" w:rsidRPr="006B142F" w:rsidRDefault="0089227F" w:rsidP="0089227F">
            <w:pPr>
              <w:spacing w:line="264" w:lineRule="auto"/>
              <w:ind w:left="34"/>
              <w:rPr>
                <w:rFonts w:asciiTheme="minorHAnsi" w:hAnsiTheme="minorHAnsi"/>
              </w:rPr>
            </w:pPr>
            <w:r w:rsidRPr="006B142F">
              <w:rPr>
                <w:rFonts w:asciiTheme="minorHAnsi" w:hAnsiTheme="minorHAnsi"/>
              </w:rPr>
              <w:t>where the 13 monthly amounts are:</w:t>
            </w:r>
          </w:p>
          <w:p w:rsidR="0089227F" w:rsidRPr="006B142F" w:rsidRDefault="0089227F" w:rsidP="0089227F">
            <w:pPr>
              <w:pStyle w:val="Tablebullet"/>
              <w:tabs>
                <w:tab w:val="clear" w:pos="284"/>
                <w:tab w:val="num" w:pos="317"/>
              </w:tabs>
              <w:spacing w:after="0" w:line="264" w:lineRule="auto"/>
              <w:ind w:left="317" w:hanging="283"/>
              <w:rPr>
                <w:rFonts w:asciiTheme="minorHAnsi" w:hAnsiTheme="minorHAnsi"/>
                <w:szCs w:val="24"/>
              </w:rPr>
            </w:pPr>
            <w:r w:rsidRPr="006B142F">
              <w:rPr>
                <w:rFonts w:asciiTheme="minorHAnsi" w:hAnsiTheme="minorHAnsi"/>
                <w:szCs w:val="24"/>
              </w:rPr>
              <w:t xml:space="preserve">the negative of alternative </w:t>
            </w:r>
            <w:r w:rsidRPr="006B142F">
              <w:rPr>
                <w:rFonts w:asciiTheme="minorHAnsi" w:hAnsiTheme="minorHAnsi"/>
                <w:bCs/>
                <w:szCs w:val="24"/>
              </w:rPr>
              <w:t>opening RIV</w:t>
            </w:r>
          </w:p>
          <w:p w:rsidR="0089227F" w:rsidRPr="006B142F" w:rsidRDefault="0089227F" w:rsidP="0089227F">
            <w:pPr>
              <w:pStyle w:val="Tablebullet"/>
              <w:tabs>
                <w:tab w:val="clear" w:pos="284"/>
                <w:tab w:val="num" w:pos="317"/>
              </w:tabs>
              <w:spacing w:after="0" w:line="264" w:lineRule="auto"/>
              <w:ind w:left="317" w:hanging="283"/>
              <w:rPr>
                <w:rFonts w:asciiTheme="minorHAnsi" w:hAnsiTheme="minorHAnsi"/>
                <w:szCs w:val="24"/>
              </w:rPr>
            </w:pPr>
            <w:r w:rsidRPr="006B142F">
              <w:rPr>
                <w:rFonts w:asciiTheme="minorHAnsi" w:hAnsiTheme="minorHAnsi"/>
                <w:szCs w:val="24"/>
              </w:rPr>
              <w:t xml:space="preserve">the 11 end-of-month </w:t>
            </w:r>
            <w:r w:rsidRPr="006B142F">
              <w:rPr>
                <w:rFonts w:asciiTheme="minorHAnsi" w:hAnsiTheme="minorHAnsi"/>
                <w:bCs/>
                <w:szCs w:val="24"/>
              </w:rPr>
              <w:t>notional net cash flows</w:t>
            </w:r>
            <w:r w:rsidRPr="006B142F">
              <w:rPr>
                <w:rFonts w:asciiTheme="minorHAnsi" w:hAnsiTheme="minorHAnsi"/>
                <w:szCs w:val="24"/>
              </w:rPr>
              <w:t xml:space="preserve"> for October to August of the assessment period </w:t>
            </w:r>
          </w:p>
          <w:p w:rsidR="0089227F" w:rsidRPr="006B142F" w:rsidRDefault="0089227F" w:rsidP="0089227F">
            <w:pPr>
              <w:pStyle w:val="Tablebullet"/>
              <w:tabs>
                <w:tab w:val="clear" w:pos="284"/>
                <w:tab w:val="num" w:pos="317"/>
              </w:tabs>
              <w:spacing w:after="0" w:line="264" w:lineRule="auto"/>
              <w:ind w:left="317" w:hanging="283"/>
              <w:rPr>
                <w:rFonts w:asciiTheme="minorHAnsi" w:hAnsiTheme="minorHAnsi"/>
                <w:szCs w:val="24"/>
              </w:rPr>
            </w:pPr>
            <w:proofErr w:type="gramStart"/>
            <w:r w:rsidRPr="006B142F">
              <w:rPr>
                <w:rFonts w:asciiTheme="minorHAnsi" w:hAnsiTheme="minorHAnsi"/>
                <w:szCs w:val="24"/>
              </w:rPr>
              <w:t>notional</w:t>
            </w:r>
            <w:proofErr w:type="gramEnd"/>
            <w:r w:rsidRPr="006B142F">
              <w:rPr>
                <w:rFonts w:asciiTheme="minorHAnsi" w:hAnsiTheme="minorHAnsi"/>
                <w:szCs w:val="24"/>
              </w:rPr>
              <w:t xml:space="preserve"> net cash flows for September for the assessment period plus alternative </w:t>
            </w:r>
            <w:r w:rsidRPr="006B142F">
              <w:rPr>
                <w:rFonts w:asciiTheme="minorHAnsi" w:hAnsiTheme="minorHAnsi"/>
                <w:bCs/>
                <w:szCs w:val="24"/>
              </w:rPr>
              <w:t xml:space="preserve">closing RIV </w:t>
            </w:r>
            <w:r w:rsidRPr="006B142F">
              <w:rPr>
                <w:rFonts w:asciiTheme="minorHAnsi" w:hAnsiTheme="minorHAnsi"/>
                <w:szCs w:val="24"/>
              </w:rPr>
              <w:t xml:space="preserve">less </w:t>
            </w:r>
            <w:r w:rsidRPr="006B142F">
              <w:rPr>
                <w:rFonts w:asciiTheme="minorHAnsi" w:hAnsiTheme="minorHAnsi"/>
                <w:bCs/>
                <w:szCs w:val="24"/>
              </w:rPr>
              <w:t>term credit spread differential allowance.</w:t>
            </w:r>
          </w:p>
        </w:tc>
      </w:tr>
      <w:tr w:rsidR="0089227F" w:rsidRPr="006B142F" w:rsidTr="00B20AEC">
        <w:trPr>
          <w:cantSplit/>
        </w:trPr>
        <w:tc>
          <w:tcPr>
            <w:tcW w:w="4621" w:type="dxa"/>
          </w:tcPr>
          <w:p w:rsidR="0089227F" w:rsidRPr="006B142F" w:rsidRDefault="0089227F" w:rsidP="0089227F">
            <w:pPr>
              <w:pStyle w:val="BodyText"/>
              <w:rPr>
                <w:rFonts w:asciiTheme="minorHAnsi" w:hAnsiTheme="minorHAnsi" w:cs="Arial"/>
                <w:bCs/>
                <w:lang w:eastAsia="en-NZ"/>
              </w:rPr>
            </w:pPr>
            <w:r w:rsidRPr="006B142F">
              <w:rPr>
                <w:rFonts w:asciiTheme="minorHAnsi" w:hAnsiTheme="minorHAnsi" w:cs="Arial"/>
                <w:bCs/>
                <w:lang w:eastAsia="en-NZ"/>
              </w:rPr>
              <w:t>Amortisation of initial differences in asset values</w:t>
            </w:r>
          </w:p>
        </w:tc>
        <w:tc>
          <w:tcPr>
            <w:tcW w:w="4622" w:type="dxa"/>
          </w:tcPr>
          <w:p w:rsidR="0089227F" w:rsidRPr="006B142F" w:rsidRDefault="0089227F" w:rsidP="0089227F">
            <w:pPr>
              <w:pStyle w:val="EquationsL2"/>
              <w:ind w:left="34" w:firstLine="0"/>
              <w:rPr>
                <w:rFonts w:asciiTheme="minorHAnsi" w:hAnsiTheme="minorHAnsi" w:cs="Arial"/>
                <w:lang w:eastAsia="en-NZ"/>
              </w:rPr>
            </w:pPr>
            <w:r w:rsidRPr="006B142F">
              <w:rPr>
                <w:rFonts w:asciiTheme="minorHAnsi" w:hAnsiTheme="minorHAnsi" w:cs="Arial"/>
                <w:lang w:eastAsia="en-NZ"/>
              </w:rPr>
              <w:t>has the meaning set out in paragraph (a) of the defined term in the</w:t>
            </w:r>
            <w:r w:rsidRPr="006B142F">
              <w:rPr>
                <w:rFonts w:asciiTheme="minorHAnsi" w:hAnsiTheme="minorHAnsi" w:cs="Arial"/>
                <w:bCs/>
                <w:lang w:eastAsia="en-NZ"/>
              </w:rPr>
              <w:t xml:space="preserve"> IM determination</w:t>
            </w:r>
          </w:p>
        </w:tc>
      </w:tr>
      <w:tr w:rsidR="0089227F" w:rsidRPr="006B142F" w:rsidTr="00B20AEC">
        <w:trPr>
          <w:cantSplit/>
        </w:trPr>
        <w:tc>
          <w:tcPr>
            <w:tcW w:w="4621" w:type="dxa"/>
          </w:tcPr>
          <w:p w:rsidR="0089227F" w:rsidRPr="006B142F" w:rsidRDefault="0089227F" w:rsidP="0089227F">
            <w:pPr>
              <w:pStyle w:val="BodyText"/>
              <w:rPr>
                <w:rFonts w:asciiTheme="minorHAnsi" w:hAnsiTheme="minorHAnsi" w:cs="Arial"/>
                <w:bCs/>
                <w:lang w:eastAsia="en-NZ"/>
              </w:rPr>
            </w:pPr>
            <w:r w:rsidRPr="006B142F">
              <w:rPr>
                <w:rFonts w:asciiTheme="minorHAnsi" w:hAnsiTheme="minorHAnsi" w:cs="Arial"/>
                <w:bCs/>
                <w:lang w:eastAsia="en-NZ"/>
              </w:rPr>
              <w:t>Amortisation of revaluations</w:t>
            </w:r>
          </w:p>
        </w:tc>
        <w:tc>
          <w:tcPr>
            <w:tcW w:w="4622" w:type="dxa"/>
          </w:tcPr>
          <w:p w:rsidR="0089227F" w:rsidRPr="006B142F" w:rsidRDefault="0089227F" w:rsidP="0089227F">
            <w:pPr>
              <w:pStyle w:val="EquationsL2"/>
              <w:ind w:left="34" w:firstLine="0"/>
              <w:rPr>
                <w:rFonts w:asciiTheme="minorHAnsi" w:hAnsiTheme="minorHAnsi" w:cs="Arial"/>
                <w:lang w:eastAsia="en-NZ"/>
              </w:rPr>
            </w:pPr>
            <w:r w:rsidRPr="006B142F">
              <w:rPr>
                <w:rFonts w:asciiTheme="minorHAnsi" w:hAnsiTheme="minorHAnsi" w:cs="Arial"/>
                <w:lang w:eastAsia="en-NZ"/>
              </w:rPr>
              <w:t>has the meaning set out in paragraph (a) of the defined term in the</w:t>
            </w:r>
            <w:r w:rsidRPr="006B142F">
              <w:rPr>
                <w:rFonts w:asciiTheme="minorHAnsi" w:hAnsiTheme="minorHAnsi" w:cs="Arial"/>
                <w:bCs/>
                <w:lang w:eastAsia="en-NZ"/>
              </w:rPr>
              <w:t xml:space="preserve"> IM determination</w:t>
            </w:r>
          </w:p>
        </w:tc>
      </w:tr>
      <w:tr w:rsidR="0089227F" w:rsidRPr="006B142F" w:rsidTr="00B20AEC">
        <w:trPr>
          <w:cantSplit/>
        </w:trPr>
        <w:tc>
          <w:tcPr>
            <w:tcW w:w="4621" w:type="dxa"/>
          </w:tcPr>
          <w:p w:rsidR="0089227F" w:rsidRPr="006B142F" w:rsidRDefault="0089227F" w:rsidP="0089227F">
            <w:pPr>
              <w:pStyle w:val="BodyText"/>
              <w:rPr>
                <w:rFonts w:asciiTheme="minorHAnsi" w:hAnsiTheme="minorHAnsi" w:cs="Arial"/>
                <w:bCs/>
                <w:lang w:eastAsia="en-NZ"/>
              </w:rPr>
            </w:pPr>
            <w:r w:rsidRPr="006B142F">
              <w:rPr>
                <w:rFonts w:asciiTheme="minorHAnsi" w:hAnsiTheme="minorHAnsi" w:cs="Arial"/>
                <w:bCs/>
                <w:lang w:eastAsia="en-NZ"/>
              </w:rPr>
              <w:t>Arm’s-length deduction</w:t>
            </w:r>
          </w:p>
        </w:tc>
        <w:tc>
          <w:tcPr>
            <w:tcW w:w="4622" w:type="dxa"/>
          </w:tcPr>
          <w:p w:rsidR="0089227F" w:rsidRPr="006B142F" w:rsidRDefault="0089227F" w:rsidP="0089227F">
            <w:pPr>
              <w:pStyle w:val="EquationsL2"/>
              <w:ind w:left="34" w:firstLine="0"/>
              <w:rPr>
                <w:rFonts w:asciiTheme="minorHAnsi" w:hAnsiTheme="minorHAnsi" w:cs="Arial"/>
                <w:lang w:eastAsia="en-NZ"/>
              </w:rPr>
            </w:pPr>
            <w:r w:rsidRPr="006B142F">
              <w:rPr>
                <w:rFonts w:asciiTheme="minorHAnsi" w:hAnsiTheme="minorHAnsi" w:cs="Arial"/>
                <w:lang w:eastAsia="en-NZ"/>
              </w:rPr>
              <w:t>has the meaning set out in the</w:t>
            </w:r>
            <w:r w:rsidRPr="006B142F">
              <w:rPr>
                <w:rFonts w:asciiTheme="minorHAnsi" w:hAnsiTheme="minorHAnsi" w:cs="Arial"/>
                <w:bCs/>
                <w:lang w:eastAsia="en-NZ"/>
              </w:rPr>
              <w:t xml:space="preserve"> IM determination</w:t>
            </w:r>
          </w:p>
        </w:tc>
      </w:tr>
      <w:tr w:rsidR="0089227F" w:rsidRPr="006B142F" w:rsidTr="00B20AEC">
        <w:trPr>
          <w:cantSplit/>
        </w:trPr>
        <w:tc>
          <w:tcPr>
            <w:tcW w:w="4621" w:type="dxa"/>
          </w:tcPr>
          <w:p w:rsidR="0089227F" w:rsidRPr="006B142F" w:rsidRDefault="0089227F" w:rsidP="0089227F">
            <w:pPr>
              <w:pStyle w:val="BodyText"/>
              <w:spacing w:line="264" w:lineRule="auto"/>
              <w:rPr>
                <w:rFonts w:asciiTheme="minorHAnsi" w:hAnsiTheme="minorHAnsi" w:cs="Arial"/>
                <w:bCs/>
                <w:lang w:eastAsia="en-NZ"/>
              </w:rPr>
            </w:pPr>
            <w:r w:rsidRPr="006B142F">
              <w:rPr>
                <w:rFonts w:asciiTheme="minorHAnsi" w:hAnsiTheme="minorHAnsi" w:cs="Arial"/>
                <w:bCs/>
                <w:lang w:eastAsia="en-NZ"/>
              </w:rPr>
              <w:t>Asset category transfers</w:t>
            </w:r>
          </w:p>
        </w:tc>
        <w:tc>
          <w:tcPr>
            <w:tcW w:w="4622" w:type="dxa"/>
          </w:tcPr>
          <w:p w:rsidR="0089227F" w:rsidRPr="006B142F" w:rsidRDefault="0089227F" w:rsidP="0089227F">
            <w:pPr>
              <w:pStyle w:val="ListParagraph"/>
              <w:spacing w:line="264" w:lineRule="auto"/>
              <w:ind w:left="34"/>
              <w:rPr>
                <w:rFonts w:asciiTheme="minorHAnsi" w:hAnsiTheme="minorHAnsi" w:cs="Arial"/>
                <w:lang w:eastAsia="en-NZ"/>
              </w:rPr>
            </w:pPr>
            <w:r w:rsidRPr="006B142F">
              <w:rPr>
                <w:rFonts w:asciiTheme="minorHAnsi" w:hAnsiTheme="minorHAnsi" w:cs="Arial"/>
                <w:lang w:eastAsia="en-NZ"/>
              </w:rPr>
              <w:t>means the value of an asset transferred between asset categories</w:t>
            </w:r>
          </w:p>
        </w:tc>
      </w:tr>
      <w:tr w:rsidR="0089227F" w:rsidRPr="006B142F" w:rsidTr="00B20AEC">
        <w:trPr>
          <w:cantSplit/>
        </w:trPr>
        <w:tc>
          <w:tcPr>
            <w:tcW w:w="4621" w:type="dxa"/>
          </w:tcPr>
          <w:p w:rsidR="0089227F" w:rsidRPr="006B142F" w:rsidRDefault="0089227F" w:rsidP="0089227F">
            <w:pPr>
              <w:rPr>
                <w:rFonts w:asciiTheme="minorHAnsi" w:hAnsiTheme="minorHAnsi"/>
                <w:color w:val="000000" w:themeColor="text1"/>
              </w:rPr>
            </w:pPr>
            <w:r w:rsidRPr="006B142F">
              <w:rPr>
                <w:rFonts w:asciiTheme="minorHAnsi" w:hAnsiTheme="minorHAnsi"/>
                <w:color w:val="000000" w:themeColor="text1"/>
              </w:rPr>
              <w:t>Asset Condition at end of year (percentage by grade)</w:t>
            </w:r>
          </w:p>
        </w:tc>
        <w:tc>
          <w:tcPr>
            <w:tcW w:w="4622" w:type="dxa"/>
          </w:tcPr>
          <w:p w:rsidR="0089227F" w:rsidRPr="006B142F" w:rsidRDefault="0089227F" w:rsidP="0089227F">
            <w:pPr>
              <w:pStyle w:val="BodyText"/>
              <w:rPr>
                <w:rFonts w:asciiTheme="minorHAnsi" w:hAnsiTheme="minorHAnsi"/>
              </w:rPr>
            </w:pPr>
            <w:r w:rsidRPr="006B142F">
              <w:rPr>
                <w:rFonts w:asciiTheme="minorHAnsi" w:hAnsiTheme="minorHAnsi"/>
              </w:rPr>
              <w:t xml:space="preserve">Proportion of each asset class assessed against the asset condition categories (grade 1 to 4), reflecting the likelihood of short, </w:t>
            </w:r>
            <w:proofErr w:type="gramStart"/>
            <w:r w:rsidRPr="006B142F">
              <w:rPr>
                <w:rFonts w:asciiTheme="minorHAnsi" w:hAnsiTheme="minorHAnsi"/>
              </w:rPr>
              <w:t>medium</w:t>
            </w:r>
            <w:proofErr w:type="gramEnd"/>
            <w:r w:rsidRPr="006B142F">
              <w:rPr>
                <w:rFonts w:asciiTheme="minorHAnsi" w:hAnsiTheme="minorHAnsi"/>
              </w:rPr>
              <w:t xml:space="preserve"> or longer term intervention.  Suppliers are able to apply their own criteria for intervention when populating the table.  </w:t>
            </w:r>
          </w:p>
        </w:tc>
      </w:tr>
      <w:tr w:rsidR="0089227F" w:rsidRPr="006B142F" w:rsidTr="00B20AEC">
        <w:trPr>
          <w:cantSplit/>
        </w:trPr>
        <w:tc>
          <w:tcPr>
            <w:tcW w:w="4621" w:type="dxa"/>
          </w:tcPr>
          <w:p w:rsidR="0089227F" w:rsidRPr="006B142F" w:rsidRDefault="0089227F" w:rsidP="0089227F">
            <w:pPr>
              <w:pStyle w:val="BodyText"/>
              <w:rPr>
                <w:rFonts w:asciiTheme="minorHAnsi" w:hAnsiTheme="minorHAnsi" w:cs="Arial"/>
                <w:bCs/>
                <w:lang w:eastAsia="en-NZ"/>
              </w:rPr>
            </w:pPr>
            <w:r w:rsidRPr="006B142F">
              <w:rPr>
                <w:rFonts w:asciiTheme="minorHAnsi" w:hAnsiTheme="minorHAnsi" w:cs="Arial"/>
                <w:bCs/>
                <w:lang w:eastAsia="en-NZ"/>
              </w:rPr>
              <w:t>Asset disposals</w:t>
            </w:r>
          </w:p>
        </w:tc>
        <w:tc>
          <w:tcPr>
            <w:tcW w:w="4622" w:type="dxa"/>
          </w:tcPr>
          <w:p w:rsidR="0089227F" w:rsidRPr="006B142F" w:rsidRDefault="0089227F" w:rsidP="0089227F">
            <w:pPr>
              <w:pStyle w:val="ListParagraph"/>
              <w:ind w:left="459" w:hanging="425"/>
              <w:rPr>
                <w:rFonts w:asciiTheme="minorHAnsi" w:hAnsiTheme="minorHAnsi" w:cs="Arial"/>
                <w:lang w:eastAsia="en-NZ"/>
              </w:rPr>
            </w:pPr>
            <w:r w:rsidRPr="006B142F">
              <w:rPr>
                <w:rFonts w:asciiTheme="minorHAnsi" w:hAnsiTheme="minorHAnsi" w:cs="Arial"/>
                <w:lang w:eastAsia="en-NZ"/>
              </w:rPr>
              <w:t>means:</w:t>
            </w:r>
          </w:p>
          <w:p w:rsidR="0089227F" w:rsidRPr="006B142F" w:rsidRDefault="0089227F" w:rsidP="0089227F">
            <w:pPr>
              <w:pStyle w:val="ListParagraph"/>
              <w:numPr>
                <w:ilvl w:val="0"/>
                <w:numId w:val="18"/>
              </w:numPr>
              <w:ind w:left="459" w:hanging="425"/>
              <w:rPr>
                <w:rFonts w:asciiTheme="minorHAnsi" w:hAnsiTheme="minorHAnsi" w:cs="Arial"/>
                <w:lang w:eastAsia="en-NZ"/>
              </w:rPr>
            </w:pPr>
            <w:r w:rsidRPr="006B142F">
              <w:rPr>
                <w:rFonts w:asciiTheme="minorHAnsi" w:hAnsiTheme="minorHAnsi" w:cs="Arial"/>
                <w:lang w:eastAsia="en-NZ"/>
              </w:rPr>
              <w:t xml:space="preserve"> in relation to the </w:t>
            </w:r>
            <w:r w:rsidRPr="006B142F">
              <w:rPr>
                <w:rFonts w:asciiTheme="minorHAnsi" w:hAnsiTheme="minorHAnsi" w:cs="Arial"/>
                <w:bCs/>
                <w:lang w:eastAsia="en-NZ"/>
              </w:rPr>
              <w:t>unallocated RAB</w:t>
            </w:r>
            <w:r w:rsidRPr="006B142F">
              <w:rPr>
                <w:rFonts w:asciiTheme="minorHAnsi" w:hAnsiTheme="minorHAnsi" w:cs="Arial"/>
                <w:lang w:eastAsia="en-NZ"/>
              </w:rPr>
              <w:t xml:space="preserve">, the sum of unallocated opening RAB values less regulatory depreciation of </w:t>
            </w:r>
            <w:r w:rsidRPr="006B142F">
              <w:rPr>
                <w:rFonts w:asciiTheme="minorHAnsi" w:hAnsiTheme="minorHAnsi" w:cs="Arial"/>
                <w:bCs/>
                <w:lang w:eastAsia="en-NZ"/>
              </w:rPr>
              <w:t xml:space="preserve">disposed assets, </w:t>
            </w:r>
            <w:r w:rsidRPr="006B142F">
              <w:rPr>
                <w:rFonts w:asciiTheme="minorHAnsi" w:hAnsiTheme="minorHAnsi" w:cs="Arial"/>
                <w:lang w:eastAsia="en-NZ"/>
              </w:rPr>
              <w:t xml:space="preserve">as determined in accordance with the input methodologies identified as applicable to that asset in the </w:t>
            </w:r>
            <w:r w:rsidRPr="006B142F">
              <w:rPr>
                <w:rFonts w:asciiTheme="minorHAnsi" w:hAnsiTheme="minorHAnsi" w:cs="Arial"/>
                <w:bCs/>
                <w:lang w:eastAsia="en-NZ"/>
              </w:rPr>
              <w:t>IM determination</w:t>
            </w:r>
            <w:r w:rsidRPr="006B142F">
              <w:rPr>
                <w:rFonts w:asciiTheme="minorHAnsi" w:hAnsiTheme="minorHAnsi" w:cs="Arial"/>
                <w:lang w:eastAsia="en-NZ"/>
              </w:rPr>
              <w:t>;</w:t>
            </w:r>
          </w:p>
          <w:p w:rsidR="0089227F" w:rsidRPr="006B142F" w:rsidRDefault="0089227F" w:rsidP="0089227F">
            <w:pPr>
              <w:pStyle w:val="ListParagraph"/>
              <w:numPr>
                <w:ilvl w:val="0"/>
                <w:numId w:val="18"/>
              </w:numPr>
              <w:ind w:left="459" w:hanging="425"/>
              <w:rPr>
                <w:rFonts w:asciiTheme="minorHAnsi" w:hAnsiTheme="minorHAnsi" w:cs="Arial"/>
                <w:lang w:eastAsia="en-NZ"/>
              </w:rPr>
            </w:pPr>
            <w:r w:rsidRPr="006B142F">
              <w:rPr>
                <w:rFonts w:asciiTheme="minorHAnsi" w:hAnsiTheme="minorHAnsi" w:cs="Arial"/>
                <w:lang w:eastAsia="en-NZ"/>
              </w:rPr>
              <w:t xml:space="preserve">in relation to the RAB, the value (as determined in accordance with paragraph (a)) which was allocated to gas distribution services in accordance with clause 2.1.1 of the </w:t>
            </w:r>
            <w:r w:rsidRPr="006B142F">
              <w:rPr>
                <w:rFonts w:asciiTheme="minorHAnsi" w:hAnsiTheme="minorHAnsi" w:cs="Arial"/>
                <w:bCs/>
                <w:lang w:eastAsia="en-NZ"/>
              </w:rPr>
              <w:t>IM determination</w:t>
            </w:r>
          </w:p>
        </w:tc>
      </w:tr>
      <w:tr w:rsidR="0089227F" w:rsidRPr="006B142F" w:rsidTr="00B20AEC">
        <w:trPr>
          <w:cantSplit/>
        </w:trPr>
        <w:tc>
          <w:tcPr>
            <w:tcW w:w="4621" w:type="dxa"/>
          </w:tcPr>
          <w:p w:rsidR="0089227F" w:rsidRPr="006B142F" w:rsidRDefault="0089227F" w:rsidP="0089227F">
            <w:pPr>
              <w:pStyle w:val="BodyText"/>
              <w:spacing w:line="264" w:lineRule="auto"/>
              <w:rPr>
                <w:rFonts w:asciiTheme="minorHAnsi" w:hAnsiTheme="minorHAnsi" w:cs="Arial"/>
                <w:bCs/>
                <w:lang w:eastAsia="en-NZ"/>
              </w:rPr>
            </w:pPr>
            <w:r w:rsidRPr="006B142F">
              <w:rPr>
                <w:rFonts w:asciiTheme="minorHAnsi" w:hAnsiTheme="minorHAnsi" w:cs="Arial"/>
                <w:bCs/>
                <w:lang w:eastAsia="en-NZ"/>
              </w:rPr>
              <w:t>Asset disposals (other)</w:t>
            </w:r>
          </w:p>
        </w:tc>
        <w:tc>
          <w:tcPr>
            <w:tcW w:w="4622" w:type="dxa"/>
          </w:tcPr>
          <w:p w:rsidR="0089227F" w:rsidRPr="006B142F" w:rsidRDefault="0089227F" w:rsidP="0089227F">
            <w:pPr>
              <w:pStyle w:val="ListParagraph"/>
              <w:spacing w:line="264" w:lineRule="auto"/>
              <w:ind w:left="34"/>
              <w:rPr>
                <w:rFonts w:asciiTheme="minorHAnsi" w:hAnsiTheme="minorHAnsi" w:cs="Arial"/>
                <w:lang w:eastAsia="en-NZ"/>
              </w:rPr>
            </w:pPr>
            <w:r w:rsidRPr="006B142F">
              <w:rPr>
                <w:rFonts w:asciiTheme="minorHAnsi" w:hAnsiTheme="minorHAnsi" w:cs="Arial"/>
                <w:lang w:eastAsia="en-NZ"/>
              </w:rPr>
              <w:t>means asset disposals other than asset disposals to a regulated supplier and asset disposals to a related party</w:t>
            </w:r>
          </w:p>
        </w:tc>
      </w:tr>
      <w:tr w:rsidR="0089227F" w:rsidRPr="006B142F" w:rsidTr="00B20AEC">
        <w:trPr>
          <w:cantSplit/>
        </w:trPr>
        <w:tc>
          <w:tcPr>
            <w:tcW w:w="4621" w:type="dxa"/>
          </w:tcPr>
          <w:p w:rsidR="0089227F" w:rsidRPr="006B142F" w:rsidRDefault="0089227F" w:rsidP="0089227F">
            <w:pPr>
              <w:pStyle w:val="BodyText"/>
              <w:spacing w:line="264" w:lineRule="auto"/>
              <w:rPr>
                <w:rFonts w:asciiTheme="minorHAnsi" w:hAnsiTheme="minorHAnsi" w:cs="Arial"/>
                <w:bCs/>
                <w:lang w:eastAsia="en-NZ"/>
              </w:rPr>
            </w:pPr>
            <w:r w:rsidRPr="006B142F">
              <w:rPr>
                <w:rFonts w:asciiTheme="minorHAnsi" w:hAnsiTheme="minorHAnsi" w:cs="Arial"/>
                <w:bCs/>
                <w:lang w:eastAsia="en-NZ"/>
              </w:rPr>
              <w:t>Asset disposals to a regulated supplier</w:t>
            </w:r>
          </w:p>
        </w:tc>
        <w:tc>
          <w:tcPr>
            <w:tcW w:w="4622" w:type="dxa"/>
          </w:tcPr>
          <w:p w:rsidR="0089227F" w:rsidRPr="006B142F" w:rsidRDefault="0089227F" w:rsidP="0089227F">
            <w:pPr>
              <w:pStyle w:val="ListParagraph"/>
              <w:spacing w:line="264" w:lineRule="auto"/>
              <w:ind w:left="34"/>
              <w:rPr>
                <w:rFonts w:asciiTheme="minorHAnsi" w:hAnsiTheme="minorHAnsi" w:cs="Arial"/>
                <w:lang w:eastAsia="en-NZ"/>
              </w:rPr>
            </w:pPr>
            <w:r w:rsidRPr="006B142F">
              <w:rPr>
                <w:rFonts w:asciiTheme="minorHAnsi" w:hAnsiTheme="minorHAnsi" w:cs="Arial"/>
                <w:lang w:eastAsia="en-NZ"/>
              </w:rPr>
              <w:t>means asset disposals disposed of to a regulated supplier</w:t>
            </w:r>
          </w:p>
        </w:tc>
      </w:tr>
      <w:tr w:rsidR="0089227F" w:rsidRPr="006B142F" w:rsidTr="00B20AEC">
        <w:trPr>
          <w:cantSplit/>
        </w:trPr>
        <w:tc>
          <w:tcPr>
            <w:tcW w:w="4621" w:type="dxa"/>
          </w:tcPr>
          <w:p w:rsidR="0089227F" w:rsidRPr="006B142F" w:rsidRDefault="0089227F" w:rsidP="0089227F">
            <w:pPr>
              <w:pStyle w:val="BodyText"/>
              <w:spacing w:line="264" w:lineRule="auto"/>
              <w:rPr>
                <w:rFonts w:asciiTheme="minorHAnsi" w:hAnsiTheme="minorHAnsi" w:cs="Arial"/>
                <w:bCs/>
                <w:lang w:eastAsia="en-NZ"/>
              </w:rPr>
            </w:pPr>
            <w:r w:rsidRPr="006B142F">
              <w:rPr>
                <w:rFonts w:asciiTheme="minorHAnsi" w:hAnsiTheme="minorHAnsi" w:cs="Arial"/>
                <w:bCs/>
                <w:lang w:eastAsia="en-NZ"/>
              </w:rPr>
              <w:t>Asset disposals to a related party</w:t>
            </w:r>
          </w:p>
        </w:tc>
        <w:tc>
          <w:tcPr>
            <w:tcW w:w="4622" w:type="dxa"/>
          </w:tcPr>
          <w:p w:rsidR="0089227F" w:rsidRPr="006B142F" w:rsidRDefault="0089227F" w:rsidP="0089227F">
            <w:pPr>
              <w:pStyle w:val="ListParagraph"/>
              <w:spacing w:line="264" w:lineRule="auto"/>
              <w:ind w:left="34"/>
              <w:rPr>
                <w:rFonts w:asciiTheme="minorHAnsi" w:hAnsiTheme="minorHAnsi" w:cs="Arial"/>
                <w:lang w:eastAsia="en-NZ"/>
              </w:rPr>
            </w:pPr>
            <w:r w:rsidRPr="006B142F">
              <w:rPr>
                <w:rFonts w:asciiTheme="minorHAnsi" w:hAnsiTheme="minorHAnsi" w:cs="Arial"/>
                <w:lang w:eastAsia="en-NZ"/>
              </w:rPr>
              <w:t xml:space="preserve">means asset disposals disposed of to a </w:t>
            </w:r>
            <w:r w:rsidRPr="006B142F">
              <w:rPr>
                <w:rFonts w:asciiTheme="minorHAnsi" w:hAnsiTheme="minorHAnsi" w:cs="Arial"/>
                <w:bCs/>
                <w:lang w:eastAsia="en-NZ"/>
              </w:rPr>
              <w:t>related party</w:t>
            </w:r>
          </w:p>
        </w:tc>
      </w:tr>
      <w:tr w:rsidR="0089227F" w:rsidRPr="006B142F" w:rsidTr="00B20AEC">
        <w:trPr>
          <w:cantSplit/>
        </w:trPr>
        <w:tc>
          <w:tcPr>
            <w:tcW w:w="4621" w:type="dxa"/>
          </w:tcPr>
          <w:p w:rsidR="0089227F" w:rsidRPr="006B142F" w:rsidRDefault="0089227F" w:rsidP="0089227F">
            <w:pPr>
              <w:pStyle w:val="BodyText"/>
              <w:spacing w:line="264" w:lineRule="auto"/>
              <w:rPr>
                <w:rFonts w:asciiTheme="minorHAnsi" w:hAnsiTheme="minorHAnsi" w:cs="Arial"/>
                <w:bCs/>
                <w:lang w:eastAsia="en-NZ"/>
              </w:rPr>
            </w:pPr>
            <w:r w:rsidRPr="006B142F">
              <w:rPr>
                <w:rFonts w:asciiTheme="minorHAnsi" w:hAnsiTheme="minorHAnsi" w:cs="Arial"/>
                <w:bCs/>
                <w:lang w:eastAsia="en-NZ"/>
              </w:rPr>
              <w:t>Asset or assets with non-standard depreciation</w:t>
            </w:r>
          </w:p>
        </w:tc>
        <w:tc>
          <w:tcPr>
            <w:tcW w:w="4622" w:type="dxa"/>
          </w:tcPr>
          <w:p w:rsidR="0089227F" w:rsidRPr="006B142F" w:rsidRDefault="0089227F" w:rsidP="0089227F">
            <w:pPr>
              <w:pStyle w:val="ListParagraph"/>
              <w:spacing w:line="264" w:lineRule="auto"/>
              <w:ind w:left="34"/>
              <w:rPr>
                <w:rFonts w:asciiTheme="minorHAnsi" w:hAnsiTheme="minorHAnsi" w:cs="Arial"/>
                <w:lang w:eastAsia="en-NZ"/>
              </w:rPr>
            </w:pPr>
            <w:r w:rsidRPr="006B142F">
              <w:rPr>
                <w:rFonts w:asciiTheme="minorHAnsi" w:hAnsiTheme="minorHAnsi" w:cs="Arial"/>
                <w:lang w:eastAsia="en-NZ"/>
              </w:rPr>
              <w:t xml:space="preserve">means a description of assets or groups of assets where depreciation is not included in </w:t>
            </w:r>
            <w:r w:rsidRPr="006B142F">
              <w:rPr>
                <w:rFonts w:asciiTheme="minorHAnsi" w:hAnsiTheme="minorHAnsi" w:cs="Arial"/>
                <w:bCs/>
                <w:lang w:eastAsia="en-NZ"/>
              </w:rPr>
              <w:t>Depreciation – standard</w:t>
            </w:r>
          </w:p>
        </w:tc>
      </w:tr>
      <w:tr w:rsidR="0089227F" w:rsidRPr="006B142F" w:rsidTr="00B20AEC">
        <w:trPr>
          <w:cantSplit/>
        </w:trPr>
        <w:tc>
          <w:tcPr>
            <w:tcW w:w="4621" w:type="dxa"/>
          </w:tcPr>
          <w:p w:rsidR="0089227F" w:rsidRPr="006B142F" w:rsidRDefault="0089227F" w:rsidP="0089227F">
            <w:pPr>
              <w:pStyle w:val="BodyText"/>
              <w:spacing w:line="264" w:lineRule="auto"/>
              <w:rPr>
                <w:rFonts w:asciiTheme="minorHAnsi" w:hAnsiTheme="minorHAnsi" w:cs="Arial"/>
                <w:bCs/>
                <w:lang w:eastAsia="en-NZ"/>
              </w:rPr>
            </w:pPr>
            <w:r w:rsidRPr="006B142F">
              <w:rPr>
                <w:rFonts w:asciiTheme="minorHAnsi" w:hAnsiTheme="minorHAnsi" w:cs="Arial"/>
                <w:bCs/>
                <w:lang w:eastAsia="en-NZ"/>
              </w:rPr>
              <w:t>Assets acquired from a regulated supplier</w:t>
            </w:r>
          </w:p>
        </w:tc>
        <w:tc>
          <w:tcPr>
            <w:tcW w:w="4622" w:type="dxa"/>
          </w:tcPr>
          <w:p w:rsidR="0089227F" w:rsidRPr="006B142F" w:rsidRDefault="0089227F" w:rsidP="0089227F">
            <w:pPr>
              <w:pStyle w:val="ListParagraph"/>
              <w:spacing w:line="264" w:lineRule="auto"/>
              <w:ind w:left="34"/>
              <w:rPr>
                <w:rFonts w:asciiTheme="minorHAnsi" w:hAnsiTheme="minorHAnsi" w:cs="Arial"/>
                <w:lang w:eastAsia="en-NZ"/>
              </w:rPr>
            </w:pPr>
            <w:r w:rsidRPr="006B142F">
              <w:rPr>
                <w:rFonts w:asciiTheme="minorHAnsi" w:hAnsiTheme="minorHAnsi" w:cs="Arial"/>
                <w:lang w:eastAsia="en-NZ"/>
              </w:rPr>
              <w:t>means:</w:t>
            </w:r>
          </w:p>
          <w:p w:rsidR="0089227F" w:rsidRPr="006B142F" w:rsidRDefault="0089227F" w:rsidP="0089227F">
            <w:pPr>
              <w:pStyle w:val="ListParagraph"/>
              <w:numPr>
                <w:ilvl w:val="0"/>
                <w:numId w:val="19"/>
              </w:numPr>
              <w:spacing w:line="264" w:lineRule="auto"/>
              <w:ind w:left="459" w:hanging="425"/>
              <w:rPr>
                <w:rFonts w:asciiTheme="minorHAnsi" w:hAnsiTheme="minorHAnsi" w:cs="Arial"/>
                <w:lang w:eastAsia="en-NZ"/>
              </w:rPr>
            </w:pPr>
            <w:r w:rsidRPr="006B142F">
              <w:rPr>
                <w:rFonts w:asciiTheme="minorHAnsi" w:hAnsiTheme="minorHAnsi" w:cs="Arial"/>
                <w:lang w:eastAsia="en-NZ"/>
              </w:rPr>
              <w:t xml:space="preserve">in relation to the </w:t>
            </w:r>
            <w:r w:rsidRPr="006B142F">
              <w:rPr>
                <w:rFonts w:asciiTheme="minorHAnsi" w:hAnsiTheme="minorHAnsi" w:cs="Arial"/>
                <w:bCs/>
                <w:lang w:eastAsia="en-NZ"/>
              </w:rPr>
              <w:t>unallocated RAB</w:t>
            </w:r>
            <w:r w:rsidRPr="006B142F">
              <w:rPr>
                <w:rFonts w:asciiTheme="minorHAnsi" w:hAnsiTheme="minorHAnsi" w:cs="Arial"/>
                <w:lang w:eastAsia="en-NZ"/>
              </w:rPr>
              <w:t>, the sum of value of assets acquired from another</w:t>
            </w:r>
            <w:r w:rsidRPr="006B142F">
              <w:rPr>
                <w:rFonts w:asciiTheme="minorHAnsi" w:hAnsiTheme="minorHAnsi" w:cs="Arial"/>
                <w:bCs/>
                <w:lang w:eastAsia="en-NZ"/>
              </w:rPr>
              <w:t xml:space="preserve"> regulated supplier </w:t>
            </w:r>
            <w:r w:rsidRPr="006B142F">
              <w:rPr>
                <w:rFonts w:asciiTheme="minorHAnsi" w:hAnsiTheme="minorHAnsi" w:cs="Arial"/>
                <w:lang w:eastAsia="en-NZ"/>
              </w:rPr>
              <w:t xml:space="preserve">as determined in accordance with clause 2.2.11(1)(e) of the </w:t>
            </w:r>
            <w:r w:rsidRPr="006B142F">
              <w:rPr>
                <w:rFonts w:asciiTheme="minorHAnsi" w:hAnsiTheme="minorHAnsi" w:cs="Arial"/>
                <w:bCs/>
                <w:lang w:eastAsia="en-NZ"/>
              </w:rPr>
              <w:t>IM determination</w:t>
            </w:r>
            <w:r w:rsidRPr="006B142F">
              <w:rPr>
                <w:rFonts w:asciiTheme="minorHAnsi" w:hAnsiTheme="minorHAnsi" w:cs="Arial"/>
                <w:lang w:eastAsia="en-NZ"/>
              </w:rPr>
              <w:t>;</w:t>
            </w:r>
          </w:p>
          <w:p w:rsidR="0089227F" w:rsidRPr="006B142F" w:rsidRDefault="0089227F" w:rsidP="0089227F">
            <w:pPr>
              <w:pStyle w:val="ListParagraph"/>
              <w:numPr>
                <w:ilvl w:val="0"/>
                <w:numId w:val="19"/>
              </w:numPr>
              <w:spacing w:line="264" w:lineRule="auto"/>
              <w:ind w:left="459" w:hanging="425"/>
              <w:rPr>
                <w:rFonts w:asciiTheme="minorHAnsi" w:hAnsiTheme="minorHAnsi" w:cs="Arial"/>
                <w:lang w:eastAsia="en-NZ"/>
              </w:rPr>
            </w:pPr>
            <w:r w:rsidRPr="006B142F">
              <w:rPr>
                <w:rFonts w:asciiTheme="minorHAnsi" w:hAnsiTheme="minorHAnsi" w:cs="Arial"/>
                <w:lang w:eastAsia="en-NZ"/>
              </w:rPr>
              <w:t xml:space="preserve">in relation to the </w:t>
            </w:r>
            <w:r w:rsidRPr="006B142F">
              <w:rPr>
                <w:rFonts w:asciiTheme="minorHAnsi" w:hAnsiTheme="minorHAnsi" w:cs="Arial"/>
                <w:bCs/>
                <w:lang w:eastAsia="en-NZ"/>
              </w:rPr>
              <w:t>RAB,</w:t>
            </w:r>
            <w:r w:rsidRPr="006B142F">
              <w:rPr>
                <w:rFonts w:asciiTheme="minorHAnsi" w:hAnsiTheme="minorHAnsi" w:cs="Arial"/>
                <w:lang w:eastAsia="en-NZ"/>
              </w:rPr>
              <w:t xml:space="preserve"> the sum of value of the assets (as determined in accordance with paragraph (a)) which is allocated to the gas distribution services in accordance with clause 2.1.1 of the </w:t>
            </w:r>
            <w:r w:rsidRPr="006B142F">
              <w:rPr>
                <w:rFonts w:asciiTheme="minorHAnsi" w:hAnsiTheme="minorHAnsi" w:cs="Arial"/>
                <w:bCs/>
                <w:lang w:eastAsia="en-NZ"/>
              </w:rPr>
              <w:t>IM determination</w:t>
            </w:r>
          </w:p>
        </w:tc>
      </w:tr>
      <w:tr w:rsidR="0089227F" w:rsidRPr="006B142F" w:rsidTr="00B20AEC">
        <w:trPr>
          <w:cantSplit/>
        </w:trPr>
        <w:tc>
          <w:tcPr>
            <w:tcW w:w="4621" w:type="dxa"/>
          </w:tcPr>
          <w:p w:rsidR="0089227F" w:rsidRPr="006B142F" w:rsidRDefault="0089227F" w:rsidP="0089227F">
            <w:pPr>
              <w:pStyle w:val="BodyText"/>
              <w:spacing w:line="264" w:lineRule="auto"/>
              <w:rPr>
                <w:rFonts w:asciiTheme="minorHAnsi" w:hAnsiTheme="minorHAnsi"/>
              </w:rPr>
            </w:pPr>
            <w:r w:rsidRPr="006B142F">
              <w:rPr>
                <w:rFonts w:asciiTheme="minorHAnsi" w:hAnsiTheme="minorHAnsi" w:cs="Arial"/>
                <w:bCs/>
                <w:lang w:eastAsia="en-NZ"/>
              </w:rPr>
              <w:t>Assets commissioned</w:t>
            </w:r>
          </w:p>
        </w:tc>
        <w:tc>
          <w:tcPr>
            <w:tcW w:w="4622" w:type="dxa"/>
          </w:tcPr>
          <w:p w:rsidR="0089227F" w:rsidRPr="006B142F" w:rsidRDefault="0089227F" w:rsidP="0089227F">
            <w:pPr>
              <w:pStyle w:val="ListParagraph"/>
              <w:spacing w:line="264" w:lineRule="auto"/>
              <w:ind w:left="34"/>
              <w:rPr>
                <w:rFonts w:asciiTheme="minorHAnsi" w:hAnsiTheme="minorHAnsi" w:cs="Arial"/>
                <w:lang w:eastAsia="en-NZ"/>
              </w:rPr>
            </w:pPr>
            <w:r w:rsidRPr="006B142F">
              <w:rPr>
                <w:rFonts w:asciiTheme="minorHAnsi" w:hAnsiTheme="minorHAnsi" w:cs="Arial"/>
                <w:lang w:eastAsia="en-NZ"/>
              </w:rPr>
              <w:t>means:</w:t>
            </w:r>
          </w:p>
          <w:p w:rsidR="0089227F" w:rsidRPr="006B142F" w:rsidRDefault="0089227F" w:rsidP="0089227F">
            <w:pPr>
              <w:pStyle w:val="ListParagraph"/>
              <w:numPr>
                <w:ilvl w:val="0"/>
                <w:numId w:val="21"/>
              </w:numPr>
              <w:spacing w:line="264" w:lineRule="auto"/>
              <w:ind w:left="459" w:hanging="425"/>
              <w:rPr>
                <w:rFonts w:asciiTheme="minorHAnsi" w:hAnsiTheme="minorHAnsi"/>
              </w:rPr>
            </w:pPr>
            <w:r w:rsidRPr="006B142F">
              <w:rPr>
                <w:rFonts w:asciiTheme="minorHAnsi" w:hAnsiTheme="minorHAnsi" w:cs="Arial"/>
                <w:lang w:eastAsia="en-NZ"/>
              </w:rPr>
              <w:t xml:space="preserve">in relation to the </w:t>
            </w:r>
            <w:r w:rsidRPr="006B142F">
              <w:rPr>
                <w:rFonts w:asciiTheme="minorHAnsi" w:hAnsiTheme="minorHAnsi" w:cs="Arial"/>
                <w:bCs/>
                <w:lang w:eastAsia="en-NZ"/>
              </w:rPr>
              <w:t>unallocated RAB</w:t>
            </w:r>
            <w:r w:rsidRPr="006B142F">
              <w:rPr>
                <w:rFonts w:asciiTheme="minorHAnsi" w:hAnsiTheme="minorHAnsi" w:cs="Arial"/>
                <w:lang w:eastAsia="en-NZ"/>
              </w:rPr>
              <w:t xml:space="preserve"> or </w:t>
            </w:r>
            <w:r w:rsidRPr="006B142F">
              <w:rPr>
                <w:rFonts w:asciiTheme="minorHAnsi" w:hAnsiTheme="minorHAnsi" w:cs="Arial"/>
                <w:bCs/>
                <w:lang w:eastAsia="en-NZ"/>
              </w:rPr>
              <w:t>works under construction</w:t>
            </w:r>
            <w:r w:rsidRPr="006B142F">
              <w:rPr>
                <w:rFonts w:asciiTheme="minorHAnsi" w:hAnsiTheme="minorHAnsi" w:cs="Arial"/>
                <w:lang w:eastAsia="en-NZ"/>
              </w:rPr>
              <w:t xml:space="preserve">, the sum of value of commissioned assets as determined in accordance with clause 2.2.11 of the </w:t>
            </w:r>
            <w:r w:rsidRPr="006B142F">
              <w:rPr>
                <w:rFonts w:asciiTheme="minorHAnsi" w:hAnsiTheme="minorHAnsi" w:cs="Arial"/>
                <w:bCs/>
                <w:lang w:eastAsia="en-NZ"/>
              </w:rPr>
              <w:t>IM determination</w:t>
            </w:r>
            <w:r w:rsidRPr="006B142F">
              <w:rPr>
                <w:rFonts w:asciiTheme="minorHAnsi" w:hAnsiTheme="minorHAnsi" w:cs="Arial"/>
                <w:lang w:eastAsia="en-NZ"/>
              </w:rPr>
              <w:t>;</w:t>
            </w:r>
          </w:p>
          <w:p w:rsidR="0089227F" w:rsidRPr="006B142F" w:rsidRDefault="0089227F" w:rsidP="0089227F">
            <w:pPr>
              <w:pStyle w:val="ListParagraph"/>
              <w:numPr>
                <w:ilvl w:val="0"/>
                <w:numId w:val="21"/>
              </w:numPr>
              <w:spacing w:line="264" w:lineRule="auto"/>
              <w:ind w:left="459" w:hanging="425"/>
              <w:rPr>
                <w:rFonts w:asciiTheme="minorHAnsi" w:hAnsiTheme="minorHAnsi"/>
              </w:rPr>
            </w:pPr>
            <w:r w:rsidRPr="006B142F">
              <w:rPr>
                <w:rFonts w:asciiTheme="minorHAnsi" w:hAnsiTheme="minorHAnsi" w:cs="Arial"/>
                <w:lang w:eastAsia="en-NZ"/>
              </w:rPr>
              <w:t xml:space="preserve">in relation to the </w:t>
            </w:r>
            <w:r w:rsidRPr="006B142F">
              <w:rPr>
                <w:rFonts w:asciiTheme="minorHAnsi" w:hAnsiTheme="minorHAnsi" w:cs="Arial"/>
                <w:bCs/>
                <w:lang w:eastAsia="en-NZ"/>
              </w:rPr>
              <w:t>RAB,</w:t>
            </w:r>
            <w:r w:rsidRPr="006B142F">
              <w:rPr>
                <w:rFonts w:asciiTheme="minorHAnsi" w:hAnsiTheme="minorHAnsi" w:cs="Arial"/>
                <w:lang w:eastAsia="en-NZ"/>
              </w:rPr>
              <w:t xml:space="preserve"> the value of the assets (as determined in accordance with paragraph (a)) which is allocated to the gas distribution services</w:t>
            </w:r>
            <w:r w:rsidRPr="006B142F">
              <w:rPr>
                <w:rFonts w:asciiTheme="minorHAnsi" w:hAnsiTheme="minorHAnsi" w:cs="Arial"/>
                <w:bCs/>
                <w:lang w:eastAsia="en-NZ"/>
              </w:rPr>
              <w:t xml:space="preserve"> </w:t>
            </w:r>
            <w:r w:rsidRPr="006B142F">
              <w:rPr>
                <w:rFonts w:asciiTheme="minorHAnsi" w:hAnsiTheme="minorHAnsi" w:cs="Arial"/>
                <w:lang w:eastAsia="en-NZ"/>
              </w:rPr>
              <w:t xml:space="preserve">in accordance with clause 2.1.1 of the </w:t>
            </w:r>
            <w:r w:rsidRPr="006B142F">
              <w:rPr>
                <w:rFonts w:asciiTheme="minorHAnsi" w:hAnsiTheme="minorHAnsi" w:cs="Arial"/>
                <w:bCs/>
                <w:lang w:eastAsia="en-NZ"/>
              </w:rPr>
              <w:t>IM determination</w:t>
            </w:r>
            <w:r w:rsidRPr="006B142F">
              <w:rPr>
                <w:rFonts w:asciiTheme="minorHAnsi" w:hAnsiTheme="minorHAnsi" w:cs="Arial"/>
                <w:lang w:eastAsia="en-NZ"/>
              </w:rPr>
              <w:t>;</w:t>
            </w:r>
          </w:p>
          <w:p w:rsidR="0089227F" w:rsidRPr="006B142F" w:rsidRDefault="0089227F" w:rsidP="0089227F">
            <w:pPr>
              <w:pStyle w:val="ListParagraph"/>
              <w:numPr>
                <w:ilvl w:val="0"/>
                <w:numId w:val="21"/>
              </w:numPr>
              <w:spacing w:line="264" w:lineRule="auto"/>
              <w:ind w:left="459" w:hanging="425"/>
              <w:rPr>
                <w:rFonts w:asciiTheme="minorHAnsi" w:hAnsiTheme="minorHAnsi"/>
              </w:rPr>
            </w:pPr>
            <w:r w:rsidRPr="006B142F">
              <w:rPr>
                <w:rFonts w:asciiTheme="minorHAnsi" w:hAnsiTheme="minorHAnsi" w:cs="Arial"/>
                <w:lang w:eastAsia="en-NZ"/>
              </w:rPr>
              <w:t xml:space="preserve">in relation to forecast information, a forecast of the value of the assets (as determined in accordance with paragraph (b)) for a future </w:t>
            </w:r>
            <w:r w:rsidRPr="006B142F">
              <w:rPr>
                <w:rFonts w:asciiTheme="minorHAnsi" w:hAnsiTheme="minorHAnsi" w:cs="Arial"/>
                <w:bCs/>
                <w:lang w:eastAsia="en-NZ"/>
              </w:rPr>
              <w:t>disclosure year</w:t>
            </w:r>
          </w:p>
        </w:tc>
      </w:tr>
      <w:tr w:rsidR="0089227F" w:rsidRPr="006B142F" w:rsidTr="00B20AEC">
        <w:trPr>
          <w:cantSplit/>
        </w:trPr>
        <w:tc>
          <w:tcPr>
            <w:tcW w:w="4621" w:type="dxa"/>
          </w:tcPr>
          <w:p w:rsidR="0089227F" w:rsidRPr="006B142F" w:rsidRDefault="0089227F" w:rsidP="0089227F">
            <w:pPr>
              <w:pStyle w:val="BodyText"/>
              <w:spacing w:line="264" w:lineRule="auto"/>
              <w:rPr>
                <w:rFonts w:asciiTheme="minorHAnsi" w:hAnsiTheme="minorHAnsi" w:cs="Arial"/>
                <w:bCs/>
                <w:lang w:eastAsia="en-NZ"/>
              </w:rPr>
            </w:pPr>
            <w:r w:rsidRPr="006B142F">
              <w:rPr>
                <w:rFonts w:asciiTheme="minorHAnsi" w:hAnsiTheme="minorHAnsi" w:cs="Arial"/>
                <w:bCs/>
                <w:lang w:eastAsia="en-NZ"/>
              </w:rPr>
              <w:t>Attribution rate</w:t>
            </w:r>
          </w:p>
        </w:tc>
        <w:tc>
          <w:tcPr>
            <w:tcW w:w="4622" w:type="dxa"/>
          </w:tcPr>
          <w:p w:rsidR="0089227F" w:rsidRPr="006B142F" w:rsidRDefault="0089227F" w:rsidP="0089227F">
            <w:pPr>
              <w:pStyle w:val="EquationsL2"/>
              <w:spacing w:line="264" w:lineRule="auto"/>
              <w:ind w:left="567"/>
              <w:rPr>
                <w:rFonts w:asciiTheme="minorHAnsi" w:hAnsiTheme="minorHAnsi"/>
              </w:rPr>
            </w:pPr>
            <w:r w:rsidRPr="006B142F">
              <w:rPr>
                <w:rFonts w:asciiTheme="minorHAnsi" w:hAnsiTheme="minorHAnsi" w:cs="Arial"/>
                <w:lang w:eastAsia="en-NZ"/>
              </w:rPr>
              <w:t>means:</w:t>
            </w:r>
            <w:r w:rsidRPr="006B142F">
              <w:rPr>
                <w:rFonts w:asciiTheme="minorHAnsi" w:hAnsiTheme="minorHAnsi" w:cs="Arial"/>
                <w:lang w:eastAsia="en-NZ"/>
              </w:rPr>
              <w:br/>
            </w:r>
            <w:r w:rsidRPr="006B142F">
              <w:rPr>
                <w:rFonts w:asciiTheme="minorHAnsi" w:hAnsiTheme="minorHAnsi"/>
                <w:position w:val="-10"/>
              </w:rPr>
              <w:object w:dxaOrig="200" w:dyaOrig="240">
                <v:shape id="_x0000_i1038" type="#_x0000_t75" style="width:10.3pt;height:12.15pt" o:ole="">
                  <v:imagedata r:id="rId93" o:title=""/>
                </v:shape>
                <o:OLEObject Type="Embed" ProgID="Equation.3" ShapeID="_x0000_i1038" DrawAspect="Content" ObjectID="_1403043782" r:id="rId94"/>
              </w:object>
            </w:r>
            <w:r w:rsidRPr="006B142F">
              <w:rPr>
                <w:rFonts w:asciiTheme="minorHAnsi" w:hAnsiTheme="minorHAnsi"/>
              </w:rPr>
              <w:tab/>
              <w:t>=</w:t>
            </w:r>
            <w:r w:rsidRPr="006B142F">
              <w:rPr>
                <w:rFonts w:asciiTheme="minorHAnsi" w:hAnsiTheme="minorHAnsi"/>
              </w:rPr>
              <w:tab/>
            </w:r>
            <w:r w:rsidRPr="006B142F">
              <w:rPr>
                <w:rFonts w:asciiTheme="minorHAnsi" w:hAnsiTheme="minorHAnsi"/>
                <w:position w:val="-22"/>
              </w:rPr>
              <w:object w:dxaOrig="520" w:dyaOrig="580">
                <v:shape id="_x0000_i1039" type="#_x0000_t75" style="width:26.2pt;height:29pt" o:ole="">
                  <v:imagedata r:id="rId95" o:title=""/>
                </v:shape>
                <o:OLEObject Type="Embed" ProgID="Equation.3" ShapeID="_x0000_i1039" DrawAspect="Content" ObjectID="_1403043783" r:id="rId96"/>
              </w:object>
            </w:r>
          </w:p>
          <w:p w:rsidR="0089227F" w:rsidRPr="006B142F" w:rsidRDefault="0089227F" w:rsidP="0089227F">
            <w:pPr>
              <w:tabs>
                <w:tab w:val="left" w:pos="4045"/>
              </w:tabs>
              <w:spacing w:line="264" w:lineRule="auto"/>
              <w:ind w:left="108"/>
              <w:rPr>
                <w:rFonts w:asciiTheme="minorHAnsi" w:hAnsiTheme="minorHAnsi" w:cs="Arial"/>
                <w:lang w:eastAsia="en-NZ"/>
              </w:rPr>
            </w:pPr>
            <w:r w:rsidRPr="006B142F">
              <w:rPr>
                <w:rFonts w:asciiTheme="minorHAnsi" w:hAnsiTheme="minorHAnsi" w:cs="Arial"/>
                <w:lang w:eastAsia="en-NZ"/>
              </w:rPr>
              <w:t>where:</w:t>
            </w:r>
            <w:r w:rsidRPr="006B142F">
              <w:rPr>
                <w:rFonts w:asciiTheme="minorHAnsi" w:hAnsiTheme="minorHAnsi" w:cs="Arial"/>
                <w:lang w:eastAsia="en-NZ"/>
              </w:rPr>
              <w:br/>
            </w:r>
            <w:r w:rsidRPr="006B142F">
              <w:rPr>
                <w:rFonts w:asciiTheme="minorHAnsi" w:hAnsiTheme="minorHAnsi"/>
                <w:position w:val="-6"/>
              </w:rPr>
              <w:object w:dxaOrig="200" w:dyaOrig="220">
                <v:shape id="_x0000_i1040" type="#_x0000_t75" style="width:10.3pt;height:12.15pt" o:ole="">
                  <v:imagedata r:id="rId97" o:title=""/>
                </v:shape>
                <o:OLEObject Type="Embed" ProgID="Equation.3" ShapeID="_x0000_i1040" DrawAspect="Content" ObjectID="_1403043784" r:id="rId98"/>
              </w:object>
            </w:r>
            <w:r w:rsidRPr="006B142F">
              <w:rPr>
                <w:rFonts w:asciiTheme="minorHAnsi" w:hAnsiTheme="minorHAnsi" w:cs="Arial"/>
                <w:lang w:eastAsia="en-NZ"/>
              </w:rPr>
              <w:t xml:space="preserve"> = </w:t>
            </w:r>
            <w:r w:rsidRPr="006B142F">
              <w:rPr>
                <w:rFonts w:asciiTheme="minorHAnsi" w:hAnsiTheme="minorHAnsi" w:cs="Arial"/>
                <w:bCs/>
                <w:lang w:eastAsia="en-NZ"/>
              </w:rPr>
              <w:t>average opening and closing RAB values</w:t>
            </w:r>
            <w:r w:rsidRPr="006B142F">
              <w:rPr>
                <w:rFonts w:asciiTheme="minorHAnsi" w:hAnsiTheme="minorHAnsi" w:cs="Arial"/>
                <w:lang w:eastAsia="en-NZ"/>
              </w:rPr>
              <w:br/>
            </w:r>
            <w:r w:rsidRPr="006B142F">
              <w:rPr>
                <w:rFonts w:asciiTheme="minorHAnsi" w:hAnsiTheme="minorHAnsi"/>
                <w:position w:val="-6"/>
              </w:rPr>
              <w:object w:dxaOrig="200" w:dyaOrig="279">
                <v:shape id="_x0000_i1041" type="#_x0000_t75" style="width:10.3pt;height:14.95pt" o:ole="">
                  <v:imagedata r:id="rId99" o:title=""/>
                </v:shape>
                <o:OLEObject Type="Embed" ProgID="Equation.3" ShapeID="_x0000_i1041" DrawAspect="Content" ObjectID="_1403043785" r:id="rId100"/>
              </w:object>
            </w:r>
            <w:r w:rsidRPr="006B142F">
              <w:rPr>
                <w:rFonts w:asciiTheme="minorHAnsi" w:hAnsiTheme="minorHAnsi" w:cs="Arial"/>
                <w:lang w:eastAsia="en-NZ"/>
              </w:rPr>
              <w:t xml:space="preserve"> = </w:t>
            </w:r>
            <w:r w:rsidRPr="006B142F">
              <w:rPr>
                <w:rFonts w:asciiTheme="minorHAnsi" w:hAnsiTheme="minorHAnsi" w:cs="Arial"/>
                <w:bCs/>
                <w:lang w:eastAsia="en-NZ"/>
              </w:rPr>
              <w:t>a leverage rate of 44%</w:t>
            </w:r>
            <w:r w:rsidRPr="006B142F">
              <w:rPr>
                <w:rFonts w:asciiTheme="minorHAnsi" w:hAnsiTheme="minorHAnsi" w:cs="Arial"/>
                <w:lang w:eastAsia="en-NZ"/>
              </w:rPr>
              <w:br/>
            </w:r>
            <w:r w:rsidRPr="006B142F">
              <w:rPr>
                <w:rFonts w:asciiTheme="minorHAnsi" w:hAnsiTheme="minorHAnsi"/>
                <w:position w:val="-6"/>
              </w:rPr>
              <w:object w:dxaOrig="180" w:dyaOrig="220">
                <v:shape id="_x0000_i1042" type="#_x0000_t75" style="width:10.3pt;height:12.15pt" o:ole="">
                  <v:imagedata r:id="rId101" o:title=""/>
                </v:shape>
                <o:OLEObject Type="Embed" ProgID="Equation.3" ShapeID="_x0000_i1042" DrawAspect="Content" ObjectID="_1403043786" r:id="rId102"/>
              </w:object>
            </w:r>
            <w:r w:rsidRPr="006B142F">
              <w:rPr>
                <w:rFonts w:asciiTheme="minorHAnsi" w:hAnsiTheme="minorHAnsi" w:cs="Arial"/>
                <w:lang w:eastAsia="en-NZ"/>
              </w:rPr>
              <w:t xml:space="preserve"> = </w:t>
            </w:r>
            <w:r w:rsidRPr="006B142F">
              <w:rPr>
                <w:rFonts w:asciiTheme="minorHAnsi" w:hAnsiTheme="minorHAnsi" w:cs="Arial"/>
                <w:bCs/>
                <w:lang w:eastAsia="en-NZ"/>
              </w:rPr>
              <w:t>total book value of interest bearing debt</w:t>
            </w:r>
          </w:p>
        </w:tc>
      </w:tr>
      <w:tr w:rsidR="0089227F" w:rsidRPr="006B142F" w:rsidTr="00B20AEC">
        <w:trPr>
          <w:cantSplit/>
        </w:trPr>
        <w:tc>
          <w:tcPr>
            <w:tcW w:w="4621" w:type="dxa"/>
          </w:tcPr>
          <w:p w:rsidR="0089227F" w:rsidRPr="006B142F" w:rsidRDefault="0089227F" w:rsidP="0089227F">
            <w:pPr>
              <w:pStyle w:val="BodyText"/>
              <w:spacing w:line="264" w:lineRule="auto"/>
              <w:rPr>
                <w:rFonts w:asciiTheme="minorHAnsi" w:hAnsiTheme="minorHAnsi" w:cs="Arial"/>
                <w:bCs/>
                <w:lang w:eastAsia="en-NZ"/>
              </w:rPr>
            </w:pPr>
            <w:r w:rsidRPr="006B142F">
              <w:rPr>
                <w:rFonts w:asciiTheme="minorHAnsi" w:hAnsiTheme="minorHAnsi" w:cs="Arial"/>
                <w:bCs/>
                <w:lang w:eastAsia="en-NZ"/>
              </w:rPr>
              <w:t>Average opening and closing RAB values</w:t>
            </w:r>
          </w:p>
        </w:tc>
        <w:tc>
          <w:tcPr>
            <w:tcW w:w="4622" w:type="dxa"/>
          </w:tcPr>
          <w:p w:rsidR="0089227F" w:rsidRPr="006B142F" w:rsidRDefault="0089227F" w:rsidP="0089227F">
            <w:pPr>
              <w:pStyle w:val="EquationsL2"/>
              <w:spacing w:line="264" w:lineRule="auto"/>
              <w:ind w:left="567"/>
              <w:rPr>
                <w:rFonts w:asciiTheme="minorHAnsi" w:hAnsiTheme="minorHAnsi"/>
              </w:rPr>
            </w:pPr>
            <w:r w:rsidRPr="006B142F">
              <w:rPr>
                <w:rFonts w:asciiTheme="minorHAnsi" w:hAnsiTheme="minorHAnsi" w:cs="Arial"/>
                <w:lang w:eastAsia="en-NZ"/>
              </w:rPr>
              <w:t>means;</w:t>
            </w:r>
            <w:r w:rsidRPr="006B142F">
              <w:rPr>
                <w:rFonts w:asciiTheme="minorHAnsi" w:hAnsiTheme="minorHAnsi" w:cs="Arial"/>
                <w:lang w:eastAsia="en-NZ"/>
              </w:rPr>
              <w:br/>
            </w:r>
            <w:r w:rsidRPr="006B142F">
              <w:rPr>
                <w:rFonts w:asciiTheme="minorHAnsi" w:hAnsiTheme="minorHAnsi"/>
                <w:position w:val="-10"/>
              </w:rPr>
              <w:object w:dxaOrig="200" w:dyaOrig="240">
                <v:shape id="_x0000_i1043" type="#_x0000_t75" style="width:10.3pt;height:12.15pt" o:ole="">
                  <v:imagedata r:id="rId103" o:title=""/>
                </v:shape>
                <o:OLEObject Type="Embed" ProgID="Equation.3" ShapeID="_x0000_i1043" DrawAspect="Content" ObjectID="_1403043787" r:id="rId104"/>
              </w:object>
            </w:r>
            <w:r w:rsidRPr="006B142F">
              <w:rPr>
                <w:rFonts w:asciiTheme="minorHAnsi" w:hAnsiTheme="minorHAnsi"/>
              </w:rPr>
              <w:tab/>
              <w:t>=</w:t>
            </w:r>
            <w:r w:rsidRPr="006B142F">
              <w:rPr>
                <w:rFonts w:asciiTheme="minorHAnsi" w:hAnsiTheme="minorHAnsi"/>
              </w:rPr>
              <w:tab/>
            </w:r>
            <w:r w:rsidRPr="006B142F">
              <w:rPr>
                <w:rFonts w:asciiTheme="minorHAnsi" w:hAnsiTheme="minorHAnsi"/>
              </w:rPr>
              <w:tab/>
            </w:r>
            <w:r w:rsidRPr="006B142F">
              <w:rPr>
                <w:rFonts w:asciiTheme="minorHAnsi" w:hAnsiTheme="minorHAnsi"/>
                <w:position w:val="-24"/>
              </w:rPr>
              <w:object w:dxaOrig="580" w:dyaOrig="620">
                <v:shape id="_x0000_i1044" type="#_x0000_t75" style="width:29pt;height:30.85pt" o:ole="">
                  <v:imagedata r:id="rId105" o:title=""/>
                </v:shape>
                <o:OLEObject Type="Embed" ProgID="Equation.3" ShapeID="_x0000_i1044" DrawAspect="Content" ObjectID="_1403043788" r:id="rId106"/>
              </w:object>
            </w:r>
          </w:p>
          <w:p w:rsidR="0089227F" w:rsidRPr="006B142F" w:rsidRDefault="0089227F" w:rsidP="0089227F">
            <w:pPr>
              <w:tabs>
                <w:tab w:val="left" w:pos="4045"/>
              </w:tabs>
              <w:spacing w:line="264" w:lineRule="auto"/>
              <w:ind w:left="108"/>
              <w:rPr>
                <w:rFonts w:asciiTheme="minorHAnsi" w:hAnsiTheme="minorHAnsi" w:cs="Arial"/>
                <w:lang w:eastAsia="en-NZ"/>
              </w:rPr>
            </w:pPr>
            <w:r w:rsidRPr="006B142F">
              <w:rPr>
                <w:rFonts w:asciiTheme="minorHAnsi" w:hAnsiTheme="minorHAnsi" w:cs="Arial"/>
                <w:lang w:eastAsia="en-NZ"/>
              </w:rPr>
              <w:t>where:</w:t>
            </w:r>
            <w:r w:rsidRPr="006B142F">
              <w:rPr>
                <w:rFonts w:asciiTheme="minorHAnsi" w:hAnsiTheme="minorHAnsi" w:cs="Arial"/>
                <w:lang w:eastAsia="en-NZ"/>
              </w:rPr>
              <w:br/>
            </w:r>
            <w:r w:rsidRPr="006B142F">
              <w:rPr>
                <w:rFonts w:asciiTheme="minorHAnsi" w:hAnsiTheme="minorHAnsi"/>
                <w:position w:val="-6"/>
              </w:rPr>
              <w:object w:dxaOrig="200" w:dyaOrig="220">
                <v:shape id="_x0000_i1045" type="#_x0000_t75" style="width:10.3pt;height:12.15pt" o:ole="">
                  <v:imagedata r:id="rId97" o:title=""/>
                </v:shape>
                <o:OLEObject Type="Embed" ProgID="Equation.3" ShapeID="_x0000_i1045" DrawAspect="Content" ObjectID="_1403043789" r:id="rId107"/>
              </w:object>
            </w:r>
            <w:r w:rsidRPr="006B142F">
              <w:rPr>
                <w:rFonts w:asciiTheme="minorHAnsi" w:hAnsiTheme="minorHAnsi" w:cs="Arial"/>
                <w:lang w:eastAsia="en-NZ"/>
              </w:rPr>
              <w:t xml:space="preserve"> = </w:t>
            </w:r>
            <w:r w:rsidRPr="006B142F">
              <w:rPr>
                <w:rFonts w:asciiTheme="minorHAnsi" w:hAnsiTheme="minorHAnsi" w:cs="Arial"/>
                <w:bCs/>
                <w:lang w:eastAsia="en-NZ"/>
              </w:rPr>
              <w:t>total opening RAB value</w:t>
            </w:r>
            <w:r w:rsidRPr="006B142F">
              <w:rPr>
                <w:rFonts w:asciiTheme="minorHAnsi" w:hAnsiTheme="minorHAnsi" w:cs="Arial"/>
                <w:lang w:eastAsia="en-NZ"/>
              </w:rPr>
              <w:br/>
            </w:r>
            <w:r w:rsidRPr="006B142F">
              <w:rPr>
                <w:rFonts w:asciiTheme="minorHAnsi" w:hAnsiTheme="minorHAnsi"/>
                <w:position w:val="-6"/>
              </w:rPr>
              <w:object w:dxaOrig="200" w:dyaOrig="279">
                <v:shape id="_x0000_i1046" type="#_x0000_t75" style="width:10.3pt;height:14.95pt" o:ole="">
                  <v:imagedata r:id="rId99" o:title=""/>
                </v:shape>
                <o:OLEObject Type="Embed" ProgID="Equation.3" ShapeID="_x0000_i1046" DrawAspect="Content" ObjectID="_1403043790" r:id="rId108"/>
              </w:object>
            </w:r>
            <w:r w:rsidRPr="006B142F">
              <w:rPr>
                <w:rFonts w:asciiTheme="minorHAnsi" w:hAnsiTheme="minorHAnsi" w:cs="Arial"/>
                <w:lang w:eastAsia="en-NZ"/>
              </w:rPr>
              <w:t xml:space="preserve"> = </w:t>
            </w:r>
            <w:r w:rsidRPr="006B142F">
              <w:rPr>
                <w:rFonts w:asciiTheme="minorHAnsi" w:hAnsiTheme="minorHAnsi" w:cs="Arial"/>
                <w:bCs/>
                <w:lang w:eastAsia="en-NZ"/>
              </w:rPr>
              <w:t>total closing RAB value</w:t>
            </w:r>
          </w:p>
        </w:tc>
      </w:tr>
      <w:tr w:rsidR="0089227F" w:rsidRPr="006B142F" w:rsidTr="00B20AEC">
        <w:trPr>
          <w:cantSplit/>
        </w:trPr>
        <w:tc>
          <w:tcPr>
            <w:tcW w:w="4621" w:type="dxa"/>
          </w:tcPr>
          <w:p w:rsidR="0089227F" w:rsidRPr="006B142F" w:rsidRDefault="0089227F" w:rsidP="0089227F">
            <w:pPr>
              <w:pStyle w:val="BodyText"/>
              <w:spacing w:line="264" w:lineRule="auto"/>
              <w:rPr>
                <w:rFonts w:asciiTheme="minorHAnsi" w:hAnsiTheme="minorHAnsi" w:cs="Arial"/>
                <w:bCs/>
                <w:lang w:eastAsia="en-NZ"/>
              </w:rPr>
            </w:pPr>
            <w:r w:rsidRPr="006B142F">
              <w:rPr>
                <w:rFonts w:asciiTheme="minorHAnsi" w:hAnsiTheme="minorHAnsi" w:cs="Arial"/>
                <w:bCs/>
                <w:lang w:eastAsia="en-NZ"/>
              </w:rPr>
              <w:t>Average total number of distribution customers</w:t>
            </w:r>
          </w:p>
        </w:tc>
        <w:tc>
          <w:tcPr>
            <w:tcW w:w="4622" w:type="dxa"/>
          </w:tcPr>
          <w:p w:rsidR="0089227F" w:rsidRPr="006B142F" w:rsidRDefault="0089227F" w:rsidP="0089227F">
            <w:pPr>
              <w:pStyle w:val="EquationsL2"/>
              <w:spacing w:line="264" w:lineRule="auto"/>
              <w:ind w:left="0" w:firstLine="0"/>
              <w:rPr>
                <w:rFonts w:asciiTheme="minorHAnsi" w:hAnsiTheme="minorHAnsi" w:cs="Arial"/>
                <w:lang w:eastAsia="en-NZ"/>
              </w:rPr>
            </w:pPr>
            <w:r w:rsidRPr="006B142F">
              <w:rPr>
                <w:rFonts w:asciiTheme="minorHAnsi" w:hAnsiTheme="minorHAnsi" w:cs="Arial"/>
                <w:lang w:eastAsia="en-NZ"/>
              </w:rPr>
              <w:t>means the average of customer numbers measured at the start of the disclosure year and at the end of the disclosure year</w:t>
            </w:r>
          </w:p>
        </w:tc>
      </w:tr>
      <w:tr w:rsidR="0089227F" w:rsidRPr="006B142F" w:rsidTr="00B20AEC">
        <w:trPr>
          <w:cantSplit/>
        </w:trPr>
        <w:tc>
          <w:tcPr>
            <w:tcW w:w="4621" w:type="dxa"/>
          </w:tcPr>
          <w:p w:rsidR="0089227F" w:rsidRPr="006B142F" w:rsidRDefault="0089227F" w:rsidP="0089227F">
            <w:pPr>
              <w:pStyle w:val="BodyText"/>
              <w:spacing w:line="264" w:lineRule="auto"/>
              <w:rPr>
                <w:rFonts w:asciiTheme="minorHAnsi" w:hAnsiTheme="minorHAnsi" w:cs="Arial"/>
                <w:bCs/>
                <w:lang w:eastAsia="en-NZ"/>
              </w:rPr>
            </w:pPr>
            <w:r w:rsidRPr="006B142F">
              <w:rPr>
                <w:rFonts w:asciiTheme="minorHAnsi" w:hAnsiTheme="minorHAnsi" w:cs="Arial"/>
                <w:bCs/>
                <w:lang w:eastAsia="en-NZ"/>
              </w:rPr>
              <w:t xml:space="preserve">Basis for determining value </w:t>
            </w:r>
          </w:p>
        </w:tc>
        <w:tc>
          <w:tcPr>
            <w:tcW w:w="4622" w:type="dxa"/>
          </w:tcPr>
          <w:p w:rsidR="0089227F" w:rsidRPr="006B142F" w:rsidRDefault="0089227F" w:rsidP="0089227F">
            <w:pPr>
              <w:pStyle w:val="EquationsL2"/>
              <w:spacing w:line="264" w:lineRule="auto"/>
              <w:ind w:left="34" w:firstLine="0"/>
              <w:rPr>
                <w:rFonts w:asciiTheme="minorHAnsi" w:hAnsiTheme="minorHAnsi" w:cs="Arial"/>
                <w:lang w:eastAsia="en-NZ"/>
              </w:rPr>
            </w:pPr>
            <w:r w:rsidRPr="006B142F">
              <w:rPr>
                <w:rFonts w:asciiTheme="minorHAnsi" w:hAnsiTheme="minorHAnsi" w:cs="Arial"/>
                <w:lang w:eastAsia="en-NZ"/>
              </w:rPr>
              <w:t>means the basis for determining the value of the related party transaction in accordance with clause 5 of section 2.3</w:t>
            </w:r>
          </w:p>
        </w:tc>
      </w:tr>
      <w:tr w:rsidR="0089227F" w:rsidRPr="006B142F" w:rsidTr="00B20AEC">
        <w:trPr>
          <w:cantSplit/>
        </w:trPr>
        <w:tc>
          <w:tcPr>
            <w:tcW w:w="4621" w:type="dxa"/>
          </w:tcPr>
          <w:p w:rsidR="0089227F" w:rsidRPr="006B142F" w:rsidRDefault="0089227F" w:rsidP="0089227F">
            <w:pPr>
              <w:pStyle w:val="Tablebodytext"/>
              <w:rPr>
                <w:rFonts w:asciiTheme="minorHAnsi" w:hAnsiTheme="minorHAnsi"/>
                <w:szCs w:val="24"/>
              </w:rPr>
            </w:pPr>
            <w:r w:rsidRPr="006B142F">
              <w:rPr>
                <w:rFonts w:asciiTheme="minorHAnsi" w:hAnsiTheme="minorHAnsi"/>
                <w:szCs w:val="24"/>
              </w:rPr>
              <w:t>Billed quantities</w:t>
            </w:r>
          </w:p>
        </w:tc>
        <w:tc>
          <w:tcPr>
            <w:tcW w:w="4622" w:type="dxa"/>
          </w:tcPr>
          <w:p w:rsidR="0089227F" w:rsidRPr="006B142F" w:rsidRDefault="0089227F" w:rsidP="0089227F">
            <w:pPr>
              <w:pStyle w:val="BodyText"/>
              <w:rPr>
                <w:rFonts w:asciiTheme="minorHAnsi" w:hAnsiTheme="minorHAnsi"/>
                <w:i/>
              </w:rPr>
            </w:pPr>
            <w:r w:rsidRPr="006B142F">
              <w:rPr>
                <w:rFonts w:asciiTheme="minorHAnsi" w:hAnsiTheme="minorHAnsi"/>
              </w:rPr>
              <w:t xml:space="preserve">means the quantities associated with charge types upon which the </w:t>
            </w:r>
            <w:r w:rsidRPr="006B142F">
              <w:rPr>
                <w:rFonts w:asciiTheme="minorHAnsi" w:hAnsiTheme="minorHAnsi"/>
                <w:bCs/>
              </w:rPr>
              <w:t>consumer’s</w:t>
            </w:r>
            <w:r w:rsidRPr="006B142F">
              <w:rPr>
                <w:rFonts w:asciiTheme="minorHAnsi" w:hAnsiTheme="minorHAnsi"/>
              </w:rPr>
              <w:t xml:space="preserve"> bill for gas pipeline services is based, expressed in the units of measure used by the GDB for setting prices (for example volumes of gas delivered in GJ).</w:t>
            </w:r>
          </w:p>
        </w:tc>
      </w:tr>
      <w:tr w:rsidR="0089227F" w:rsidRPr="006B142F" w:rsidTr="00B20AEC">
        <w:trPr>
          <w:cantSplit/>
        </w:trPr>
        <w:tc>
          <w:tcPr>
            <w:tcW w:w="4621" w:type="dxa"/>
          </w:tcPr>
          <w:p w:rsidR="0089227F" w:rsidRPr="006B142F" w:rsidRDefault="0089227F" w:rsidP="0089227F">
            <w:pPr>
              <w:pStyle w:val="BodyText"/>
              <w:spacing w:line="264" w:lineRule="auto"/>
              <w:rPr>
                <w:rFonts w:asciiTheme="minorHAnsi" w:hAnsiTheme="minorHAnsi" w:cs="Arial"/>
                <w:bCs/>
                <w:lang w:eastAsia="en-NZ"/>
              </w:rPr>
            </w:pPr>
            <w:r w:rsidRPr="006B142F">
              <w:rPr>
                <w:rFonts w:asciiTheme="minorHAnsi" w:hAnsiTheme="minorHAnsi" w:cs="Arial"/>
                <w:bCs/>
                <w:lang w:eastAsia="en-NZ"/>
              </w:rPr>
              <w:t>Book value</w:t>
            </w:r>
          </w:p>
        </w:tc>
        <w:tc>
          <w:tcPr>
            <w:tcW w:w="4622" w:type="dxa"/>
          </w:tcPr>
          <w:p w:rsidR="0089227F" w:rsidRPr="006B142F" w:rsidRDefault="0089227F" w:rsidP="0089227F">
            <w:pPr>
              <w:spacing w:line="264" w:lineRule="auto"/>
              <w:ind w:left="459" w:hanging="425"/>
              <w:rPr>
                <w:rFonts w:asciiTheme="minorHAnsi" w:hAnsiTheme="minorHAnsi" w:cs="Arial"/>
                <w:lang w:eastAsia="en-NZ"/>
              </w:rPr>
            </w:pPr>
            <w:r w:rsidRPr="006B142F">
              <w:rPr>
                <w:rFonts w:asciiTheme="minorHAnsi" w:hAnsiTheme="minorHAnsi" w:cs="Arial"/>
                <w:lang w:eastAsia="en-NZ"/>
              </w:rPr>
              <w:t>means:</w:t>
            </w:r>
          </w:p>
          <w:p w:rsidR="0089227F" w:rsidRPr="006B142F" w:rsidRDefault="0089227F" w:rsidP="0089227F">
            <w:pPr>
              <w:pStyle w:val="ListParagraph"/>
              <w:numPr>
                <w:ilvl w:val="0"/>
                <w:numId w:val="22"/>
              </w:numPr>
              <w:spacing w:line="264" w:lineRule="auto"/>
              <w:ind w:left="459" w:hanging="425"/>
              <w:rPr>
                <w:rFonts w:asciiTheme="minorHAnsi" w:hAnsiTheme="minorHAnsi" w:cs="Arial"/>
                <w:lang w:eastAsia="en-NZ"/>
              </w:rPr>
            </w:pPr>
            <w:r w:rsidRPr="006B142F">
              <w:rPr>
                <w:rFonts w:asciiTheme="minorHAnsi" w:hAnsiTheme="minorHAnsi" w:cs="Arial"/>
                <w:lang w:eastAsia="en-NZ"/>
              </w:rPr>
              <w:t xml:space="preserve">in relation to the issue date, the book value in New Zealand dollars of a </w:t>
            </w:r>
            <w:r w:rsidRPr="006B142F">
              <w:rPr>
                <w:rFonts w:asciiTheme="minorHAnsi" w:hAnsiTheme="minorHAnsi" w:cs="Arial"/>
                <w:bCs/>
                <w:lang w:eastAsia="en-NZ"/>
              </w:rPr>
              <w:t>qualifying debt</w:t>
            </w:r>
            <w:r w:rsidRPr="006B142F">
              <w:rPr>
                <w:rFonts w:asciiTheme="minorHAnsi" w:hAnsiTheme="minorHAnsi" w:cs="Arial"/>
                <w:lang w:eastAsia="en-NZ"/>
              </w:rPr>
              <w:t xml:space="preserve"> or </w:t>
            </w:r>
            <w:r w:rsidRPr="006B142F">
              <w:rPr>
                <w:rFonts w:asciiTheme="minorHAnsi" w:hAnsiTheme="minorHAnsi" w:cs="Arial"/>
                <w:bCs/>
                <w:lang w:eastAsia="en-NZ"/>
              </w:rPr>
              <w:t>non-qualifying debt</w:t>
            </w:r>
            <w:r w:rsidRPr="006B142F">
              <w:rPr>
                <w:rFonts w:asciiTheme="minorHAnsi" w:hAnsiTheme="minorHAnsi" w:cs="Arial"/>
                <w:lang w:eastAsia="en-NZ"/>
              </w:rPr>
              <w:t xml:space="preserve"> on the </w:t>
            </w:r>
            <w:r w:rsidRPr="006B142F">
              <w:rPr>
                <w:rFonts w:asciiTheme="minorHAnsi" w:hAnsiTheme="minorHAnsi" w:cs="Arial"/>
                <w:bCs/>
                <w:lang w:eastAsia="en-NZ"/>
              </w:rPr>
              <w:t>issue date</w:t>
            </w:r>
            <w:r w:rsidRPr="006B142F">
              <w:rPr>
                <w:rFonts w:asciiTheme="minorHAnsi" w:hAnsiTheme="minorHAnsi" w:cs="Arial"/>
                <w:lang w:eastAsia="en-NZ"/>
              </w:rPr>
              <w:t xml:space="preserve"> </w:t>
            </w:r>
          </w:p>
          <w:p w:rsidR="0089227F" w:rsidRPr="006B142F" w:rsidRDefault="0089227F" w:rsidP="0089227F">
            <w:pPr>
              <w:pStyle w:val="ListParagraph"/>
              <w:numPr>
                <w:ilvl w:val="0"/>
                <w:numId w:val="22"/>
              </w:numPr>
              <w:tabs>
                <w:tab w:val="left" w:pos="4045"/>
              </w:tabs>
              <w:spacing w:line="264" w:lineRule="auto"/>
              <w:ind w:left="459" w:hanging="425"/>
              <w:rPr>
                <w:rFonts w:asciiTheme="minorHAnsi" w:hAnsiTheme="minorHAnsi" w:cs="Arial"/>
                <w:lang w:eastAsia="en-NZ"/>
              </w:rPr>
            </w:pPr>
            <w:r w:rsidRPr="006B142F">
              <w:rPr>
                <w:rFonts w:asciiTheme="minorHAnsi" w:hAnsiTheme="minorHAnsi" w:cs="Arial"/>
                <w:lang w:eastAsia="en-NZ"/>
              </w:rPr>
              <w:t xml:space="preserve">in relation to the date of financial statements, the book value in New Zealand dollars of a qualifying debt or non-qualifying debt as at the end of the period of the </w:t>
            </w:r>
            <w:proofErr w:type="spellStart"/>
            <w:r w:rsidRPr="006B142F">
              <w:rPr>
                <w:rFonts w:asciiTheme="minorHAnsi" w:hAnsiTheme="minorHAnsi" w:cs="Arial"/>
                <w:lang w:eastAsia="en-NZ"/>
              </w:rPr>
              <w:t>GDB’s</w:t>
            </w:r>
            <w:proofErr w:type="spellEnd"/>
            <w:r w:rsidRPr="006B142F">
              <w:rPr>
                <w:rFonts w:asciiTheme="minorHAnsi" w:hAnsiTheme="minorHAnsi" w:cs="Arial"/>
                <w:lang w:eastAsia="en-NZ"/>
              </w:rPr>
              <w:t xml:space="preserve"> latest general purpose financial statements</w:t>
            </w:r>
          </w:p>
        </w:tc>
      </w:tr>
      <w:tr w:rsidR="006B142F" w:rsidRPr="006B142F" w:rsidTr="00B20AEC">
        <w:trPr>
          <w:cantSplit/>
        </w:trPr>
        <w:tc>
          <w:tcPr>
            <w:tcW w:w="4621" w:type="dxa"/>
          </w:tcPr>
          <w:p w:rsidR="006B142F" w:rsidRPr="006B142F" w:rsidRDefault="006B142F" w:rsidP="0089227F">
            <w:pPr>
              <w:pStyle w:val="BodyText"/>
              <w:spacing w:line="264" w:lineRule="auto"/>
              <w:rPr>
                <w:rFonts w:asciiTheme="minorHAnsi" w:hAnsiTheme="minorHAnsi" w:cs="Arial"/>
                <w:bCs/>
                <w:lang w:eastAsia="en-NZ"/>
              </w:rPr>
            </w:pPr>
            <w:r w:rsidRPr="006B142F">
              <w:rPr>
                <w:rFonts w:asciiTheme="minorHAnsi" w:hAnsiTheme="minorHAnsi"/>
              </w:rPr>
              <w:t>Business support</w:t>
            </w:r>
          </w:p>
        </w:tc>
        <w:tc>
          <w:tcPr>
            <w:tcW w:w="4622" w:type="dxa"/>
          </w:tcPr>
          <w:p w:rsidR="006B142F" w:rsidRPr="006B142F" w:rsidRDefault="006B142F" w:rsidP="00A472A3">
            <w:pPr>
              <w:spacing w:line="264" w:lineRule="auto"/>
              <w:rPr>
                <w:rFonts w:asciiTheme="minorHAnsi" w:hAnsiTheme="minorHAnsi"/>
              </w:rPr>
            </w:pPr>
            <w:r w:rsidRPr="006B142F">
              <w:rPr>
                <w:szCs w:val="20"/>
              </w:rPr>
              <w:t xml:space="preserve">in relation to expenditure, </w:t>
            </w:r>
            <w:r w:rsidRPr="006B142F">
              <w:rPr>
                <w:rFonts w:asciiTheme="minorHAnsi" w:hAnsiTheme="minorHAnsi"/>
                <w:szCs w:val="20"/>
              </w:rPr>
              <w:t>means operational expenditure associated with the following corporate activities:</w:t>
            </w:r>
          </w:p>
          <w:p w:rsidR="006B142F" w:rsidRPr="006B142F" w:rsidRDefault="006B142F" w:rsidP="006B142F">
            <w:pPr>
              <w:pStyle w:val="Bullet"/>
              <w:numPr>
                <w:ilvl w:val="0"/>
                <w:numId w:val="157"/>
              </w:numPr>
              <w:tabs>
                <w:tab w:val="num" w:pos="709"/>
              </w:tabs>
              <w:spacing w:before="60" w:after="60" w:line="264" w:lineRule="auto"/>
              <w:ind w:left="318" w:hanging="318"/>
              <w:rPr>
                <w:rFonts w:asciiTheme="minorHAnsi" w:hAnsiTheme="minorHAnsi"/>
              </w:rPr>
            </w:pPr>
            <w:r w:rsidRPr="006B142F">
              <w:rPr>
                <w:rFonts w:asciiTheme="minorHAnsi" w:hAnsiTheme="minorHAnsi"/>
                <w:szCs w:val="20"/>
              </w:rPr>
              <w:t>HR and training (other than operational training)</w:t>
            </w:r>
          </w:p>
          <w:p w:rsidR="006B142F" w:rsidRPr="006B142F" w:rsidRDefault="006B142F" w:rsidP="006B142F">
            <w:pPr>
              <w:pStyle w:val="Bullet"/>
              <w:numPr>
                <w:ilvl w:val="0"/>
                <w:numId w:val="157"/>
              </w:numPr>
              <w:tabs>
                <w:tab w:val="num" w:pos="709"/>
              </w:tabs>
              <w:spacing w:before="60" w:after="60" w:line="264" w:lineRule="auto"/>
              <w:ind w:left="318" w:hanging="318"/>
              <w:rPr>
                <w:rFonts w:asciiTheme="minorHAnsi" w:hAnsiTheme="minorHAnsi"/>
              </w:rPr>
            </w:pPr>
            <w:r w:rsidRPr="006B142F">
              <w:rPr>
                <w:rFonts w:asciiTheme="minorHAnsi" w:hAnsiTheme="minorHAnsi"/>
                <w:szCs w:val="20"/>
              </w:rPr>
              <w:t>finance and regulation including compliance activities, valuations and auditing</w:t>
            </w:r>
          </w:p>
          <w:p w:rsidR="006B142F" w:rsidRPr="006B142F" w:rsidRDefault="006B142F" w:rsidP="006B142F">
            <w:pPr>
              <w:pStyle w:val="Bullet"/>
              <w:numPr>
                <w:ilvl w:val="0"/>
                <w:numId w:val="157"/>
              </w:numPr>
              <w:tabs>
                <w:tab w:val="num" w:pos="709"/>
              </w:tabs>
              <w:spacing w:before="60" w:after="60" w:line="264" w:lineRule="auto"/>
              <w:ind w:left="318" w:hanging="318"/>
              <w:rPr>
                <w:rFonts w:asciiTheme="minorHAnsi" w:hAnsiTheme="minorHAnsi"/>
              </w:rPr>
            </w:pPr>
            <w:r w:rsidRPr="006B142F">
              <w:rPr>
                <w:rFonts w:asciiTheme="minorHAnsi" w:hAnsiTheme="minorHAnsi"/>
                <w:szCs w:val="20"/>
              </w:rPr>
              <w:t>CEO and director costs</w:t>
            </w:r>
          </w:p>
          <w:p w:rsidR="006B142F" w:rsidRPr="006B142F" w:rsidRDefault="006B142F" w:rsidP="006B142F">
            <w:pPr>
              <w:pStyle w:val="Bullet"/>
              <w:numPr>
                <w:ilvl w:val="0"/>
                <w:numId w:val="157"/>
              </w:numPr>
              <w:tabs>
                <w:tab w:val="num" w:pos="709"/>
              </w:tabs>
              <w:spacing w:before="60" w:after="60" w:line="264" w:lineRule="auto"/>
              <w:ind w:left="318" w:hanging="318"/>
              <w:rPr>
                <w:rFonts w:asciiTheme="minorHAnsi" w:hAnsiTheme="minorHAnsi"/>
              </w:rPr>
            </w:pPr>
            <w:r w:rsidRPr="006B142F">
              <w:rPr>
                <w:rFonts w:asciiTheme="minorHAnsi" w:hAnsiTheme="minorHAnsi"/>
                <w:szCs w:val="20"/>
              </w:rPr>
              <w:t xml:space="preserve">legal services </w:t>
            </w:r>
          </w:p>
          <w:p w:rsidR="006B142F" w:rsidRPr="006B142F" w:rsidRDefault="006B142F" w:rsidP="006B142F">
            <w:pPr>
              <w:pStyle w:val="Bullet"/>
              <w:numPr>
                <w:ilvl w:val="0"/>
                <w:numId w:val="157"/>
              </w:numPr>
              <w:tabs>
                <w:tab w:val="num" w:pos="709"/>
              </w:tabs>
              <w:spacing w:before="60" w:after="60" w:line="264" w:lineRule="auto"/>
              <w:ind w:left="318" w:hanging="318"/>
              <w:rPr>
                <w:rFonts w:asciiTheme="minorHAnsi" w:hAnsiTheme="minorHAnsi"/>
              </w:rPr>
            </w:pPr>
            <w:r w:rsidRPr="006B142F">
              <w:rPr>
                <w:rFonts w:asciiTheme="minorHAnsi" w:hAnsiTheme="minorHAnsi"/>
                <w:szCs w:val="20"/>
              </w:rPr>
              <w:t>consulting services (excluding engineering/technical consulting)</w:t>
            </w:r>
          </w:p>
          <w:p w:rsidR="006B142F" w:rsidRPr="006B142F" w:rsidRDefault="006B142F" w:rsidP="006B142F">
            <w:pPr>
              <w:pStyle w:val="Bullet"/>
              <w:numPr>
                <w:ilvl w:val="0"/>
                <w:numId w:val="157"/>
              </w:numPr>
              <w:tabs>
                <w:tab w:val="num" w:pos="709"/>
              </w:tabs>
              <w:spacing w:before="60" w:after="60" w:line="264" w:lineRule="auto"/>
              <w:ind w:left="318" w:hanging="318"/>
              <w:rPr>
                <w:rFonts w:asciiTheme="minorHAnsi" w:hAnsiTheme="minorHAnsi"/>
              </w:rPr>
            </w:pPr>
            <w:r w:rsidRPr="006B142F">
              <w:rPr>
                <w:rFonts w:asciiTheme="minorHAnsi" w:hAnsiTheme="minorHAnsi"/>
                <w:szCs w:val="20"/>
              </w:rPr>
              <w:t>property management</w:t>
            </w:r>
          </w:p>
          <w:p w:rsidR="006B142F" w:rsidRPr="006B142F" w:rsidRDefault="006B142F" w:rsidP="006B142F">
            <w:pPr>
              <w:pStyle w:val="Bullet"/>
              <w:numPr>
                <w:ilvl w:val="0"/>
                <w:numId w:val="157"/>
              </w:numPr>
              <w:tabs>
                <w:tab w:val="num" w:pos="709"/>
              </w:tabs>
              <w:spacing w:before="60" w:after="60" w:line="264" w:lineRule="auto"/>
              <w:ind w:left="318" w:hanging="318"/>
              <w:rPr>
                <w:rFonts w:asciiTheme="minorHAnsi" w:hAnsiTheme="minorHAnsi"/>
              </w:rPr>
            </w:pPr>
            <w:r w:rsidRPr="006B142F">
              <w:rPr>
                <w:rFonts w:asciiTheme="minorHAnsi" w:hAnsiTheme="minorHAnsi"/>
                <w:szCs w:val="20"/>
              </w:rPr>
              <w:t>corporate communications</w:t>
            </w:r>
          </w:p>
          <w:p w:rsidR="006B142F" w:rsidRPr="006B142F" w:rsidRDefault="006B142F" w:rsidP="006B142F">
            <w:pPr>
              <w:pStyle w:val="Bullet"/>
              <w:numPr>
                <w:ilvl w:val="0"/>
                <w:numId w:val="157"/>
              </w:numPr>
              <w:tabs>
                <w:tab w:val="num" w:pos="709"/>
              </w:tabs>
              <w:spacing w:before="60" w:after="60" w:line="264" w:lineRule="auto"/>
              <w:ind w:left="318" w:hanging="318"/>
              <w:rPr>
                <w:rFonts w:asciiTheme="minorHAnsi" w:hAnsiTheme="minorHAnsi"/>
              </w:rPr>
            </w:pPr>
            <w:r w:rsidRPr="006B142F">
              <w:rPr>
                <w:rFonts w:asciiTheme="minorHAnsi" w:hAnsiTheme="minorHAnsi"/>
                <w:szCs w:val="20"/>
              </w:rPr>
              <w:t>corporate IT</w:t>
            </w:r>
          </w:p>
          <w:p w:rsidR="006B142F" w:rsidRPr="006B142F" w:rsidRDefault="006B142F" w:rsidP="006B142F">
            <w:pPr>
              <w:pStyle w:val="Bullet"/>
              <w:numPr>
                <w:ilvl w:val="0"/>
                <w:numId w:val="157"/>
              </w:numPr>
              <w:tabs>
                <w:tab w:val="num" w:pos="709"/>
              </w:tabs>
              <w:spacing w:before="60" w:after="60" w:line="264" w:lineRule="auto"/>
              <w:ind w:left="318" w:hanging="318"/>
              <w:rPr>
                <w:rFonts w:asciiTheme="minorHAnsi" w:hAnsiTheme="minorHAnsi"/>
              </w:rPr>
            </w:pPr>
            <w:r w:rsidRPr="006B142F">
              <w:rPr>
                <w:rFonts w:asciiTheme="minorHAnsi" w:hAnsiTheme="minorHAnsi"/>
                <w:szCs w:val="20"/>
              </w:rPr>
              <w:t>industry liaison and participation</w:t>
            </w:r>
          </w:p>
          <w:p w:rsidR="006B142F" w:rsidRPr="006B142F" w:rsidRDefault="006B142F" w:rsidP="006B142F">
            <w:pPr>
              <w:pStyle w:val="Tablebullet"/>
              <w:numPr>
                <w:ilvl w:val="0"/>
                <w:numId w:val="153"/>
              </w:numPr>
              <w:spacing w:after="120"/>
            </w:pPr>
            <w:r w:rsidRPr="006B142F">
              <w:t xml:space="preserve">commercial activities including pricing, billing, revenue collection and marketing </w:t>
            </w:r>
          </w:p>
          <w:p w:rsidR="006B142F" w:rsidRPr="006B142F" w:rsidRDefault="006B142F" w:rsidP="006B142F">
            <w:pPr>
              <w:pStyle w:val="Tablebullet"/>
              <w:numPr>
                <w:ilvl w:val="0"/>
                <w:numId w:val="153"/>
              </w:numPr>
              <w:spacing w:after="120"/>
            </w:pPr>
            <w:r w:rsidRPr="006B142F">
              <w:t xml:space="preserve">liaison with </w:t>
            </w:r>
            <w:proofErr w:type="spellStart"/>
            <w:r w:rsidRPr="006B142F">
              <w:t>GTBs</w:t>
            </w:r>
            <w:proofErr w:type="spellEnd"/>
            <w:r w:rsidRPr="006B142F">
              <w:t>, customers and gas retailers</w:t>
            </w:r>
          </w:p>
        </w:tc>
      </w:tr>
      <w:tr w:rsidR="0089227F" w:rsidRPr="006B142F" w:rsidTr="00B20AEC">
        <w:trPr>
          <w:cantSplit/>
        </w:trPr>
        <w:tc>
          <w:tcPr>
            <w:tcW w:w="4621" w:type="dxa"/>
          </w:tcPr>
          <w:p w:rsidR="0089227F" w:rsidRPr="006B142F" w:rsidRDefault="0089227F" w:rsidP="0089227F">
            <w:pPr>
              <w:rPr>
                <w:rFonts w:asciiTheme="minorHAnsi" w:hAnsiTheme="minorHAnsi"/>
                <w:color w:val="000000"/>
                <w:lang w:val="en-AU"/>
              </w:rPr>
            </w:pPr>
            <w:r w:rsidRPr="006B142F">
              <w:rPr>
                <w:rFonts w:asciiTheme="minorHAnsi" w:hAnsiTheme="minorHAnsi"/>
                <w:color w:val="000000"/>
                <w:lang w:val="en-AU"/>
              </w:rPr>
              <w:t>Capital contributions</w:t>
            </w:r>
          </w:p>
        </w:tc>
        <w:tc>
          <w:tcPr>
            <w:tcW w:w="4622" w:type="dxa"/>
          </w:tcPr>
          <w:p w:rsidR="0089227F" w:rsidRPr="006B142F" w:rsidRDefault="0089227F" w:rsidP="0089227F">
            <w:pPr>
              <w:pStyle w:val="BodyText"/>
              <w:rPr>
                <w:rFonts w:asciiTheme="minorHAnsi" w:hAnsiTheme="minorHAnsi"/>
                <w:lang w:val="en-AU"/>
              </w:rPr>
            </w:pPr>
            <w:proofErr w:type="gramStart"/>
            <w:r w:rsidRPr="006B142F">
              <w:rPr>
                <w:rFonts w:asciiTheme="minorHAnsi" w:hAnsiTheme="minorHAnsi" w:cs="Arial"/>
                <w:lang w:eastAsia="en-NZ"/>
              </w:rPr>
              <w:t>has</w:t>
            </w:r>
            <w:proofErr w:type="gramEnd"/>
            <w:r w:rsidRPr="006B142F">
              <w:rPr>
                <w:rFonts w:asciiTheme="minorHAnsi" w:hAnsiTheme="minorHAnsi" w:cs="Arial"/>
                <w:lang w:eastAsia="en-NZ"/>
              </w:rPr>
              <w:t xml:space="preserve"> the meaning set out in the</w:t>
            </w:r>
            <w:r w:rsidRPr="006B142F">
              <w:rPr>
                <w:rFonts w:asciiTheme="minorHAnsi" w:hAnsiTheme="minorHAnsi" w:cs="Arial"/>
                <w:bCs/>
                <w:lang w:eastAsia="en-NZ"/>
              </w:rPr>
              <w:t xml:space="preserve"> IM determination.</w:t>
            </w:r>
          </w:p>
        </w:tc>
      </w:tr>
      <w:tr w:rsidR="0089227F" w:rsidRPr="006B142F" w:rsidTr="00B20AEC">
        <w:trPr>
          <w:cantSplit/>
        </w:trPr>
        <w:tc>
          <w:tcPr>
            <w:tcW w:w="4621" w:type="dxa"/>
          </w:tcPr>
          <w:p w:rsidR="0089227F" w:rsidRPr="006B142F" w:rsidRDefault="0089227F" w:rsidP="0089227F">
            <w:pPr>
              <w:rPr>
                <w:rFonts w:asciiTheme="minorHAnsi" w:hAnsiTheme="minorHAnsi"/>
                <w:color w:val="000000"/>
                <w:lang w:val="en-AU"/>
              </w:rPr>
            </w:pPr>
            <w:r w:rsidRPr="006B142F">
              <w:rPr>
                <w:rFonts w:asciiTheme="minorHAnsi" w:hAnsiTheme="minorHAnsi"/>
                <w:color w:val="000000"/>
                <w:lang w:val="en-AU"/>
              </w:rPr>
              <w:t>Capital contributions funding customer connection expenditure</w:t>
            </w:r>
          </w:p>
        </w:tc>
        <w:tc>
          <w:tcPr>
            <w:tcW w:w="4622" w:type="dxa"/>
          </w:tcPr>
          <w:p w:rsidR="0089227F" w:rsidRPr="006B142F" w:rsidRDefault="0089227F" w:rsidP="0089227F">
            <w:pPr>
              <w:pStyle w:val="BodyText"/>
              <w:rPr>
                <w:rFonts w:asciiTheme="minorHAnsi" w:hAnsiTheme="minorHAnsi"/>
                <w:lang w:val="en-AU"/>
              </w:rPr>
            </w:pPr>
            <w:proofErr w:type="gramStart"/>
            <w:r w:rsidRPr="006B142F">
              <w:rPr>
                <w:rFonts w:asciiTheme="minorHAnsi" w:hAnsiTheme="minorHAnsi"/>
                <w:lang w:val="en-AU"/>
              </w:rPr>
              <w:t>means</w:t>
            </w:r>
            <w:proofErr w:type="gramEnd"/>
            <w:r w:rsidRPr="006B142F">
              <w:rPr>
                <w:rFonts w:asciiTheme="minorHAnsi" w:hAnsiTheme="minorHAnsi"/>
                <w:lang w:val="en-AU"/>
              </w:rPr>
              <w:t xml:space="preserve"> capital contributions that are paid to the GDB in relation to customer connection expenditure.</w:t>
            </w:r>
          </w:p>
        </w:tc>
      </w:tr>
      <w:tr w:rsidR="0089227F" w:rsidRPr="006B142F" w:rsidTr="00B20AEC">
        <w:trPr>
          <w:cantSplit/>
        </w:trPr>
        <w:tc>
          <w:tcPr>
            <w:tcW w:w="4621" w:type="dxa"/>
          </w:tcPr>
          <w:p w:rsidR="0089227F" w:rsidRPr="006B142F" w:rsidRDefault="0089227F" w:rsidP="0089227F">
            <w:pPr>
              <w:pStyle w:val="Tablebodytext"/>
              <w:rPr>
                <w:rFonts w:asciiTheme="minorHAnsi" w:hAnsiTheme="minorHAnsi"/>
                <w:szCs w:val="24"/>
              </w:rPr>
            </w:pPr>
            <w:r w:rsidRPr="006B142F">
              <w:rPr>
                <w:rFonts w:asciiTheme="minorHAnsi" w:hAnsiTheme="minorHAnsi"/>
                <w:color w:val="000000"/>
                <w:szCs w:val="24"/>
                <w:lang w:val="en-AU"/>
              </w:rPr>
              <w:t>Cathodic protection systems</w:t>
            </w:r>
          </w:p>
        </w:tc>
        <w:tc>
          <w:tcPr>
            <w:tcW w:w="4622" w:type="dxa"/>
          </w:tcPr>
          <w:p w:rsidR="0089227F" w:rsidRPr="006B142F" w:rsidRDefault="0089227F" w:rsidP="0089227F">
            <w:pPr>
              <w:pStyle w:val="Tablebodytext"/>
              <w:rPr>
                <w:rFonts w:asciiTheme="minorHAnsi" w:hAnsiTheme="minorHAnsi"/>
                <w:szCs w:val="24"/>
              </w:rPr>
            </w:pPr>
            <w:proofErr w:type="gramStart"/>
            <w:r w:rsidRPr="006B142F">
              <w:rPr>
                <w:rFonts w:asciiTheme="minorHAnsi" w:hAnsiTheme="minorHAnsi"/>
                <w:szCs w:val="24"/>
                <w:lang w:val="en-AU"/>
              </w:rPr>
              <w:t>means</w:t>
            </w:r>
            <w:proofErr w:type="gramEnd"/>
            <w:r w:rsidRPr="006B142F">
              <w:rPr>
                <w:rFonts w:asciiTheme="minorHAnsi" w:hAnsiTheme="minorHAnsi"/>
                <w:szCs w:val="24"/>
                <w:lang w:val="en-AU"/>
              </w:rPr>
              <w:t xml:space="preserve"> a system that inhibits the corrosion of a metallic gas pipe by means of an impressed current or sacrificial anodes.</w:t>
            </w:r>
          </w:p>
        </w:tc>
      </w:tr>
      <w:tr w:rsidR="0089227F" w:rsidRPr="006B142F" w:rsidTr="00B20AEC">
        <w:trPr>
          <w:cantSplit/>
        </w:trPr>
        <w:tc>
          <w:tcPr>
            <w:tcW w:w="4621" w:type="dxa"/>
          </w:tcPr>
          <w:p w:rsidR="0089227F" w:rsidRPr="006B142F" w:rsidRDefault="0089227F" w:rsidP="0089227F">
            <w:pPr>
              <w:pStyle w:val="Tablebodytext"/>
              <w:rPr>
                <w:rFonts w:asciiTheme="minorHAnsi" w:hAnsiTheme="minorHAnsi"/>
                <w:szCs w:val="24"/>
              </w:rPr>
            </w:pPr>
            <w:r w:rsidRPr="006B142F">
              <w:rPr>
                <w:rFonts w:asciiTheme="minorHAnsi" w:hAnsiTheme="minorHAnsi"/>
                <w:szCs w:val="24"/>
              </w:rPr>
              <w:t>Charge Type</w:t>
            </w:r>
          </w:p>
        </w:tc>
        <w:tc>
          <w:tcPr>
            <w:tcW w:w="4622" w:type="dxa"/>
          </w:tcPr>
          <w:p w:rsidR="0089227F" w:rsidRPr="006B142F" w:rsidRDefault="0089227F" w:rsidP="0089227F">
            <w:pPr>
              <w:pStyle w:val="BodyText"/>
              <w:rPr>
                <w:rFonts w:asciiTheme="minorHAnsi" w:hAnsiTheme="minorHAnsi"/>
                <w:i/>
              </w:rPr>
            </w:pPr>
            <w:r w:rsidRPr="006B142F">
              <w:rPr>
                <w:rFonts w:asciiTheme="minorHAnsi" w:hAnsiTheme="minorHAnsi"/>
              </w:rPr>
              <w:t>A rate that is a component of a multi-part line charge – for example, a daily rate in c/day or a volume rate in c/kWh</w:t>
            </w:r>
          </w:p>
        </w:tc>
      </w:tr>
      <w:tr w:rsidR="0089227F" w:rsidRPr="006B142F" w:rsidTr="00B20AEC">
        <w:trPr>
          <w:cantSplit/>
        </w:trPr>
        <w:tc>
          <w:tcPr>
            <w:tcW w:w="4621" w:type="dxa"/>
          </w:tcPr>
          <w:p w:rsidR="0089227F" w:rsidRPr="006B142F" w:rsidRDefault="0089227F" w:rsidP="0089227F">
            <w:pPr>
              <w:pStyle w:val="Tablebodytext"/>
              <w:rPr>
                <w:rFonts w:asciiTheme="minorHAnsi" w:hAnsiTheme="minorHAnsi"/>
                <w:szCs w:val="24"/>
              </w:rPr>
            </w:pPr>
            <w:r w:rsidRPr="006B142F">
              <w:rPr>
                <w:rFonts w:asciiTheme="minorHAnsi" w:hAnsiTheme="minorHAnsi"/>
                <w:szCs w:val="24"/>
              </w:rPr>
              <w:t>Class A—planned interruptions by GTB</w:t>
            </w:r>
          </w:p>
        </w:tc>
        <w:tc>
          <w:tcPr>
            <w:tcW w:w="4622" w:type="dxa"/>
          </w:tcPr>
          <w:p w:rsidR="0089227F" w:rsidRPr="006B142F" w:rsidRDefault="0089227F" w:rsidP="0089227F">
            <w:pPr>
              <w:pStyle w:val="Tablebodytext"/>
              <w:rPr>
                <w:rFonts w:asciiTheme="minorHAnsi" w:hAnsiTheme="minorHAnsi"/>
                <w:szCs w:val="24"/>
              </w:rPr>
            </w:pPr>
            <w:r w:rsidRPr="006B142F">
              <w:rPr>
                <w:rFonts w:asciiTheme="minorHAnsi" w:hAnsiTheme="minorHAnsi"/>
                <w:szCs w:val="24"/>
              </w:rPr>
              <w:t>Means planned interruptions, caused by a GTB, when the GDB is able to give 10 business days’ notice to either the customer or its retailer or arrange the interruption with the customer or its retailer; unless otherwise arranged with the customer or its retailer.</w:t>
            </w:r>
          </w:p>
        </w:tc>
      </w:tr>
      <w:tr w:rsidR="0089227F" w:rsidRPr="006B142F" w:rsidTr="00B20AEC">
        <w:trPr>
          <w:cantSplit/>
        </w:trPr>
        <w:tc>
          <w:tcPr>
            <w:tcW w:w="4621" w:type="dxa"/>
          </w:tcPr>
          <w:p w:rsidR="0089227F" w:rsidRPr="006B142F" w:rsidRDefault="0089227F" w:rsidP="0089227F">
            <w:pPr>
              <w:pStyle w:val="Tablebodytext"/>
              <w:rPr>
                <w:rFonts w:asciiTheme="minorHAnsi" w:hAnsiTheme="minorHAnsi"/>
                <w:szCs w:val="24"/>
              </w:rPr>
            </w:pPr>
            <w:r w:rsidRPr="006B142F">
              <w:rPr>
                <w:rFonts w:asciiTheme="minorHAnsi" w:hAnsiTheme="minorHAnsi"/>
                <w:szCs w:val="24"/>
              </w:rPr>
              <w:t>Class B—planned interruptions on the network</w:t>
            </w:r>
          </w:p>
        </w:tc>
        <w:tc>
          <w:tcPr>
            <w:tcW w:w="4622" w:type="dxa"/>
          </w:tcPr>
          <w:p w:rsidR="0089227F" w:rsidRPr="006B142F" w:rsidRDefault="0089227F" w:rsidP="0089227F">
            <w:pPr>
              <w:pStyle w:val="Tablebodytext"/>
              <w:rPr>
                <w:rFonts w:asciiTheme="minorHAnsi" w:hAnsiTheme="minorHAnsi"/>
                <w:szCs w:val="24"/>
              </w:rPr>
            </w:pPr>
            <w:r w:rsidRPr="006B142F">
              <w:rPr>
                <w:rFonts w:asciiTheme="minorHAnsi" w:hAnsiTheme="minorHAnsi"/>
                <w:szCs w:val="24"/>
              </w:rPr>
              <w:t>Means planned interruptions, excluding those caused by a GTB, when the GDB is able to give 10 business days’ notice to either the customer or its retailer or arrange the interruption with the customer or its retailer; unless otherwise arranged with the customer or its retailer.</w:t>
            </w:r>
          </w:p>
        </w:tc>
      </w:tr>
      <w:tr w:rsidR="0089227F" w:rsidRPr="006B142F" w:rsidTr="00B20AEC">
        <w:trPr>
          <w:cantSplit/>
        </w:trPr>
        <w:tc>
          <w:tcPr>
            <w:tcW w:w="4621" w:type="dxa"/>
          </w:tcPr>
          <w:p w:rsidR="0089227F" w:rsidRPr="006B142F" w:rsidRDefault="0089227F" w:rsidP="0089227F">
            <w:pPr>
              <w:pStyle w:val="BodyText"/>
              <w:rPr>
                <w:rFonts w:asciiTheme="minorHAnsi" w:hAnsiTheme="minorHAnsi"/>
              </w:rPr>
            </w:pPr>
            <w:r w:rsidRPr="006B142F">
              <w:rPr>
                <w:rFonts w:asciiTheme="minorHAnsi" w:hAnsiTheme="minorHAnsi"/>
              </w:rPr>
              <w:t>Class C (unplanned interruptions on the network)</w:t>
            </w:r>
          </w:p>
        </w:tc>
        <w:tc>
          <w:tcPr>
            <w:tcW w:w="4622" w:type="dxa"/>
          </w:tcPr>
          <w:p w:rsidR="0089227F" w:rsidRPr="006B142F" w:rsidRDefault="0089227F" w:rsidP="0089227F">
            <w:pPr>
              <w:pStyle w:val="BodyText"/>
              <w:rPr>
                <w:rFonts w:asciiTheme="minorHAnsi" w:hAnsiTheme="minorHAnsi"/>
              </w:rPr>
            </w:pPr>
            <w:r w:rsidRPr="006B142F">
              <w:rPr>
                <w:rFonts w:asciiTheme="minorHAnsi" w:hAnsiTheme="minorHAnsi"/>
              </w:rPr>
              <w:t>Means an unplanned interruption originating within the works of the principal disclosing entity, where those works are used for carrying out line business activities.</w:t>
            </w:r>
          </w:p>
        </w:tc>
      </w:tr>
      <w:tr w:rsidR="0089227F" w:rsidRPr="006B142F" w:rsidTr="00B20AEC">
        <w:trPr>
          <w:cantSplit/>
        </w:trPr>
        <w:tc>
          <w:tcPr>
            <w:tcW w:w="4621" w:type="dxa"/>
          </w:tcPr>
          <w:p w:rsidR="0089227F" w:rsidRPr="006B142F" w:rsidRDefault="0089227F" w:rsidP="0089227F">
            <w:pPr>
              <w:pStyle w:val="Tablebodytext"/>
              <w:rPr>
                <w:rFonts w:asciiTheme="minorHAnsi" w:hAnsiTheme="minorHAnsi"/>
                <w:szCs w:val="24"/>
              </w:rPr>
            </w:pPr>
            <w:r w:rsidRPr="006B142F">
              <w:rPr>
                <w:rFonts w:asciiTheme="minorHAnsi" w:hAnsiTheme="minorHAnsi"/>
                <w:szCs w:val="24"/>
              </w:rPr>
              <w:t>Class C—unplanned interruptions on the network</w:t>
            </w:r>
          </w:p>
        </w:tc>
        <w:tc>
          <w:tcPr>
            <w:tcW w:w="4622" w:type="dxa"/>
          </w:tcPr>
          <w:p w:rsidR="0089227F" w:rsidRPr="006B142F" w:rsidRDefault="0089227F" w:rsidP="0089227F">
            <w:pPr>
              <w:pStyle w:val="Tablebodytext"/>
              <w:rPr>
                <w:rFonts w:asciiTheme="minorHAnsi" w:hAnsiTheme="minorHAnsi"/>
                <w:szCs w:val="24"/>
              </w:rPr>
            </w:pPr>
            <w:r w:rsidRPr="006B142F">
              <w:rPr>
                <w:rFonts w:asciiTheme="minorHAnsi" w:hAnsiTheme="minorHAnsi"/>
                <w:szCs w:val="24"/>
              </w:rPr>
              <w:t xml:space="preserve">means an unplanned interruption on the </w:t>
            </w:r>
            <w:proofErr w:type="spellStart"/>
            <w:r w:rsidRPr="006B142F">
              <w:rPr>
                <w:rFonts w:asciiTheme="minorHAnsi" w:hAnsiTheme="minorHAnsi"/>
                <w:szCs w:val="24"/>
              </w:rPr>
              <w:t>GDB’s</w:t>
            </w:r>
            <w:proofErr w:type="spellEnd"/>
            <w:r w:rsidRPr="006B142F">
              <w:rPr>
                <w:rFonts w:asciiTheme="minorHAnsi" w:hAnsiTheme="minorHAnsi"/>
                <w:szCs w:val="24"/>
              </w:rPr>
              <w:t xml:space="preserve"> network, excluding interruptions cause by third party damage and excluding any occurrence of insufficient system capability to provide the required quantity of gas to a supply point due to a failure on the transmission network</w:t>
            </w:r>
          </w:p>
        </w:tc>
      </w:tr>
      <w:tr w:rsidR="0089227F" w:rsidRPr="006B142F" w:rsidTr="00B20AEC">
        <w:trPr>
          <w:cantSplit/>
        </w:trPr>
        <w:tc>
          <w:tcPr>
            <w:tcW w:w="4621" w:type="dxa"/>
          </w:tcPr>
          <w:p w:rsidR="0089227F" w:rsidRPr="006B142F" w:rsidRDefault="0089227F" w:rsidP="0089227F">
            <w:pPr>
              <w:pStyle w:val="Tablebodytext"/>
              <w:rPr>
                <w:rFonts w:asciiTheme="minorHAnsi" w:hAnsiTheme="minorHAnsi"/>
                <w:szCs w:val="24"/>
              </w:rPr>
            </w:pPr>
            <w:r w:rsidRPr="006B142F">
              <w:rPr>
                <w:rFonts w:asciiTheme="minorHAnsi" w:hAnsiTheme="minorHAnsi"/>
                <w:szCs w:val="24"/>
              </w:rPr>
              <w:t>Class D—unplanned interruptions by GTB</w:t>
            </w:r>
          </w:p>
        </w:tc>
        <w:tc>
          <w:tcPr>
            <w:tcW w:w="4622" w:type="dxa"/>
          </w:tcPr>
          <w:p w:rsidR="0089227F" w:rsidRPr="006B142F" w:rsidRDefault="0089227F" w:rsidP="00B20AEC">
            <w:pPr>
              <w:pStyle w:val="BodyText"/>
              <w:rPr>
                <w:rFonts w:asciiTheme="minorHAnsi" w:hAnsiTheme="minorHAnsi"/>
              </w:rPr>
            </w:pPr>
            <w:r w:rsidRPr="006B142F">
              <w:rPr>
                <w:rFonts w:asciiTheme="minorHAnsi" w:hAnsiTheme="minorHAnsi"/>
              </w:rPr>
              <w:t>Means an occurrence of insufficient system capability to provide the required quantity of gas to a supply point due to a failure on the transmission network</w:t>
            </w:r>
          </w:p>
        </w:tc>
      </w:tr>
      <w:tr w:rsidR="0089227F" w:rsidRPr="006B142F" w:rsidTr="00B20AEC">
        <w:trPr>
          <w:cantSplit/>
        </w:trPr>
        <w:tc>
          <w:tcPr>
            <w:tcW w:w="4621" w:type="dxa"/>
          </w:tcPr>
          <w:p w:rsidR="0089227F" w:rsidRPr="006B142F" w:rsidRDefault="0089227F" w:rsidP="0089227F">
            <w:pPr>
              <w:pStyle w:val="Tablebodytext"/>
              <w:rPr>
                <w:rFonts w:asciiTheme="minorHAnsi" w:hAnsiTheme="minorHAnsi"/>
                <w:szCs w:val="24"/>
              </w:rPr>
            </w:pPr>
            <w:r w:rsidRPr="006B142F">
              <w:rPr>
                <w:rFonts w:asciiTheme="minorHAnsi" w:hAnsiTheme="minorHAnsi"/>
                <w:szCs w:val="24"/>
              </w:rPr>
              <w:t>Class I—unplanned interruptions caused by third party damage</w:t>
            </w:r>
          </w:p>
        </w:tc>
        <w:tc>
          <w:tcPr>
            <w:tcW w:w="4622" w:type="dxa"/>
          </w:tcPr>
          <w:p w:rsidR="0089227F" w:rsidRPr="006B142F" w:rsidRDefault="0089227F" w:rsidP="0089227F">
            <w:pPr>
              <w:pStyle w:val="Tablebodytext"/>
              <w:rPr>
                <w:rFonts w:asciiTheme="minorHAnsi" w:hAnsiTheme="minorHAnsi"/>
                <w:szCs w:val="24"/>
              </w:rPr>
            </w:pPr>
            <w:r w:rsidRPr="006B142F">
              <w:rPr>
                <w:rFonts w:asciiTheme="minorHAnsi" w:hAnsiTheme="minorHAnsi"/>
                <w:szCs w:val="24"/>
              </w:rPr>
              <w:t xml:space="preserve">an unplanned interruption on the </w:t>
            </w:r>
            <w:proofErr w:type="spellStart"/>
            <w:r w:rsidRPr="006B142F">
              <w:rPr>
                <w:rFonts w:asciiTheme="minorHAnsi" w:hAnsiTheme="minorHAnsi"/>
                <w:szCs w:val="24"/>
              </w:rPr>
              <w:t>GDB’s</w:t>
            </w:r>
            <w:proofErr w:type="spellEnd"/>
            <w:r w:rsidRPr="006B142F">
              <w:rPr>
                <w:rFonts w:asciiTheme="minorHAnsi" w:hAnsiTheme="minorHAnsi"/>
                <w:szCs w:val="24"/>
              </w:rPr>
              <w:t xml:space="preserve"> network cause by third party damage</w:t>
            </w:r>
          </w:p>
        </w:tc>
      </w:tr>
      <w:tr w:rsidR="0089227F" w:rsidRPr="006B142F" w:rsidTr="00B20AEC">
        <w:trPr>
          <w:cantSplit/>
        </w:trPr>
        <w:tc>
          <w:tcPr>
            <w:tcW w:w="4621" w:type="dxa"/>
          </w:tcPr>
          <w:p w:rsidR="0089227F" w:rsidRPr="006B142F" w:rsidRDefault="0089227F" w:rsidP="0089227F">
            <w:pPr>
              <w:pStyle w:val="BodyText"/>
              <w:spacing w:line="264" w:lineRule="auto"/>
              <w:rPr>
                <w:rFonts w:asciiTheme="minorHAnsi" w:hAnsiTheme="minorHAnsi" w:cs="Arial"/>
                <w:bCs/>
                <w:lang w:eastAsia="en-NZ"/>
              </w:rPr>
            </w:pPr>
            <w:r w:rsidRPr="006B142F">
              <w:rPr>
                <w:rFonts w:asciiTheme="minorHAnsi" w:hAnsiTheme="minorHAnsi" w:cs="Arial"/>
                <w:bCs/>
                <w:lang w:eastAsia="en-NZ"/>
              </w:rPr>
              <w:t>Closing deferred tax</w:t>
            </w:r>
          </w:p>
        </w:tc>
        <w:tc>
          <w:tcPr>
            <w:tcW w:w="4622" w:type="dxa"/>
          </w:tcPr>
          <w:p w:rsidR="0089227F" w:rsidRPr="006B142F" w:rsidRDefault="0089227F" w:rsidP="0089227F">
            <w:pPr>
              <w:spacing w:line="264" w:lineRule="auto"/>
              <w:rPr>
                <w:rFonts w:asciiTheme="minorHAnsi" w:hAnsiTheme="minorHAnsi" w:cs="Arial"/>
                <w:lang w:eastAsia="en-NZ"/>
              </w:rPr>
            </w:pPr>
            <w:r w:rsidRPr="006B142F">
              <w:rPr>
                <w:rFonts w:asciiTheme="minorHAnsi" w:hAnsiTheme="minorHAnsi" w:cs="Arial"/>
                <w:lang w:eastAsia="en-NZ"/>
              </w:rPr>
              <w:t>has the meaning set out in clause 2.3.7(2) of the</w:t>
            </w:r>
            <w:r w:rsidRPr="006B142F">
              <w:rPr>
                <w:rFonts w:asciiTheme="minorHAnsi" w:hAnsiTheme="minorHAnsi" w:cs="Arial"/>
                <w:bCs/>
                <w:lang w:eastAsia="en-NZ"/>
              </w:rPr>
              <w:t xml:space="preserve"> IM determination</w:t>
            </w:r>
          </w:p>
        </w:tc>
      </w:tr>
      <w:tr w:rsidR="0089227F" w:rsidRPr="006B142F" w:rsidTr="00B20AEC">
        <w:trPr>
          <w:cantSplit/>
        </w:trPr>
        <w:tc>
          <w:tcPr>
            <w:tcW w:w="4621" w:type="dxa"/>
          </w:tcPr>
          <w:p w:rsidR="0089227F" w:rsidRPr="006B142F" w:rsidRDefault="0089227F" w:rsidP="0089227F">
            <w:pPr>
              <w:pStyle w:val="BodyText"/>
              <w:spacing w:line="264" w:lineRule="auto"/>
              <w:rPr>
                <w:rFonts w:asciiTheme="minorHAnsi" w:hAnsiTheme="minorHAnsi" w:cs="Arial"/>
                <w:bCs/>
                <w:lang w:eastAsia="en-NZ"/>
              </w:rPr>
            </w:pPr>
            <w:r w:rsidRPr="006B142F">
              <w:rPr>
                <w:rFonts w:asciiTheme="minorHAnsi" w:hAnsiTheme="minorHAnsi" w:cs="Arial"/>
                <w:bCs/>
                <w:lang w:eastAsia="en-NZ"/>
              </w:rPr>
              <w:t>Closing RAB (tax value)</w:t>
            </w:r>
          </w:p>
        </w:tc>
        <w:tc>
          <w:tcPr>
            <w:tcW w:w="4622" w:type="dxa"/>
          </w:tcPr>
          <w:p w:rsidR="0089227F" w:rsidRPr="006B142F" w:rsidRDefault="0089227F" w:rsidP="0089227F">
            <w:pPr>
              <w:spacing w:line="264" w:lineRule="auto"/>
              <w:rPr>
                <w:rFonts w:asciiTheme="minorHAnsi" w:hAnsiTheme="minorHAnsi" w:cs="Arial"/>
                <w:lang w:eastAsia="en-NZ"/>
              </w:rPr>
            </w:pPr>
            <w:r w:rsidRPr="006B142F">
              <w:rPr>
                <w:rFonts w:asciiTheme="minorHAnsi" w:hAnsiTheme="minorHAnsi" w:cs="Arial"/>
                <w:lang w:eastAsia="en-NZ"/>
              </w:rPr>
              <w:t xml:space="preserve">means the sum of </w:t>
            </w:r>
            <w:r w:rsidRPr="006B142F">
              <w:rPr>
                <w:rFonts w:asciiTheme="minorHAnsi" w:hAnsiTheme="minorHAnsi" w:cs="Arial"/>
                <w:bCs/>
                <w:lang w:eastAsia="en-NZ"/>
              </w:rPr>
              <w:t>regulatory tax asset values</w:t>
            </w:r>
            <w:r w:rsidRPr="006B142F">
              <w:rPr>
                <w:rFonts w:asciiTheme="minorHAnsi" w:hAnsiTheme="minorHAnsi" w:cs="Arial"/>
                <w:lang w:eastAsia="en-NZ"/>
              </w:rPr>
              <w:t xml:space="preserve"> for assets that have a value included in </w:t>
            </w:r>
            <w:r w:rsidRPr="006B142F">
              <w:rPr>
                <w:rFonts w:asciiTheme="minorHAnsi" w:hAnsiTheme="minorHAnsi" w:cs="Arial"/>
                <w:bCs/>
                <w:lang w:eastAsia="en-NZ"/>
              </w:rPr>
              <w:t>total closing RAB value</w:t>
            </w:r>
          </w:p>
        </w:tc>
      </w:tr>
      <w:tr w:rsidR="0089227F" w:rsidRPr="006B142F" w:rsidTr="00B20AEC">
        <w:trPr>
          <w:cantSplit/>
        </w:trPr>
        <w:tc>
          <w:tcPr>
            <w:tcW w:w="4621" w:type="dxa"/>
          </w:tcPr>
          <w:p w:rsidR="0089227F" w:rsidRPr="006B142F" w:rsidRDefault="0089227F" w:rsidP="0089227F">
            <w:pPr>
              <w:pStyle w:val="BodyText"/>
              <w:spacing w:line="264" w:lineRule="auto"/>
              <w:rPr>
                <w:rFonts w:asciiTheme="minorHAnsi" w:hAnsiTheme="minorHAnsi" w:cs="Arial"/>
                <w:bCs/>
                <w:lang w:eastAsia="en-NZ"/>
              </w:rPr>
            </w:pPr>
            <w:r w:rsidRPr="006B142F">
              <w:rPr>
                <w:rFonts w:asciiTheme="minorHAnsi" w:hAnsiTheme="minorHAnsi" w:cs="Arial"/>
                <w:bCs/>
                <w:lang w:eastAsia="en-NZ"/>
              </w:rPr>
              <w:t>Closing RAB value under 'non-standard' depreciation</w:t>
            </w:r>
          </w:p>
        </w:tc>
        <w:tc>
          <w:tcPr>
            <w:tcW w:w="4622" w:type="dxa"/>
          </w:tcPr>
          <w:p w:rsidR="0089227F" w:rsidRPr="006B142F" w:rsidRDefault="0089227F" w:rsidP="0089227F">
            <w:pPr>
              <w:spacing w:line="264" w:lineRule="auto"/>
              <w:rPr>
                <w:rFonts w:asciiTheme="minorHAnsi" w:hAnsiTheme="minorHAnsi" w:cs="Arial"/>
                <w:lang w:eastAsia="en-NZ"/>
              </w:rPr>
            </w:pPr>
            <w:r w:rsidRPr="006B142F">
              <w:rPr>
                <w:rFonts w:asciiTheme="minorHAnsi" w:hAnsiTheme="minorHAnsi" w:cs="Arial"/>
                <w:lang w:eastAsia="en-NZ"/>
              </w:rPr>
              <w:t xml:space="preserve">means the closing RAB value or sum of closing RAB values as determined in accordance with Part 2 subpart 2 of the </w:t>
            </w:r>
            <w:r w:rsidRPr="006B142F">
              <w:rPr>
                <w:rFonts w:asciiTheme="minorHAnsi" w:hAnsiTheme="minorHAnsi" w:cs="Arial"/>
                <w:bCs/>
                <w:lang w:eastAsia="en-NZ"/>
              </w:rPr>
              <w:t>IM determination</w:t>
            </w:r>
            <w:r w:rsidRPr="006B142F">
              <w:rPr>
                <w:rFonts w:asciiTheme="minorHAnsi" w:hAnsiTheme="minorHAnsi" w:cs="Arial"/>
                <w:lang w:eastAsia="en-NZ"/>
              </w:rPr>
              <w:t xml:space="preserve"> for the relevant</w:t>
            </w:r>
            <w:r w:rsidRPr="006B142F">
              <w:rPr>
                <w:rFonts w:asciiTheme="minorHAnsi" w:hAnsiTheme="minorHAnsi" w:cs="Arial"/>
                <w:bCs/>
                <w:lang w:eastAsia="en-NZ"/>
              </w:rPr>
              <w:t xml:space="preserve"> asset or assets with non-standard depreciation</w:t>
            </w:r>
          </w:p>
        </w:tc>
      </w:tr>
      <w:tr w:rsidR="0089227F" w:rsidRPr="006B142F" w:rsidTr="00B20AEC">
        <w:trPr>
          <w:cantSplit/>
        </w:trPr>
        <w:tc>
          <w:tcPr>
            <w:tcW w:w="4621" w:type="dxa"/>
          </w:tcPr>
          <w:p w:rsidR="0089227F" w:rsidRPr="006B142F" w:rsidRDefault="0089227F" w:rsidP="0089227F">
            <w:pPr>
              <w:pStyle w:val="BodyText"/>
              <w:spacing w:line="264" w:lineRule="auto"/>
              <w:rPr>
                <w:rFonts w:asciiTheme="minorHAnsi" w:hAnsiTheme="minorHAnsi" w:cs="Arial"/>
                <w:bCs/>
                <w:lang w:eastAsia="en-NZ"/>
              </w:rPr>
            </w:pPr>
            <w:r w:rsidRPr="006B142F">
              <w:rPr>
                <w:rFonts w:asciiTheme="minorHAnsi" w:hAnsiTheme="minorHAnsi" w:cs="Arial"/>
                <w:bCs/>
                <w:lang w:eastAsia="en-NZ"/>
              </w:rPr>
              <w:t>Closing RAB value under 'standard' depreciation</w:t>
            </w:r>
          </w:p>
        </w:tc>
        <w:tc>
          <w:tcPr>
            <w:tcW w:w="4622" w:type="dxa"/>
          </w:tcPr>
          <w:p w:rsidR="0089227F" w:rsidRPr="006B142F" w:rsidRDefault="0089227F" w:rsidP="0089227F">
            <w:pPr>
              <w:tabs>
                <w:tab w:val="left" w:pos="4045"/>
              </w:tabs>
              <w:spacing w:line="264" w:lineRule="auto"/>
              <w:ind w:left="459" w:hanging="425"/>
              <w:rPr>
                <w:rFonts w:asciiTheme="minorHAnsi" w:hAnsiTheme="minorHAnsi" w:cs="Arial"/>
                <w:lang w:eastAsia="en-NZ"/>
              </w:rPr>
            </w:pPr>
            <w:r w:rsidRPr="006B142F">
              <w:rPr>
                <w:rFonts w:asciiTheme="minorHAnsi" w:hAnsiTheme="minorHAnsi" w:cs="Arial"/>
                <w:lang w:eastAsia="en-NZ"/>
              </w:rPr>
              <w:t>means:</w:t>
            </w:r>
          </w:p>
          <w:p w:rsidR="0089227F" w:rsidRPr="006B142F" w:rsidRDefault="0089227F" w:rsidP="0089227F">
            <w:pPr>
              <w:tabs>
                <w:tab w:val="left" w:pos="4045"/>
              </w:tabs>
              <w:spacing w:line="264" w:lineRule="auto"/>
              <w:ind w:left="459" w:hanging="351"/>
              <w:rPr>
                <w:rFonts w:asciiTheme="minorHAnsi" w:hAnsiTheme="minorHAnsi" w:cs="Arial"/>
                <w:lang w:eastAsia="en-NZ"/>
              </w:rPr>
            </w:pPr>
            <w:r w:rsidRPr="006B142F">
              <w:rPr>
                <w:rFonts w:asciiTheme="minorHAnsi" w:hAnsiTheme="minorHAnsi" w:cs="Arial"/>
                <w:lang w:eastAsia="en-NZ"/>
              </w:rPr>
              <w:t>(a)</w:t>
            </w:r>
            <w:r w:rsidRPr="006B142F">
              <w:rPr>
                <w:rFonts w:asciiTheme="minorHAnsi" w:hAnsiTheme="minorHAnsi" w:cs="Arial"/>
                <w:lang w:eastAsia="en-NZ"/>
              </w:rPr>
              <w:tab/>
              <w:t xml:space="preserve">in relation to assets or groups of assets where depreciation is included in </w:t>
            </w:r>
            <w:r w:rsidRPr="006B142F">
              <w:rPr>
                <w:rFonts w:asciiTheme="minorHAnsi" w:hAnsiTheme="minorHAnsi" w:cs="Arial"/>
                <w:bCs/>
                <w:lang w:eastAsia="en-NZ"/>
              </w:rPr>
              <w:t>depreciation - no standard life asset</w:t>
            </w:r>
            <w:r w:rsidRPr="006B142F">
              <w:rPr>
                <w:rFonts w:asciiTheme="minorHAnsi" w:hAnsiTheme="minorHAnsi" w:cs="Arial"/>
                <w:lang w:eastAsia="en-NZ"/>
              </w:rPr>
              <w:t>, 'not applicable'</w:t>
            </w:r>
          </w:p>
          <w:p w:rsidR="0089227F" w:rsidRPr="006B142F" w:rsidRDefault="0089227F" w:rsidP="0089227F">
            <w:pPr>
              <w:tabs>
                <w:tab w:val="left" w:pos="4045"/>
              </w:tabs>
              <w:spacing w:line="264" w:lineRule="auto"/>
              <w:ind w:left="459" w:hanging="351"/>
              <w:rPr>
                <w:rFonts w:asciiTheme="minorHAnsi" w:hAnsiTheme="minorHAnsi" w:cs="Arial"/>
                <w:lang w:eastAsia="en-NZ"/>
              </w:rPr>
            </w:pPr>
            <w:r w:rsidRPr="006B142F">
              <w:rPr>
                <w:rFonts w:asciiTheme="minorHAnsi" w:hAnsiTheme="minorHAnsi" w:cs="Arial"/>
                <w:lang w:eastAsia="en-NZ"/>
              </w:rPr>
              <w:t>(b)</w:t>
            </w:r>
            <w:r w:rsidRPr="006B142F">
              <w:rPr>
                <w:rFonts w:asciiTheme="minorHAnsi" w:hAnsiTheme="minorHAnsi" w:cs="Arial"/>
                <w:lang w:eastAsia="en-NZ"/>
              </w:rPr>
              <w:tab/>
              <w:t>in relation to assets or groups of assets where depreciation is included in</w:t>
            </w:r>
            <w:r w:rsidRPr="006B142F">
              <w:rPr>
                <w:rFonts w:asciiTheme="minorHAnsi" w:hAnsiTheme="minorHAnsi" w:cs="Arial"/>
                <w:bCs/>
                <w:lang w:eastAsia="en-NZ"/>
              </w:rPr>
              <w:t xml:space="preserve"> depreciation - modified life assets </w:t>
            </w:r>
            <w:r w:rsidRPr="006B142F">
              <w:rPr>
                <w:rFonts w:asciiTheme="minorHAnsi" w:hAnsiTheme="minorHAnsi" w:cs="Arial"/>
                <w:lang w:eastAsia="en-NZ"/>
              </w:rPr>
              <w:t xml:space="preserve">or </w:t>
            </w:r>
            <w:r w:rsidRPr="006B142F">
              <w:rPr>
                <w:rFonts w:asciiTheme="minorHAnsi" w:hAnsiTheme="minorHAnsi" w:cs="Arial"/>
                <w:bCs/>
                <w:lang w:eastAsia="en-NZ"/>
              </w:rPr>
              <w:t>depreciation - alternative depreciation determined in accordance with CPP</w:t>
            </w:r>
            <w:r w:rsidRPr="006B142F">
              <w:rPr>
                <w:rFonts w:asciiTheme="minorHAnsi" w:hAnsiTheme="minorHAnsi" w:cs="Arial"/>
                <w:lang w:eastAsia="en-NZ"/>
              </w:rPr>
              <w:t xml:space="preserve">,  the sum of closing RAB values as determined in accordance with the </w:t>
            </w:r>
            <w:r w:rsidRPr="006B142F">
              <w:rPr>
                <w:rFonts w:asciiTheme="minorHAnsi" w:hAnsiTheme="minorHAnsi" w:cs="Arial"/>
                <w:bCs/>
                <w:lang w:eastAsia="en-NZ"/>
              </w:rPr>
              <w:t xml:space="preserve">IM determination </w:t>
            </w:r>
            <w:r w:rsidRPr="006B142F">
              <w:rPr>
                <w:rFonts w:asciiTheme="minorHAnsi" w:hAnsiTheme="minorHAnsi" w:cs="Arial"/>
                <w:lang w:eastAsia="en-NZ"/>
              </w:rPr>
              <w:t xml:space="preserve">as if the closing RAB value and all proceeding closing RAB values had been calculated in accordance with clause 2.1.1 of the </w:t>
            </w:r>
            <w:r w:rsidRPr="006B142F">
              <w:rPr>
                <w:rFonts w:asciiTheme="minorHAnsi" w:hAnsiTheme="minorHAnsi" w:cs="Arial"/>
                <w:bCs/>
                <w:lang w:eastAsia="en-NZ"/>
              </w:rPr>
              <w:t xml:space="preserve">IM determination </w:t>
            </w:r>
            <w:r w:rsidRPr="006B142F">
              <w:rPr>
                <w:rFonts w:asciiTheme="minorHAnsi" w:hAnsiTheme="minorHAnsi" w:cs="Arial"/>
                <w:lang w:eastAsia="en-NZ"/>
              </w:rPr>
              <w:t xml:space="preserve">applying a physical asset life determined in accordance with either clause 2.2.8(e)(iii) or (f) of the </w:t>
            </w:r>
            <w:r w:rsidRPr="006B142F">
              <w:rPr>
                <w:rFonts w:asciiTheme="minorHAnsi" w:hAnsiTheme="minorHAnsi" w:cs="Arial"/>
                <w:bCs/>
                <w:lang w:eastAsia="en-NZ"/>
              </w:rPr>
              <w:t>IM determination</w:t>
            </w:r>
            <w:r w:rsidRPr="006B142F">
              <w:rPr>
                <w:rFonts w:asciiTheme="minorHAnsi" w:hAnsiTheme="minorHAnsi" w:cs="Arial"/>
                <w:lang w:eastAsia="en-NZ"/>
              </w:rPr>
              <w:t xml:space="preserve"> for the relevant </w:t>
            </w:r>
            <w:r w:rsidRPr="006B142F">
              <w:rPr>
                <w:rFonts w:asciiTheme="minorHAnsi" w:hAnsiTheme="minorHAnsi" w:cs="Arial"/>
                <w:bCs/>
                <w:lang w:eastAsia="en-NZ"/>
              </w:rPr>
              <w:t>asset or assets with non-standard depreciation</w:t>
            </w:r>
          </w:p>
        </w:tc>
      </w:tr>
      <w:tr w:rsidR="0089227F" w:rsidRPr="006B142F" w:rsidTr="00B20AEC">
        <w:trPr>
          <w:cantSplit/>
        </w:trPr>
        <w:tc>
          <w:tcPr>
            <w:tcW w:w="4621" w:type="dxa"/>
          </w:tcPr>
          <w:p w:rsidR="0089227F" w:rsidRPr="006B142F" w:rsidRDefault="0089227F" w:rsidP="0089227F">
            <w:pPr>
              <w:pStyle w:val="BodyText"/>
              <w:spacing w:line="264" w:lineRule="auto"/>
              <w:rPr>
                <w:rFonts w:asciiTheme="minorHAnsi" w:hAnsiTheme="minorHAnsi" w:cs="Arial"/>
                <w:bCs/>
                <w:lang w:eastAsia="en-NZ"/>
              </w:rPr>
            </w:pPr>
            <w:r w:rsidRPr="006B142F">
              <w:rPr>
                <w:rFonts w:asciiTheme="minorHAnsi" w:hAnsiTheme="minorHAnsi" w:cs="Arial"/>
                <w:bCs/>
                <w:lang w:eastAsia="en-NZ"/>
              </w:rPr>
              <w:t>Closing RIV</w:t>
            </w:r>
          </w:p>
        </w:tc>
        <w:tc>
          <w:tcPr>
            <w:tcW w:w="4622" w:type="dxa"/>
          </w:tcPr>
          <w:p w:rsidR="0089227F" w:rsidRPr="006B142F" w:rsidRDefault="0089227F" w:rsidP="0089227F">
            <w:pPr>
              <w:rPr>
                <w:rFonts w:asciiTheme="minorHAnsi" w:hAnsiTheme="minorHAnsi"/>
              </w:rPr>
            </w:pPr>
            <w:r w:rsidRPr="006B142F">
              <w:rPr>
                <w:rFonts w:asciiTheme="minorHAnsi" w:hAnsiTheme="minorHAnsi"/>
              </w:rPr>
              <w:t xml:space="preserve">means total closing RAB values less adjustment resulting from cost allocation less lost and found assets adjustment plus closing deferred tax </w:t>
            </w:r>
          </w:p>
        </w:tc>
      </w:tr>
      <w:tr w:rsidR="0089227F" w:rsidRPr="006B142F" w:rsidTr="00B20AEC">
        <w:trPr>
          <w:cantSplit/>
        </w:trPr>
        <w:tc>
          <w:tcPr>
            <w:tcW w:w="4621" w:type="dxa"/>
          </w:tcPr>
          <w:p w:rsidR="0089227F" w:rsidRPr="006B142F" w:rsidRDefault="0089227F" w:rsidP="0089227F">
            <w:pPr>
              <w:pStyle w:val="BodyText"/>
              <w:spacing w:line="264" w:lineRule="auto"/>
              <w:rPr>
                <w:rFonts w:asciiTheme="minorHAnsi" w:hAnsiTheme="minorHAnsi" w:cs="Arial"/>
                <w:bCs/>
                <w:lang w:eastAsia="en-NZ"/>
              </w:rPr>
            </w:pPr>
            <w:r w:rsidRPr="006B142F">
              <w:rPr>
                <w:rFonts w:asciiTheme="minorHAnsi" w:hAnsiTheme="minorHAnsi" w:cs="Arial"/>
                <w:bCs/>
                <w:lang w:eastAsia="en-NZ"/>
              </w:rPr>
              <w:t>Closing tax losses</w:t>
            </w:r>
          </w:p>
        </w:tc>
        <w:tc>
          <w:tcPr>
            <w:tcW w:w="4622" w:type="dxa"/>
          </w:tcPr>
          <w:p w:rsidR="0089227F" w:rsidRPr="006B142F" w:rsidRDefault="0089227F" w:rsidP="0089227F">
            <w:pPr>
              <w:tabs>
                <w:tab w:val="left" w:pos="4045"/>
              </w:tabs>
              <w:spacing w:line="264" w:lineRule="auto"/>
              <w:ind w:left="34"/>
              <w:rPr>
                <w:rFonts w:asciiTheme="minorHAnsi" w:hAnsiTheme="minorHAnsi" w:cs="Arial"/>
                <w:lang w:eastAsia="en-NZ"/>
              </w:rPr>
            </w:pPr>
            <w:r w:rsidRPr="006B142F">
              <w:rPr>
                <w:rFonts w:asciiTheme="minorHAnsi" w:hAnsiTheme="minorHAnsi" w:cs="Arial"/>
                <w:lang w:eastAsia="en-NZ"/>
              </w:rPr>
              <w:t xml:space="preserve">has the meaning given to that term in clause 2.3.2(4) of the </w:t>
            </w:r>
            <w:r w:rsidRPr="006B142F">
              <w:rPr>
                <w:rFonts w:asciiTheme="minorHAnsi" w:hAnsiTheme="minorHAnsi" w:cs="Arial"/>
                <w:bCs/>
                <w:lang w:eastAsia="en-NZ"/>
              </w:rPr>
              <w:t>IM determination</w:t>
            </w:r>
          </w:p>
        </w:tc>
      </w:tr>
      <w:tr w:rsidR="0089227F" w:rsidRPr="006B142F" w:rsidTr="00B20AEC">
        <w:trPr>
          <w:cantSplit/>
        </w:trPr>
        <w:tc>
          <w:tcPr>
            <w:tcW w:w="4621" w:type="dxa"/>
          </w:tcPr>
          <w:p w:rsidR="0089227F" w:rsidRPr="006B142F" w:rsidRDefault="0089227F" w:rsidP="0089227F">
            <w:pPr>
              <w:pStyle w:val="BodyText"/>
              <w:spacing w:line="264" w:lineRule="auto"/>
              <w:rPr>
                <w:rFonts w:asciiTheme="minorHAnsi" w:hAnsiTheme="minorHAnsi" w:cs="Arial"/>
                <w:bCs/>
                <w:lang w:eastAsia="en-NZ"/>
              </w:rPr>
            </w:pPr>
            <w:r w:rsidRPr="006B142F">
              <w:rPr>
                <w:rFonts w:asciiTheme="minorHAnsi" w:hAnsiTheme="minorHAnsi" w:cs="Arial"/>
                <w:bCs/>
                <w:lang w:eastAsia="en-NZ"/>
              </w:rPr>
              <w:t>Closing unamortised initial differences in asset values</w:t>
            </w:r>
          </w:p>
        </w:tc>
        <w:tc>
          <w:tcPr>
            <w:tcW w:w="4622" w:type="dxa"/>
          </w:tcPr>
          <w:p w:rsidR="0089227F" w:rsidRPr="006B142F" w:rsidRDefault="0089227F" w:rsidP="0089227F">
            <w:pPr>
              <w:tabs>
                <w:tab w:val="left" w:pos="4045"/>
              </w:tabs>
              <w:spacing w:line="264" w:lineRule="auto"/>
              <w:ind w:left="34"/>
              <w:rPr>
                <w:rFonts w:asciiTheme="minorHAnsi" w:hAnsiTheme="minorHAnsi" w:cs="Arial"/>
                <w:lang w:eastAsia="en-NZ"/>
              </w:rPr>
            </w:pPr>
            <w:r w:rsidRPr="006B142F">
              <w:rPr>
                <w:rFonts w:asciiTheme="minorHAnsi" w:hAnsiTheme="minorHAnsi" w:cs="Arial"/>
                <w:lang w:eastAsia="en-NZ"/>
              </w:rPr>
              <w:t>means closing unamortised initial differences in asset values determined in accordance with clause 2.3.5(5) of the IM determination</w:t>
            </w:r>
          </w:p>
        </w:tc>
      </w:tr>
      <w:tr w:rsidR="0089227F" w:rsidRPr="006B142F" w:rsidTr="00B20AEC">
        <w:trPr>
          <w:cantSplit/>
        </w:trPr>
        <w:tc>
          <w:tcPr>
            <w:tcW w:w="4621" w:type="dxa"/>
          </w:tcPr>
          <w:p w:rsidR="0089227F" w:rsidRPr="006B142F" w:rsidRDefault="0089227F" w:rsidP="0089227F">
            <w:pPr>
              <w:pStyle w:val="BodyText"/>
              <w:spacing w:line="264" w:lineRule="auto"/>
              <w:rPr>
                <w:rFonts w:asciiTheme="minorHAnsi" w:hAnsiTheme="minorHAnsi" w:cs="Arial"/>
                <w:bCs/>
                <w:lang w:eastAsia="en-NZ"/>
              </w:rPr>
            </w:pPr>
            <w:r w:rsidRPr="006B142F">
              <w:rPr>
                <w:rFonts w:asciiTheme="minorHAnsi" w:hAnsiTheme="minorHAnsi" w:cs="Arial"/>
                <w:bCs/>
                <w:lang w:eastAsia="en-NZ"/>
              </w:rPr>
              <w:t>Commissioned</w:t>
            </w:r>
          </w:p>
        </w:tc>
        <w:tc>
          <w:tcPr>
            <w:tcW w:w="4622" w:type="dxa"/>
          </w:tcPr>
          <w:p w:rsidR="0089227F" w:rsidRPr="006B142F" w:rsidRDefault="0089227F" w:rsidP="0089227F">
            <w:pPr>
              <w:tabs>
                <w:tab w:val="left" w:pos="4045"/>
              </w:tabs>
              <w:spacing w:line="264" w:lineRule="auto"/>
              <w:ind w:left="34"/>
              <w:rPr>
                <w:rFonts w:asciiTheme="minorHAnsi" w:hAnsiTheme="minorHAnsi" w:cs="Arial"/>
                <w:lang w:eastAsia="en-NZ"/>
              </w:rPr>
            </w:pPr>
            <w:r w:rsidRPr="006B142F">
              <w:rPr>
                <w:rFonts w:asciiTheme="minorHAnsi" w:hAnsiTheme="minorHAnsi" w:cs="Arial"/>
                <w:lang w:eastAsia="en-NZ"/>
              </w:rPr>
              <w:t xml:space="preserve">has the meaning set out in the </w:t>
            </w:r>
            <w:r w:rsidRPr="006B142F">
              <w:rPr>
                <w:rFonts w:asciiTheme="minorHAnsi" w:hAnsiTheme="minorHAnsi" w:cs="Arial"/>
                <w:bCs/>
                <w:lang w:eastAsia="en-NZ"/>
              </w:rPr>
              <w:t>IM determination</w:t>
            </w:r>
          </w:p>
        </w:tc>
      </w:tr>
      <w:tr w:rsidR="0089227F" w:rsidRPr="006B142F" w:rsidTr="00B20AEC">
        <w:trPr>
          <w:cantSplit/>
        </w:trPr>
        <w:tc>
          <w:tcPr>
            <w:tcW w:w="4621" w:type="dxa"/>
          </w:tcPr>
          <w:p w:rsidR="0089227F" w:rsidRPr="006B142F" w:rsidRDefault="0089227F" w:rsidP="0089227F">
            <w:pPr>
              <w:pStyle w:val="BodyText"/>
              <w:spacing w:line="264" w:lineRule="auto"/>
              <w:rPr>
                <w:rFonts w:asciiTheme="minorHAnsi" w:hAnsiTheme="minorHAnsi"/>
                <w:bCs/>
              </w:rPr>
            </w:pPr>
            <w:r w:rsidRPr="006B142F">
              <w:rPr>
                <w:rFonts w:asciiTheme="minorHAnsi" w:hAnsiTheme="minorHAnsi"/>
                <w:bCs/>
              </w:rPr>
              <w:t>Complaint</w:t>
            </w:r>
          </w:p>
        </w:tc>
        <w:tc>
          <w:tcPr>
            <w:tcW w:w="4622" w:type="dxa"/>
          </w:tcPr>
          <w:p w:rsidR="0089227F" w:rsidRPr="006B142F" w:rsidRDefault="0089227F" w:rsidP="0089227F">
            <w:pPr>
              <w:tabs>
                <w:tab w:val="left" w:pos="4045"/>
              </w:tabs>
              <w:spacing w:line="264" w:lineRule="auto"/>
              <w:ind w:left="34"/>
              <w:rPr>
                <w:rFonts w:asciiTheme="minorHAnsi" w:hAnsiTheme="minorHAnsi"/>
              </w:rPr>
            </w:pPr>
            <w:r w:rsidRPr="006B142F">
              <w:rPr>
                <w:rFonts w:asciiTheme="minorHAnsi" w:hAnsiTheme="minorHAnsi"/>
              </w:rPr>
              <w:t>means any separate complaint received from either a retailer or a customer</w:t>
            </w:r>
          </w:p>
        </w:tc>
      </w:tr>
      <w:tr w:rsidR="0089227F" w:rsidRPr="006B142F" w:rsidTr="00B20AEC">
        <w:trPr>
          <w:cantSplit/>
        </w:trPr>
        <w:tc>
          <w:tcPr>
            <w:tcW w:w="4621" w:type="dxa"/>
          </w:tcPr>
          <w:p w:rsidR="0089227F" w:rsidRPr="006B142F" w:rsidRDefault="0089227F" w:rsidP="0089227F">
            <w:pPr>
              <w:pStyle w:val="BodyText"/>
              <w:spacing w:line="264" w:lineRule="auto"/>
              <w:rPr>
                <w:rFonts w:asciiTheme="minorHAnsi" w:hAnsiTheme="minorHAnsi"/>
                <w:bCs/>
              </w:rPr>
            </w:pPr>
            <w:r w:rsidRPr="006B142F">
              <w:rPr>
                <w:rFonts w:asciiTheme="minorHAnsi" w:hAnsiTheme="minorHAnsi"/>
                <w:bCs/>
              </w:rPr>
              <w:t>Confirmed public reported escapes of gas (PRE)</w:t>
            </w:r>
          </w:p>
        </w:tc>
        <w:tc>
          <w:tcPr>
            <w:tcW w:w="4622" w:type="dxa"/>
          </w:tcPr>
          <w:p w:rsidR="0089227F" w:rsidRPr="006B142F" w:rsidRDefault="0089227F" w:rsidP="0089227F">
            <w:pPr>
              <w:tabs>
                <w:tab w:val="left" w:pos="4045"/>
              </w:tabs>
              <w:spacing w:line="264" w:lineRule="auto"/>
              <w:ind w:left="34"/>
              <w:rPr>
                <w:rFonts w:asciiTheme="minorHAnsi" w:hAnsiTheme="minorHAnsi"/>
              </w:rPr>
            </w:pPr>
            <w:r w:rsidRPr="006B142F">
              <w:rPr>
                <w:rFonts w:asciiTheme="minorHAnsi" w:hAnsiTheme="minorHAnsi"/>
              </w:rPr>
              <w:t xml:space="preserve">means any escape of gas confirmed by the GDB excluding third party damage events, routine survey find and no traces events </w:t>
            </w:r>
          </w:p>
        </w:tc>
      </w:tr>
      <w:tr w:rsidR="0089227F" w:rsidRPr="006B142F" w:rsidTr="00B20AEC">
        <w:trPr>
          <w:cantSplit/>
        </w:trPr>
        <w:tc>
          <w:tcPr>
            <w:tcW w:w="4621" w:type="dxa"/>
          </w:tcPr>
          <w:p w:rsidR="0089227F" w:rsidRPr="006B142F" w:rsidRDefault="0089227F" w:rsidP="0089227F">
            <w:pPr>
              <w:rPr>
                <w:rFonts w:asciiTheme="minorHAnsi" w:hAnsiTheme="minorHAnsi"/>
                <w:bCs/>
              </w:rPr>
            </w:pPr>
            <w:r w:rsidRPr="006B142F">
              <w:rPr>
                <w:rFonts w:asciiTheme="minorHAnsi" w:hAnsiTheme="minorHAnsi"/>
                <w:bCs/>
              </w:rPr>
              <w:t>Control rights</w:t>
            </w:r>
          </w:p>
        </w:tc>
        <w:tc>
          <w:tcPr>
            <w:tcW w:w="4622" w:type="dxa"/>
          </w:tcPr>
          <w:p w:rsidR="0089227F" w:rsidRPr="006B142F" w:rsidRDefault="0089227F" w:rsidP="0089227F">
            <w:pPr>
              <w:tabs>
                <w:tab w:val="left" w:pos="4045"/>
              </w:tabs>
              <w:spacing w:line="264" w:lineRule="auto"/>
              <w:ind w:left="34"/>
              <w:rPr>
                <w:rFonts w:asciiTheme="minorHAnsi" w:hAnsiTheme="minorHAnsi"/>
              </w:rPr>
            </w:pPr>
            <w:r w:rsidRPr="006B142F">
              <w:rPr>
                <w:rFonts w:asciiTheme="minorHAnsi" w:hAnsiTheme="minorHAnsi"/>
              </w:rPr>
              <w:t xml:space="preserve">has the meaning set out in the </w:t>
            </w:r>
            <w:r w:rsidRPr="006B142F">
              <w:rPr>
                <w:rFonts w:asciiTheme="minorHAnsi" w:hAnsiTheme="minorHAnsi" w:cs="Arial"/>
                <w:lang w:eastAsia="en-NZ"/>
              </w:rPr>
              <w:t>Electricity Industry Act 2010</w:t>
            </w:r>
          </w:p>
        </w:tc>
      </w:tr>
      <w:tr w:rsidR="0089227F" w:rsidRPr="006B142F" w:rsidTr="00B20AEC">
        <w:trPr>
          <w:cantSplit/>
        </w:trPr>
        <w:tc>
          <w:tcPr>
            <w:tcW w:w="4621" w:type="dxa"/>
          </w:tcPr>
          <w:p w:rsidR="0089227F" w:rsidRPr="006B142F" w:rsidRDefault="0089227F" w:rsidP="0089227F">
            <w:pPr>
              <w:pStyle w:val="BodyText"/>
              <w:spacing w:line="264" w:lineRule="auto"/>
              <w:rPr>
                <w:rFonts w:asciiTheme="minorHAnsi" w:hAnsiTheme="minorHAnsi" w:cs="Arial"/>
                <w:bCs/>
                <w:lang w:eastAsia="en-NZ"/>
              </w:rPr>
            </w:pPr>
            <w:r w:rsidRPr="006B142F">
              <w:rPr>
                <w:rFonts w:asciiTheme="minorHAnsi" w:hAnsiTheme="minorHAnsi" w:cs="Arial"/>
                <w:bCs/>
                <w:lang w:eastAsia="en-NZ"/>
              </w:rPr>
              <w:t>Corporate tax rate</w:t>
            </w:r>
          </w:p>
        </w:tc>
        <w:tc>
          <w:tcPr>
            <w:tcW w:w="4622" w:type="dxa"/>
          </w:tcPr>
          <w:p w:rsidR="0089227F" w:rsidRPr="006B142F" w:rsidRDefault="0089227F" w:rsidP="0089227F">
            <w:pPr>
              <w:tabs>
                <w:tab w:val="left" w:pos="4045"/>
              </w:tabs>
              <w:spacing w:line="264" w:lineRule="auto"/>
              <w:ind w:left="34"/>
              <w:rPr>
                <w:rFonts w:asciiTheme="minorHAnsi" w:hAnsiTheme="minorHAnsi" w:cs="Arial"/>
                <w:lang w:eastAsia="en-NZ"/>
              </w:rPr>
            </w:pPr>
            <w:r w:rsidRPr="006B142F">
              <w:rPr>
                <w:rFonts w:asciiTheme="minorHAnsi" w:hAnsiTheme="minorHAnsi" w:cs="Arial"/>
                <w:lang w:eastAsia="en-NZ"/>
              </w:rPr>
              <w:t xml:space="preserve">has the meaning set out in the </w:t>
            </w:r>
            <w:r w:rsidRPr="006B142F">
              <w:rPr>
                <w:rFonts w:asciiTheme="minorHAnsi" w:hAnsiTheme="minorHAnsi" w:cs="Arial"/>
                <w:bCs/>
                <w:lang w:eastAsia="en-NZ"/>
              </w:rPr>
              <w:t>IM determination</w:t>
            </w:r>
          </w:p>
        </w:tc>
      </w:tr>
      <w:tr w:rsidR="0089227F" w:rsidRPr="006B142F" w:rsidTr="00B20AEC">
        <w:trPr>
          <w:cantSplit/>
        </w:trPr>
        <w:tc>
          <w:tcPr>
            <w:tcW w:w="4621" w:type="dxa"/>
          </w:tcPr>
          <w:p w:rsidR="0089227F" w:rsidRPr="006B142F" w:rsidRDefault="0089227F" w:rsidP="0089227F">
            <w:pPr>
              <w:pStyle w:val="BodyText"/>
              <w:spacing w:line="264" w:lineRule="auto"/>
              <w:rPr>
                <w:rFonts w:asciiTheme="minorHAnsi" w:hAnsiTheme="minorHAnsi" w:cs="Arial"/>
                <w:bCs/>
                <w:lang w:eastAsia="en-NZ"/>
              </w:rPr>
            </w:pPr>
            <w:r w:rsidRPr="006B142F">
              <w:rPr>
                <w:rFonts w:asciiTheme="minorHAnsi" w:hAnsiTheme="minorHAnsi" w:cs="Arial"/>
                <w:bCs/>
                <w:lang w:eastAsia="en-NZ"/>
              </w:rPr>
              <w:t>Cost of debt assumption</w:t>
            </w:r>
          </w:p>
        </w:tc>
        <w:tc>
          <w:tcPr>
            <w:tcW w:w="4622" w:type="dxa"/>
          </w:tcPr>
          <w:p w:rsidR="0089227F" w:rsidRPr="006B142F" w:rsidRDefault="0089227F" w:rsidP="0089227F">
            <w:pPr>
              <w:tabs>
                <w:tab w:val="left" w:pos="4045"/>
              </w:tabs>
              <w:spacing w:line="264" w:lineRule="auto"/>
              <w:ind w:left="34"/>
              <w:rPr>
                <w:rFonts w:asciiTheme="minorHAnsi" w:hAnsiTheme="minorHAnsi" w:cs="Arial"/>
                <w:lang w:eastAsia="en-NZ"/>
              </w:rPr>
            </w:pPr>
            <w:r w:rsidRPr="006B142F">
              <w:rPr>
                <w:rFonts w:asciiTheme="minorHAnsi" w:hAnsiTheme="minorHAnsi" w:cs="Arial"/>
                <w:lang w:eastAsia="en-NZ"/>
              </w:rPr>
              <w:t xml:space="preserve">means the sum of the risk free rate and debt premium estimates as determined by the </w:t>
            </w:r>
            <w:r w:rsidRPr="006B142F">
              <w:rPr>
                <w:rFonts w:asciiTheme="minorHAnsi" w:hAnsiTheme="minorHAnsi" w:cs="Arial"/>
                <w:bCs/>
                <w:lang w:eastAsia="en-NZ"/>
              </w:rPr>
              <w:t>Commission</w:t>
            </w:r>
            <w:r w:rsidRPr="006B142F">
              <w:rPr>
                <w:rFonts w:asciiTheme="minorHAnsi" w:hAnsiTheme="minorHAnsi" w:cs="Arial"/>
                <w:lang w:eastAsia="en-NZ"/>
              </w:rPr>
              <w:t xml:space="preserve"> in accordance with clauses 2.4.3 and 2.4.4 of the </w:t>
            </w:r>
            <w:r w:rsidRPr="006B142F">
              <w:rPr>
                <w:rFonts w:asciiTheme="minorHAnsi" w:hAnsiTheme="minorHAnsi" w:cs="Arial"/>
                <w:bCs/>
                <w:lang w:eastAsia="en-NZ"/>
              </w:rPr>
              <w:t>IM determination and published under clause 2.4.8 of the IM determination for each disclosure year</w:t>
            </w:r>
          </w:p>
        </w:tc>
      </w:tr>
      <w:tr w:rsidR="0089227F" w:rsidRPr="006B142F" w:rsidTr="00B20AEC">
        <w:trPr>
          <w:cantSplit/>
        </w:trPr>
        <w:tc>
          <w:tcPr>
            <w:tcW w:w="4621" w:type="dxa"/>
          </w:tcPr>
          <w:p w:rsidR="0089227F" w:rsidRPr="006B142F" w:rsidRDefault="0089227F" w:rsidP="0089227F">
            <w:pPr>
              <w:pStyle w:val="BodyText"/>
              <w:spacing w:line="264" w:lineRule="auto"/>
              <w:rPr>
                <w:rFonts w:asciiTheme="minorHAnsi" w:hAnsiTheme="minorHAnsi" w:cs="Arial"/>
                <w:bCs/>
                <w:lang w:eastAsia="en-NZ"/>
              </w:rPr>
            </w:pPr>
            <w:r w:rsidRPr="006B142F">
              <w:rPr>
                <w:rFonts w:asciiTheme="minorHAnsi" w:hAnsiTheme="minorHAnsi" w:cs="Arial"/>
                <w:bCs/>
                <w:lang w:eastAsia="en-NZ"/>
              </w:rPr>
              <w:t>Cost of executing an interest rate swap</w:t>
            </w:r>
          </w:p>
        </w:tc>
        <w:tc>
          <w:tcPr>
            <w:tcW w:w="4622" w:type="dxa"/>
          </w:tcPr>
          <w:p w:rsidR="0089227F" w:rsidRPr="006B142F" w:rsidRDefault="0089227F" w:rsidP="0089227F">
            <w:pPr>
              <w:tabs>
                <w:tab w:val="left" w:pos="4045"/>
              </w:tabs>
              <w:spacing w:line="264" w:lineRule="auto"/>
              <w:ind w:left="34"/>
              <w:rPr>
                <w:rFonts w:asciiTheme="minorHAnsi" w:hAnsiTheme="minorHAnsi" w:cs="Arial"/>
                <w:lang w:eastAsia="en-NZ"/>
              </w:rPr>
            </w:pPr>
            <w:r w:rsidRPr="006B142F">
              <w:rPr>
                <w:rFonts w:asciiTheme="minorHAnsi" w:hAnsiTheme="minorHAnsi" w:cs="Arial"/>
                <w:lang w:eastAsia="en-NZ"/>
              </w:rPr>
              <w:t>has the meaning set out in the</w:t>
            </w:r>
            <w:r w:rsidRPr="006B142F">
              <w:rPr>
                <w:rFonts w:asciiTheme="minorHAnsi" w:hAnsiTheme="minorHAnsi" w:cs="Arial"/>
                <w:bCs/>
                <w:lang w:eastAsia="en-NZ"/>
              </w:rPr>
              <w:t xml:space="preserve"> IM determination</w:t>
            </w:r>
          </w:p>
        </w:tc>
      </w:tr>
      <w:tr w:rsidR="0089227F" w:rsidRPr="006B142F" w:rsidTr="00B20AEC">
        <w:trPr>
          <w:cantSplit/>
        </w:trPr>
        <w:tc>
          <w:tcPr>
            <w:tcW w:w="4621" w:type="dxa"/>
          </w:tcPr>
          <w:p w:rsidR="0089227F" w:rsidRPr="006B142F" w:rsidRDefault="0089227F" w:rsidP="0089227F">
            <w:pPr>
              <w:pStyle w:val="BodyText"/>
              <w:spacing w:line="264" w:lineRule="auto"/>
              <w:rPr>
                <w:rFonts w:asciiTheme="minorHAnsi" w:hAnsiTheme="minorHAnsi" w:cs="Arial"/>
                <w:bCs/>
                <w:lang w:eastAsia="en-NZ"/>
              </w:rPr>
            </w:pPr>
            <w:r w:rsidRPr="006B142F">
              <w:rPr>
                <w:rFonts w:asciiTheme="minorHAnsi" w:hAnsiTheme="minorHAnsi" w:cs="Arial"/>
                <w:bCs/>
                <w:lang w:eastAsia="en-NZ"/>
              </w:rPr>
              <w:t>Coupon rate</w:t>
            </w:r>
          </w:p>
        </w:tc>
        <w:tc>
          <w:tcPr>
            <w:tcW w:w="4622" w:type="dxa"/>
          </w:tcPr>
          <w:p w:rsidR="0089227F" w:rsidRPr="006B142F" w:rsidRDefault="0089227F" w:rsidP="0089227F">
            <w:pPr>
              <w:tabs>
                <w:tab w:val="left" w:pos="4045"/>
              </w:tabs>
              <w:spacing w:line="264" w:lineRule="auto"/>
              <w:ind w:left="459" w:hanging="425"/>
              <w:rPr>
                <w:rFonts w:asciiTheme="minorHAnsi" w:hAnsiTheme="minorHAnsi" w:cs="Arial"/>
                <w:lang w:eastAsia="en-NZ"/>
              </w:rPr>
            </w:pPr>
            <w:r w:rsidRPr="006B142F">
              <w:rPr>
                <w:rFonts w:asciiTheme="minorHAnsi" w:hAnsiTheme="minorHAnsi" w:cs="Arial"/>
                <w:lang w:eastAsia="en-NZ"/>
              </w:rPr>
              <w:t>means:</w:t>
            </w:r>
          </w:p>
          <w:p w:rsidR="0089227F" w:rsidRPr="006B142F" w:rsidRDefault="0089227F" w:rsidP="0089227F">
            <w:pPr>
              <w:tabs>
                <w:tab w:val="left" w:pos="4045"/>
              </w:tabs>
              <w:spacing w:line="264" w:lineRule="auto"/>
              <w:ind w:left="459" w:hanging="351"/>
              <w:rPr>
                <w:rFonts w:asciiTheme="minorHAnsi" w:hAnsiTheme="minorHAnsi" w:cs="Arial"/>
                <w:lang w:eastAsia="en-NZ"/>
              </w:rPr>
            </w:pPr>
            <w:r w:rsidRPr="006B142F">
              <w:rPr>
                <w:rFonts w:asciiTheme="minorHAnsi" w:hAnsiTheme="minorHAnsi" w:cs="Arial"/>
                <w:lang w:eastAsia="en-NZ"/>
              </w:rPr>
              <w:t>(a)</w:t>
            </w:r>
            <w:r w:rsidRPr="006B142F">
              <w:rPr>
                <w:rFonts w:asciiTheme="minorHAnsi" w:hAnsiTheme="minorHAnsi" w:cs="Arial"/>
                <w:lang w:eastAsia="en-NZ"/>
              </w:rPr>
              <w:tab/>
              <w:t xml:space="preserve">where the information is available publicly, the nominal coupon rate of interest of a </w:t>
            </w:r>
            <w:r w:rsidRPr="006B142F">
              <w:rPr>
                <w:rFonts w:asciiTheme="minorHAnsi" w:hAnsiTheme="minorHAnsi" w:cs="Arial"/>
                <w:bCs/>
                <w:lang w:eastAsia="en-NZ"/>
              </w:rPr>
              <w:t>qualifying debt</w:t>
            </w:r>
            <w:r w:rsidRPr="006B142F">
              <w:rPr>
                <w:rFonts w:asciiTheme="minorHAnsi" w:hAnsiTheme="minorHAnsi" w:cs="Arial"/>
                <w:lang w:eastAsia="en-NZ"/>
              </w:rPr>
              <w:t xml:space="preserve"> on the </w:t>
            </w:r>
            <w:r w:rsidRPr="006B142F">
              <w:rPr>
                <w:rFonts w:asciiTheme="minorHAnsi" w:hAnsiTheme="minorHAnsi" w:cs="Arial"/>
                <w:bCs/>
                <w:lang w:eastAsia="en-NZ"/>
              </w:rPr>
              <w:t>issue date</w:t>
            </w:r>
            <w:r w:rsidRPr="006B142F">
              <w:rPr>
                <w:rFonts w:asciiTheme="minorHAnsi" w:hAnsiTheme="minorHAnsi" w:cs="Arial"/>
                <w:lang w:eastAsia="en-NZ"/>
              </w:rPr>
              <w:t>;</w:t>
            </w:r>
          </w:p>
          <w:p w:rsidR="0089227F" w:rsidRPr="006B142F" w:rsidRDefault="0089227F" w:rsidP="0089227F">
            <w:pPr>
              <w:tabs>
                <w:tab w:val="left" w:pos="4045"/>
              </w:tabs>
              <w:spacing w:line="264" w:lineRule="auto"/>
              <w:ind w:left="459" w:hanging="351"/>
              <w:rPr>
                <w:rFonts w:asciiTheme="minorHAnsi" w:hAnsiTheme="minorHAnsi" w:cs="Arial"/>
                <w:lang w:eastAsia="en-NZ"/>
              </w:rPr>
            </w:pPr>
            <w:r w:rsidRPr="006B142F">
              <w:rPr>
                <w:rFonts w:asciiTheme="minorHAnsi" w:hAnsiTheme="minorHAnsi" w:cs="Arial"/>
                <w:lang w:eastAsia="en-NZ"/>
              </w:rPr>
              <w:t>(b)</w:t>
            </w:r>
            <w:r w:rsidRPr="006B142F">
              <w:rPr>
                <w:rFonts w:asciiTheme="minorHAnsi" w:hAnsiTheme="minorHAnsi" w:cs="Arial"/>
                <w:lang w:eastAsia="en-NZ"/>
              </w:rPr>
              <w:tab/>
              <w:t xml:space="preserve">where the nominal coupon rate of interest of a </w:t>
            </w:r>
            <w:r w:rsidRPr="006B142F">
              <w:rPr>
                <w:rFonts w:asciiTheme="minorHAnsi" w:hAnsiTheme="minorHAnsi" w:cs="Arial"/>
                <w:bCs/>
                <w:lang w:eastAsia="en-NZ"/>
              </w:rPr>
              <w:t>qualifying debt</w:t>
            </w:r>
            <w:r w:rsidRPr="006B142F">
              <w:rPr>
                <w:rFonts w:asciiTheme="minorHAnsi" w:hAnsiTheme="minorHAnsi" w:cs="Arial"/>
                <w:lang w:eastAsia="en-NZ"/>
              </w:rPr>
              <w:t xml:space="preserve"> on the</w:t>
            </w:r>
            <w:r w:rsidRPr="006B142F">
              <w:rPr>
                <w:rFonts w:asciiTheme="minorHAnsi" w:hAnsiTheme="minorHAnsi" w:cs="Arial"/>
                <w:bCs/>
                <w:lang w:eastAsia="en-NZ"/>
              </w:rPr>
              <w:t xml:space="preserve"> issue date </w:t>
            </w:r>
            <w:r w:rsidRPr="006B142F">
              <w:rPr>
                <w:rFonts w:asciiTheme="minorHAnsi" w:hAnsiTheme="minorHAnsi" w:cs="Arial"/>
                <w:lang w:eastAsia="en-NZ"/>
              </w:rPr>
              <w:t xml:space="preserve">is not available publicly, either the nominal coupon rate of interest or the basis for determining the nominal coupon rate of interest of a </w:t>
            </w:r>
            <w:r w:rsidRPr="006B142F">
              <w:rPr>
                <w:rFonts w:asciiTheme="minorHAnsi" w:hAnsiTheme="minorHAnsi" w:cs="Arial"/>
                <w:bCs/>
                <w:lang w:eastAsia="en-NZ"/>
              </w:rPr>
              <w:t>qualifying debt</w:t>
            </w:r>
            <w:r w:rsidRPr="006B142F">
              <w:rPr>
                <w:rFonts w:asciiTheme="minorHAnsi" w:hAnsiTheme="minorHAnsi" w:cs="Arial"/>
                <w:lang w:eastAsia="en-NZ"/>
              </w:rPr>
              <w:t xml:space="preserve"> on the </w:t>
            </w:r>
            <w:r w:rsidRPr="006B142F">
              <w:rPr>
                <w:rFonts w:asciiTheme="minorHAnsi" w:hAnsiTheme="minorHAnsi" w:cs="Arial"/>
                <w:bCs/>
                <w:lang w:eastAsia="en-NZ"/>
              </w:rPr>
              <w:t>issue date</w:t>
            </w:r>
          </w:p>
        </w:tc>
      </w:tr>
      <w:tr w:rsidR="0089227F" w:rsidRPr="006B142F" w:rsidTr="00B20AEC">
        <w:trPr>
          <w:cantSplit/>
        </w:trPr>
        <w:tc>
          <w:tcPr>
            <w:tcW w:w="4621" w:type="dxa"/>
          </w:tcPr>
          <w:p w:rsidR="0089227F" w:rsidRPr="006B142F" w:rsidRDefault="0089227F" w:rsidP="0089227F">
            <w:pPr>
              <w:pStyle w:val="BodyText"/>
              <w:spacing w:line="264" w:lineRule="auto"/>
              <w:rPr>
                <w:rFonts w:asciiTheme="minorHAnsi" w:hAnsiTheme="minorHAnsi" w:cs="Arial"/>
                <w:bCs/>
                <w:lang w:eastAsia="en-NZ"/>
              </w:rPr>
            </w:pPr>
            <w:r w:rsidRPr="006B142F">
              <w:rPr>
                <w:rFonts w:asciiTheme="minorHAnsi" w:hAnsiTheme="minorHAnsi" w:cs="Arial"/>
                <w:bCs/>
                <w:lang w:eastAsia="en-NZ"/>
              </w:rPr>
              <w:t>CPI</w:t>
            </w:r>
            <w:r w:rsidRPr="006B142F">
              <w:rPr>
                <w:rFonts w:asciiTheme="minorHAnsi" w:hAnsiTheme="minorHAnsi" w:cs="Arial"/>
                <w:bCs/>
                <w:vertAlign w:val="subscript"/>
                <w:lang w:eastAsia="en-NZ"/>
              </w:rPr>
              <w:t>4</w:t>
            </w:r>
          </w:p>
        </w:tc>
        <w:tc>
          <w:tcPr>
            <w:tcW w:w="4622" w:type="dxa"/>
          </w:tcPr>
          <w:p w:rsidR="0089227F" w:rsidRPr="006B142F" w:rsidRDefault="0089227F" w:rsidP="0089227F">
            <w:pPr>
              <w:tabs>
                <w:tab w:val="left" w:pos="4045"/>
              </w:tabs>
              <w:spacing w:line="264" w:lineRule="auto"/>
              <w:ind w:left="34"/>
              <w:rPr>
                <w:rFonts w:asciiTheme="minorHAnsi" w:hAnsiTheme="minorHAnsi" w:cs="Arial"/>
                <w:lang w:eastAsia="en-NZ"/>
              </w:rPr>
            </w:pPr>
            <w:r w:rsidRPr="006B142F">
              <w:rPr>
                <w:rFonts w:asciiTheme="minorHAnsi" w:hAnsiTheme="minorHAnsi" w:cs="Arial"/>
                <w:lang w:eastAsia="en-NZ"/>
              </w:rPr>
              <w:t>has the meaning set out in clause 2.2.9(4) of the IM determination</w:t>
            </w:r>
          </w:p>
        </w:tc>
      </w:tr>
      <w:tr w:rsidR="0089227F" w:rsidRPr="006B142F" w:rsidTr="00B20AEC">
        <w:trPr>
          <w:cantSplit/>
        </w:trPr>
        <w:tc>
          <w:tcPr>
            <w:tcW w:w="4621" w:type="dxa"/>
          </w:tcPr>
          <w:p w:rsidR="0089227F" w:rsidRPr="006B142F" w:rsidRDefault="0089227F" w:rsidP="0089227F">
            <w:pPr>
              <w:pStyle w:val="BodyText"/>
              <w:spacing w:line="264" w:lineRule="auto"/>
              <w:rPr>
                <w:rFonts w:asciiTheme="minorHAnsi" w:hAnsiTheme="minorHAnsi" w:cs="Arial"/>
                <w:bCs/>
                <w:lang w:eastAsia="en-NZ"/>
              </w:rPr>
            </w:pPr>
            <w:r w:rsidRPr="006B142F">
              <w:rPr>
                <w:rFonts w:asciiTheme="minorHAnsi" w:hAnsiTheme="minorHAnsi" w:cs="Arial"/>
                <w:bCs/>
                <w:lang w:eastAsia="en-NZ"/>
              </w:rPr>
              <w:t>CPI</w:t>
            </w:r>
            <w:r w:rsidRPr="006B142F">
              <w:rPr>
                <w:rFonts w:asciiTheme="minorHAnsi" w:hAnsiTheme="minorHAnsi" w:cs="Arial"/>
                <w:bCs/>
                <w:vertAlign w:val="subscript"/>
                <w:lang w:eastAsia="en-NZ"/>
              </w:rPr>
              <w:t>4</w:t>
            </w:r>
            <w:r w:rsidRPr="006B142F">
              <w:rPr>
                <w:rFonts w:asciiTheme="minorHAnsi" w:hAnsiTheme="minorHAnsi" w:cs="Arial"/>
                <w:bCs/>
                <w:vertAlign w:val="superscript"/>
                <w:lang w:eastAsia="en-NZ"/>
              </w:rPr>
              <w:t>-4</w:t>
            </w:r>
          </w:p>
        </w:tc>
        <w:tc>
          <w:tcPr>
            <w:tcW w:w="4622" w:type="dxa"/>
          </w:tcPr>
          <w:p w:rsidR="0089227F" w:rsidRPr="006B142F" w:rsidRDefault="0089227F" w:rsidP="0089227F">
            <w:pPr>
              <w:tabs>
                <w:tab w:val="left" w:pos="4045"/>
              </w:tabs>
              <w:spacing w:line="264" w:lineRule="auto"/>
              <w:ind w:left="34"/>
              <w:rPr>
                <w:rFonts w:asciiTheme="minorHAnsi" w:hAnsiTheme="minorHAnsi" w:cs="Arial"/>
                <w:lang w:eastAsia="en-NZ"/>
              </w:rPr>
            </w:pPr>
            <w:r w:rsidRPr="006B142F">
              <w:rPr>
                <w:rFonts w:asciiTheme="minorHAnsi" w:hAnsiTheme="minorHAnsi" w:cs="Arial"/>
                <w:lang w:eastAsia="en-NZ"/>
              </w:rPr>
              <w:t>has the meaning set out in clause 2.2.9(4) of the IM determination</w:t>
            </w:r>
          </w:p>
        </w:tc>
      </w:tr>
      <w:tr w:rsidR="0089227F" w:rsidRPr="006B142F" w:rsidDel="00181319" w:rsidTr="00B20AEC">
        <w:trPr>
          <w:cantSplit/>
        </w:trPr>
        <w:tc>
          <w:tcPr>
            <w:tcW w:w="4621" w:type="dxa"/>
          </w:tcPr>
          <w:p w:rsidR="0089227F" w:rsidRPr="006B142F" w:rsidDel="00181319" w:rsidRDefault="0089227F" w:rsidP="0089227F">
            <w:pPr>
              <w:spacing w:line="264" w:lineRule="auto"/>
              <w:rPr>
                <w:rFonts w:asciiTheme="minorHAnsi" w:hAnsiTheme="minorHAnsi"/>
                <w:bCs/>
              </w:rPr>
            </w:pPr>
            <w:r w:rsidRPr="006B142F">
              <w:rPr>
                <w:rFonts w:asciiTheme="minorHAnsi" w:hAnsiTheme="minorHAnsi"/>
                <w:bCs/>
              </w:rPr>
              <w:t>CPP</w:t>
            </w:r>
          </w:p>
        </w:tc>
        <w:tc>
          <w:tcPr>
            <w:tcW w:w="4622" w:type="dxa"/>
          </w:tcPr>
          <w:p w:rsidR="0089227F" w:rsidRPr="006B142F" w:rsidDel="00181319" w:rsidRDefault="0089227F" w:rsidP="0089227F">
            <w:pPr>
              <w:tabs>
                <w:tab w:val="left" w:pos="4045"/>
              </w:tabs>
              <w:spacing w:line="264" w:lineRule="auto"/>
              <w:ind w:left="34"/>
              <w:rPr>
                <w:rFonts w:asciiTheme="minorHAnsi" w:hAnsiTheme="minorHAnsi"/>
              </w:rPr>
            </w:pPr>
            <w:r w:rsidRPr="006B142F">
              <w:rPr>
                <w:rFonts w:asciiTheme="minorHAnsi" w:hAnsiTheme="minorHAnsi"/>
              </w:rPr>
              <w:t>means customised price-quality path</w:t>
            </w:r>
          </w:p>
        </w:tc>
      </w:tr>
      <w:tr w:rsidR="0089227F" w:rsidRPr="006B142F" w:rsidTr="00B20AEC">
        <w:trPr>
          <w:cantSplit/>
        </w:trPr>
        <w:tc>
          <w:tcPr>
            <w:tcW w:w="4621" w:type="dxa"/>
          </w:tcPr>
          <w:p w:rsidR="0089227F" w:rsidRPr="006B142F" w:rsidRDefault="0089227F" w:rsidP="0089227F">
            <w:pPr>
              <w:pStyle w:val="BodyText"/>
              <w:spacing w:line="264" w:lineRule="auto"/>
              <w:rPr>
                <w:rFonts w:asciiTheme="minorHAnsi" w:hAnsiTheme="minorHAnsi" w:cs="Arial"/>
                <w:bCs/>
                <w:lang w:eastAsia="en-NZ"/>
              </w:rPr>
            </w:pPr>
            <w:r w:rsidRPr="006B142F">
              <w:rPr>
                <w:rFonts w:asciiTheme="minorHAnsi" w:hAnsiTheme="minorHAnsi" w:cs="Arial"/>
                <w:bCs/>
                <w:lang w:eastAsia="en-NZ"/>
              </w:rPr>
              <w:t>Current period tax losses</w:t>
            </w:r>
          </w:p>
        </w:tc>
        <w:tc>
          <w:tcPr>
            <w:tcW w:w="4622" w:type="dxa"/>
          </w:tcPr>
          <w:p w:rsidR="0089227F" w:rsidRPr="006B142F" w:rsidRDefault="0089227F" w:rsidP="0089227F">
            <w:pPr>
              <w:tabs>
                <w:tab w:val="left" w:pos="4045"/>
              </w:tabs>
              <w:spacing w:line="264" w:lineRule="auto"/>
              <w:ind w:left="34"/>
              <w:rPr>
                <w:rFonts w:asciiTheme="minorHAnsi" w:hAnsiTheme="minorHAnsi" w:cs="Arial"/>
                <w:lang w:eastAsia="en-NZ"/>
              </w:rPr>
            </w:pPr>
            <w:r w:rsidRPr="006B142F">
              <w:rPr>
                <w:rFonts w:asciiTheme="minorHAnsi" w:hAnsiTheme="minorHAnsi" w:cs="Arial"/>
                <w:lang w:eastAsia="en-NZ"/>
              </w:rPr>
              <w:t>has the meaning given to that term in clause 2.3.2(5) of the IM determination</w:t>
            </w:r>
          </w:p>
        </w:tc>
      </w:tr>
      <w:tr w:rsidR="0089227F" w:rsidRPr="006B142F" w:rsidTr="00B20AEC">
        <w:trPr>
          <w:cantSplit/>
        </w:trPr>
        <w:tc>
          <w:tcPr>
            <w:tcW w:w="4621" w:type="dxa"/>
          </w:tcPr>
          <w:p w:rsidR="0089227F" w:rsidRPr="006B142F" w:rsidRDefault="0089227F" w:rsidP="0089227F">
            <w:pPr>
              <w:pStyle w:val="Tablebodytext"/>
              <w:rPr>
                <w:rFonts w:asciiTheme="minorHAnsi" w:hAnsiTheme="minorHAnsi"/>
                <w:szCs w:val="24"/>
              </w:rPr>
            </w:pPr>
            <w:r w:rsidRPr="006B142F">
              <w:rPr>
                <w:rFonts w:asciiTheme="minorHAnsi" w:hAnsiTheme="minorHAnsi"/>
                <w:szCs w:val="24"/>
              </w:rPr>
              <w:t>Customer (Connection Point) Average Interruption Duration Index (CAIDI)</w:t>
            </w:r>
          </w:p>
        </w:tc>
        <w:tc>
          <w:tcPr>
            <w:tcW w:w="4622" w:type="dxa"/>
          </w:tcPr>
          <w:p w:rsidR="0089227F" w:rsidRPr="006B142F" w:rsidRDefault="0089227F" w:rsidP="0089227F">
            <w:pPr>
              <w:pStyle w:val="Tablebodytext"/>
              <w:rPr>
                <w:rFonts w:asciiTheme="minorHAnsi" w:hAnsiTheme="minorHAnsi"/>
                <w:szCs w:val="24"/>
              </w:rPr>
            </w:pPr>
            <w:proofErr w:type="gramStart"/>
            <w:r w:rsidRPr="006B142F">
              <w:rPr>
                <w:rFonts w:asciiTheme="minorHAnsi" w:hAnsiTheme="minorHAnsi"/>
                <w:szCs w:val="24"/>
              </w:rPr>
              <w:t>means</w:t>
            </w:r>
            <w:proofErr w:type="gramEnd"/>
            <w:r w:rsidRPr="006B142F">
              <w:rPr>
                <w:rFonts w:asciiTheme="minorHAnsi" w:hAnsiTheme="minorHAnsi"/>
                <w:szCs w:val="24"/>
              </w:rPr>
              <w:t xml:space="preserve"> the sum of the duration of each interruption during the disclosure year, divided by the total number of interruptions (Note: this definition means that CAIDI = SAIDI / SAIFI).</w:t>
            </w:r>
          </w:p>
        </w:tc>
      </w:tr>
      <w:tr w:rsidR="0089227F" w:rsidRPr="006B142F" w:rsidTr="00B20AEC">
        <w:trPr>
          <w:cantSplit/>
        </w:trPr>
        <w:tc>
          <w:tcPr>
            <w:tcW w:w="4621" w:type="dxa"/>
          </w:tcPr>
          <w:p w:rsidR="0089227F" w:rsidRPr="006B142F" w:rsidRDefault="0089227F" w:rsidP="0089227F">
            <w:pPr>
              <w:rPr>
                <w:rFonts w:asciiTheme="minorHAnsi" w:hAnsiTheme="minorHAnsi"/>
                <w:color w:val="000000"/>
                <w:lang w:val="en-AU"/>
              </w:rPr>
            </w:pPr>
            <w:r w:rsidRPr="006B142F">
              <w:rPr>
                <w:rFonts w:asciiTheme="minorHAnsi" w:hAnsiTheme="minorHAnsi"/>
                <w:color w:val="000000"/>
                <w:lang w:val="en-AU"/>
              </w:rPr>
              <w:t>Customer types defined by GDB</w:t>
            </w:r>
          </w:p>
        </w:tc>
        <w:tc>
          <w:tcPr>
            <w:tcW w:w="4622" w:type="dxa"/>
          </w:tcPr>
          <w:p w:rsidR="0089227F" w:rsidRPr="006B142F" w:rsidRDefault="0089227F" w:rsidP="0089227F">
            <w:pPr>
              <w:pStyle w:val="BodyText"/>
              <w:rPr>
                <w:rFonts w:asciiTheme="minorHAnsi" w:hAnsiTheme="minorHAnsi"/>
                <w:lang w:val="en-AU"/>
              </w:rPr>
            </w:pPr>
            <w:proofErr w:type="gramStart"/>
            <w:r w:rsidRPr="006B142F">
              <w:rPr>
                <w:rFonts w:asciiTheme="minorHAnsi" w:hAnsiTheme="minorHAnsi"/>
                <w:lang w:val="en-AU"/>
              </w:rPr>
              <w:t>means</w:t>
            </w:r>
            <w:proofErr w:type="gramEnd"/>
            <w:r w:rsidRPr="006B142F">
              <w:rPr>
                <w:rFonts w:asciiTheme="minorHAnsi" w:hAnsiTheme="minorHAnsi"/>
                <w:lang w:val="en-AU"/>
              </w:rPr>
              <w:t xml:space="preserve"> categories of customers that are defined by the GDB based on particular customer attributes.</w:t>
            </w:r>
          </w:p>
        </w:tc>
      </w:tr>
      <w:tr w:rsidR="0089227F" w:rsidRPr="006B142F" w:rsidTr="00B20AEC">
        <w:trPr>
          <w:cantSplit/>
        </w:trPr>
        <w:tc>
          <w:tcPr>
            <w:tcW w:w="4621" w:type="dxa"/>
          </w:tcPr>
          <w:p w:rsidR="0089227F" w:rsidRPr="006B142F" w:rsidRDefault="0089227F" w:rsidP="0089227F">
            <w:pPr>
              <w:pStyle w:val="Tablebodytext"/>
              <w:rPr>
                <w:rFonts w:asciiTheme="minorHAnsi" w:hAnsiTheme="minorHAnsi"/>
                <w:szCs w:val="24"/>
              </w:rPr>
            </w:pPr>
            <w:r w:rsidRPr="006B142F">
              <w:rPr>
                <w:rFonts w:asciiTheme="minorHAnsi" w:hAnsiTheme="minorHAnsi"/>
                <w:szCs w:val="24"/>
              </w:rPr>
              <w:t>Data Accuracy 1–4</w:t>
            </w:r>
          </w:p>
        </w:tc>
        <w:tc>
          <w:tcPr>
            <w:tcW w:w="4622" w:type="dxa"/>
          </w:tcPr>
          <w:p w:rsidR="0089227F" w:rsidRPr="006B142F" w:rsidRDefault="0089227F" w:rsidP="0089227F">
            <w:pPr>
              <w:pStyle w:val="BodyText"/>
              <w:rPr>
                <w:rFonts w:asciiTheme="minorHAnsi" w:hAnsiTheme="minorHAnsi"/>
              </w:rPr>
            </w:pPr>
            <w:r w:rsidRPr="006B142F">
              <w:rPr>
                <w:rFonts w:asciiTheme="minorHAnsi" w:hAnsiTheme="minorHAnsi"/>
              </w:rPr>
              <w:t xml:space="preserve">means the </w:t>
            </w:r>
            <w:proofErr w:type="spellStart"/>
            <w:r w:rsidRPr="006B142F">
              <w:rPr>
                <w:rFonts w:asciiTheme="minorHAnsi" w:hAnsiTheme="minorHAnsi"/>
              </w:rPr>
              <w:t>GDB’s</w:t>
            </w:r>
            <w:proofErr w:type="spellEnd"/>
            <w:r w:rsidRPr="006B142F">
              <w:rPr>
                <w:rFonts w:asciiTheme="minorHAnsi" w:hAnsiTheme="minorHAnsi"/>
              </w:rPr>
              <w:t xml:space="preserve"> assessment of the accuracy of the data provided, using one of the following options:</w:t>
            </w:r>
          </w:p>
          <w:p w:rsidR="0089227F" w:rsidRPr="006B142F" w:rsidRDefault="0089227F" w:rsidP="0089227F">
            <w:pPr>
              <w:pStyle w:val="BodyText"/>
              <w:rPr>
                <w:rFonts w:asciiTheme="minorHAnsi" w:hAnsiTheme="minorHAnsi"/>
              </w:rPr>
            </w:pPr>
            <w:r w:rsidRPr="006B142F">
              <w:rPr>
                <w:rFonts w:asciiTheme="minorHAnsi" w:hAnsiTheme="minorHAnsi"/>
              </w:rPr>
              <w:t>1 – means that good quality data is not available for any of the assets in the category and estimates are likely to contain significant error</w:t>
            </w:r>
          </w:p>
          <w:p w:rsidR="0089227F" w:rsidRPr="006B142F" w:rsidRDefault="0089227F" w:rsidP="0089227F">
            <w:pPr>
              <w:pStyle w:val="BodyText"/>
              <w:rPr>
                <w:rFonts w:asciiTheme="minorHAnsi" w:hAnsiTheme="minorHAnsi"/>
              </w:rPr>
            </w:pPr>
            <w:r w:rsidRPr="006B142F">
              <w:rPr>
                <w:rFonts w:asciiTheme="minorHAnsi" w:hAnsiTheme="minorHAnsi"/>
              </w:rPr>
              <w:t>2 – means that good quality data is available for some assets but not for others and the data provided includes estimates of uncounted assets within the category</w:t>
            </w:r>
          </w:p>
          <w:p w:rsidR="0089227F" w:rsidRPr="006B142F" w:rsidRDefault="0089227F" w:rsidP="0089227F">
            <w:pPr>
              <w:pStyle w:val="BodyText"/>
              <w:rPr>
                <w:rFonts w:asciiTheme="minorHAnsi" w:hAnsiTheme="minorHAnsi"/>
              </w:rPr>
            </w:pPr>
            <w:r w:rsidRPr="006B142F">
              <w:rPr>
                <w:rFonts w:asciiTheme="minorHAnsi" w:hAnsiTheme="minorHAnsi"/>
              </w:rPr>
              <w:t>3 – means that data is available for all assets but includes a level of estimation where there is understood to be some poor quality data for some of the assets within the category</w:t>
            </w:r>
          </w:p>
          <w:p w:rsidR="0089227F" w:rsidRPr="006B142F" w:rsidRDefault="0089227F" w:rsidP="0089227F">
            <w:pPr>
              <w:pStyle w:val="Tablebodytext"/>
              <w:rPr>
                <w:rFonts w:asciiTheme="minorHAnsi" w:hAnsiTheme="minorHAnsi"/>
                <w:szCs w:val="24"/>
              </w:rPr>
            </w:pPr>
            <w:r w:rsidRPr="006B142F">
              <w:rPr>
                <w:rFonts w:asciiTheme="minorHAnsi" w:hAnsiTheme="minorHAnsi"/>
                <w:szCs w:val="24"/>
              </w:rPr>
              <w:t>4 – means that good quality data is available for all of the assets in the category</w:t>
            </w:r>
          </w:p>
        </w:tc>
      </w:tr>
      <w:tr w:rsidR="0089227F" w:rsidRPr="006B142F" w:rsidTr="00B20AEC">
        <w:trPr>
          <w:cantSplit/>
        </w:trPr>
        <w:tc>
          <w:tcPr>
            <w:tcW w:w="4621" w:type="dxa"/>
          </w:tcPr>
          <w:p w:rsidR="0089227F" w:rsidRPr="006B142F" w:rsidRDefault="0089227F" w:rsidP="0089227F">
            <w:pPr>
              <w:pStyle w:val="BodyText"/>
              <w:spacing w:line="264" w:lineRule="auto"/>
              <w:rPr>
                <w:rFonts w:asciiTheme="minorHAnsi" w:hAnsiTheme="minorHAnsi" w:cs="Arial"/>
                <w:bCs/>
                <w:lang w:eastAsia="en-NZ"/>
              </w:rPr>
            </w:pPr>
            <w:r w:rsidRPr="006B142F">
              <w:rPr>
                <w:rFonts w:asciiTheme="minorHAnsi" w:hAnsiTheme="minorHAnsi" w:cs="Arial"/>
                <w:bCs/>
                <w:lang w:eastAsia="en-NZ"/>
              </w:rPr>
              <w:t>Debt issue cost readjustment</w:t>
            </w:r>
          </w:p>
        </w:tc>
        <w:tc>
          <w:tcPr>
            <w:tcW w:w="4622" w:type="dxa"/>
          </w:tcPr>
          <w:p w:rsidR="0089227F" w:rsidRPr="006B142F" w:rsidRDefault="0089227F" w:rsidP="0089227F">
            <w:pPr>
              <w:tabs>
                <w:tab w:val="left" w:pos="4045"/>
              </w:tabs>
              <w:spacing w:line="264" w:lineRule="auto"/>
              <w:rPr>
                <w:rFonts w:asciiTheme="minorHAnsi" w:hAnsiTheme="minorHAnsi"/>
              </w:rPr>
            </w:pPr>
            <w:r w:rsidRPr="006B142F">
              <w:rPr>
                <w:rFonts w:asciiTheme="minorHAnsi" w:hAnsiTheme="minorHAnsi" w:cs="Arial"/>
                <w:lang w:eastAsia="en-NZ"/>
              </w:rPr>
              <w:t>has the meaning set out in clause 2.4.11(4) of the</w:t>
            </w:r>
            <w:r w:rsidRPr="006B142F">
              <w:rPr>
                <w:rFonts w:asciiTheme="minorHAnsi" w:hAnsiTheme="minorHAnsi" w:cs="Arial"/>
                <w:bCs/>
                <w:lang w:eastAsia="en-NZ"/>
              </w:rPr>
              <w:t xml:space="preserve"> IM determination</w:t>
            </w:r>
          </w:p>
        </w:tc>
      </w:tr>
      <w:tr w:rsidR="0089227F" w:rsidRPr="006B142F" w:rsidTr="00B20AEC">
        <w:trPr>
          <w:cantSplit/>
        </w:trPr>
        <w:tc>
          <w:tcPr>
            <w:tcW w:w="4621" w:type="dxa"/>
          </w:tcPr>
          <w:p w:rsidR="0089227F" w:rsidRPr="006B142F" w:rsidRDefault="0089227F" w:rsidP="0089227F">
            <w:pPr>
              <w:pStyle w:val="BodyText"/>
              <w:spacing w:line="264" w:lineRule="auto"/>
              <w:rPr>
                <w:rFonts w:asciiTheme="minorHAnsi" w:hAnsiTheme="minorHAnsi" w:cs="Arial"/>
                <w:bCs/>
                <w:lang w:eastAsia="en-NZ"/>
              </w:rPr>
            </w:pPr>
            <w:r w:rsidRPr="006B142F">
              <w:rPr>
                <w:rFonts w:asciiTheme="minorHAnsi" w:hAnsiTheme="minorHAnsi" w:cs="Arial"/>
                <w:bCs/>
                <w:lang w:eastAsia="en-NZ"/>
              </w:rPr>
              <w:t>Deferred tax balance relating to assets acquired in the disclosure year</w:t>
            </w:r>
          </w:p>
        </w:tc>
        <w:tc>
          <w:tcPr>
            <w:tcW w:w="4622" w:type="dxa"/>
          </w:tcPr>
          <w:p w:rsidR="0089227F" w:rsidRPr="006B142F" w:rsidRDefault="0089227F" w:rsidP="0089227F">
            <w:pPr>
              <w:tabs>
                <w:tab w:val="left" w:pos="4045"/>
              </w:tabs>
              <w:spacing w:line="264" w:lineRule="auto"/>
              <w:rPr>
                <w:rFonts w:asciiTheme="minorHAnsi" w:hAnsiTheme="minorHAnsi" w:cs="Arial"/>
                <w:lang w:eastAsia="en-NZ"/>
              </w:rPr>
            </w:pPr>
            <w:r w:rsidRPr="006B142F">
              <w:rPr>
                <w:rFonts w:asciiTheme="minorHAnsi" w:hAnsiTheme="minorHAnsi" w:cs="Arial"/>
                <w:lang w:eastAsia="en-NZ"/>
              </w:rPr>
              <w:t xml:space="preserve">has the meaning set out in clause 2.3.7(3) of the </w:t>
            </w:r>
            <w:r w:rsidRPr="006B142F">
              <w:rPr>
                <w:rFonts w:asciiTheme="minorHAnsi" w:hAnsiTheme="minorHAnsi" w:cs="Arial"/>
                <w:bCs/>
                <w:lang w:eastAsia="en-NZ"/>
              </w:rPr>
              <w:t>IM determination</w:t>
            </w:r>
          </w:p>
        </w:tc>
      </w:tr>
      <w:tr w:rsidR="0089227F" w:rsidRPr="006B142F" w:rsidTr="00B20AEC">
        <w:trPr>
          <w:cantSplit/>
        </w:trPr>
        <w:tc>
          <w:tcPr>
            <w:tcW w:w="4621" w:type="dxa"/>
          </w:tcPr>
          <w:p w:rsidR="0089227F" w:rsidRPr="006B142F" w:rsidRDefault="0089227F" w:rsidP="0089227F">
            <w:pPr>
              <w:pStyle w:val="BodyText"/>
              <w:spacing w:line="264" w:lineRule="auto"/>
              <w:rPr>
                <w:rFonts w:asciiTheme="minorHAnsi" w:hAnsiTheme="minorHAnsi" w:cs="Arial"/>
                <w:bCs/>
                <w:lang w:eastAsia="en-NZ"/>
              </w:rPr>
            </w:pPr>
            <w:r w:rsidRPr="006B142F">
              <w:rPr>
                <w:rFonts w:asciiTheme="minorHAnsi" w:hAnsiTheme="minorHAnsi" w:cs="Arial"/>
                <w:bCs/>
                <w:lang w:eastAsia="en-NZ"/>
              </w:rPr>
              <w:t>Deferred tax balance relating to assets disposed in the disclosure year</w:t>
            </w:r>
          </w:p>
        </w:tc>
        <w:tc>
          <w:tcPr>
            <w:tcW w:w="4622" w:type="dxa"/>
          </w:tcPr>
          <w:p w:rsidR="0089227F" w:rsidRPr="006B142F" w:rsidRDefault="0089227F" w:rsidP="0089227F">
            <w:pPr>
              <w:tabs>
                <w:tab w:val="left" w:pos="4045"/>
              </w:tabs>
              <w:spacing w:line="264" w:lineRule="auto"/>
              <w:rPr>
                <w:rFonts w:asciiTheme="minorHAnsi" w:hAnsiTheme="minorHAnsi" w:cs="Arial"/>
                <w:lang w:eastAsia="en-NZ"/>
              </w:rPr>
            </w:pPr>
            <w:r w:rsidRPr="006B142F">
              <w:rPr>
                <w:rFonts w:asciiTheme="minorHAnsi" w:hAnsiTheme="minorHAnsi" w:cs="Arial"/>
                <w:lang w:eastAsia="en-NZ"/>
              </w:rPr>
              <w:t xml:space="preserve">means the amount of deferred tax associated with the assets disposed of by the </w:t>
            </w:r>
            <w:r w:rsidRPr="006B142F">
              <w:rPr>
                <w:rFonts w:asciiTheme="minorHAnsi" w:hAnsiTheme="minorHAnsi" w:cs="Arial"/>
                <w:bCs/>
                <w:lang w:eastAsia="en-NZ"/>
              </w:rPr>
              <w:t>GDB</w:t>
            </w:r>
          </w:p>
        </w:tc>
      </w:tr>
      <w:tr w:rsidR="0089227F" w:rsidRPr="006B142F" w:rsidTr="00B20AEC">
        <w:trPr>
          <w:cantSplit/>
        </w:trPr>
        <w:tc>
          <w:tcPr>
            <w:tcW w:w="4621" w:type="dxa"/>
          </w:tcPr>
          <w:p w:rsidR="0089227F" w:rsidRPr="006B142F" w:rsidRDefault="0089227F" w:rsidP="0089227F">
            <w:pPr>
              <w:pStyle w:val="BodyText"/>
              <w:spacing w:line="264" w:lineRule="auto"/>
              <w:rPr>
                <w:rFonts w:asciiTheme="minorHAnsi" w:hAnsiTheme="minorHAnsi" w:cs="Arial"/>
                <w:bCs/>
                <w:lang w:eastAsia="en-NZ"/>
              </w:rPr>
            </w:pPr>
            <w:r w:rsidRPr="006B142F">
              <w:rPr>
                <w:rFonts w:asciiTheme="minorHAnsi" w:hAnsiTheme="minorHAnsi" w:cs="Arial"/>
                <w:bCs/>
                <w:lang w:eastAsia="en-NZ"/>
              </w:rPr>
              <w:t>Deferred tax cost allocation adjustment</w:t>
            </w:r>
          </w:p>
        </w:tc>
        <w:tc>
          <w:tcPr>
            <w:tcW w:w="4622" w:type="dxa"/>
          </w:tcPr>
          <w:p w:rsidR="0089227F" w:rsidRPr="006B142F" w:rsidRDefault="0089227F" w:rsidP="0089227F">
            <w:pPr>
              <w:tabs>
                <w:tab w:val="left" w:pos="4045"/>
              </w:tabs>
              <w:spacing w:line="264" w:lineRule="auto"/>
              <w:rPr>
                <w:rFonts w:asciiTheme="minorHAnsi" w:hAnsiTheme="minorHAnsi" w:cs="Arial"/>
                <w:lang w:eastAsia="en-NZ"/>
              </w:rPr>
            </w:pPr>
            <w:r w:rsidRPr="006B142F">
              <w:rPr>
                <w:rFonts w:asciiTheme="minorHAnsi" w:hAnsiTheme="minorHAnsi" w:cs="Arial"/>
                <w:lang w:eastAsia="en-NZ"/>
              </w:rPr>
              <w:t>means cost allocation adjustments as defined in clause 2.3.7(5) of the</w:t>
            </w:r>
            <w:r w:rsidRPr="006B142F">
              <w:rPr>
                <w:rFonts w:asciiTheme="minorHAnsi" w:hAnsiTheme="minorHAnsi" w:cs="Arial"/>
                <w:bCs/>
                <w:lang w:eastAsia="en-NZ"/>
              </w:rPr>
              <w:t xml:space="preserve"> IM determination</w:t>
            </w:r>
          </w:p>
        </w:tc>
      </w:tr>
      <w:tr w:rsidR="0089227F" w:rsidRPr="006B142F" w:rsidTr="00B20AEC">
        <w:trPr>
          <w:cantSplit/>
        </w:trPr>
        <w:tc>
          <w:tcPr>
            <w:tcW w:w="4621" w:type="dxa"/>
          </w:tcPr>
          <w:p w:rsidR="0089227F" w:rsidRPr="006B142F" w:rsidRDefault="0089227F" w:rsidP="0089227F">
            <w:pPr>
              <w:pStyle w:val="BodyText"/>
              <w:spacing w:line="264" w:lineRule="auto"/>
              <w:rPr>
                <w:rFonts w:asciiTheme="minorHAnsi" w:hAnsiTheme="minorHAnsi" w:cs="Arial"/>
                <w:bCs/>
                <w:lang w:eastAsia="en-NZ"/>
              </w:rPr>
            </w:pPr>
            <w:r w:rsidRPr="006B142F">
              <w:rPr>
                <w:rFonts w:asciiTheme="minorHAnsi" w:hAnsiTheme="minorHAnsi" w:cs="Arial"/>
                <w:bCs/>
                <w:lang w:eastAsia="en-NZ"/>
              </w:rPr>
              <w:t>Depreciation - alternative depreciation in accordance with CPP</w:t>
            </w:r>
          </w:p>
        </w:tc>
        <w:tc>
          <w:tcPr>
            <w:tcW w:w="4622" w:type="dxa"/>
          </w:tcPr>
          <w:p w:rsidR="0089227F" w:rsidRPr="006B142F" w:rsidRDefault="0089227F" w:rsidP="0089227F">
            <w:pPr>
              <w:tabs>
                <w:tab w:val="left" w:pos="459"/>
              </w:tabs>
              <w:spacing w:line="264" w:lineRule="auto"/>
              <w:ind w:left="459" w:hanging="425"/>
              <w:rPr>
                <w:rFonts w:asciiTheme="minorHAnsi" w:hAnsiTheme="minorHAnsi" w:cs="Arial"/>
                <w:lang w:eastAsia="en-NZ"/>
              </w:rPr>
            </w:pPr>
            <w:r w:rsidRPr="006B142F">
              <w:rPr>
                <w:rFonts w:asciiTheme="minorHAnsi" w:hAnsiTheme="minorHAnsi" w:cs="Arial"/>
                <w:lang w:eastAsia="en-NZ"/>
              </w:rPr>
              <w:t>means:</w:t>
            </w:r>
          </w:p>
          <w:p w:rsidR="0089227F" w:rsidRPr="006B142F" w:rsidRDefault="0089227F" w:rsidP="0089227F">
            <w:pPr>
              <w:tabs>
                <w:tab w:val="left" w:pos="459"/>
              </w:tabs>
              <w:spacing w:line="264" w:lineRule="auto"/>
              <w:ind w:left="459" w:hanging="425"/>
              <w:rPr>
                <w:rFonts w:asciiTheme="minorHAnsi" w:hAnsiTheme="minorHAnsi" w:cs="Arial"/>
                <w:lang w:eastAsia="en-NZ"/>
              </w:rPr>
            </w:pPr>
            <w:r w:rsidRPr="006B142F">
              <w:rPr>
                <w:rFonts w:asciiTheme="minorHAnsi" w:hAnsiTheme="minorHAnsi" w:cs="Arial"/>
                <w:lang w:eastAsia="en-NZ"/>
              </w:rPr>
              <w:t>(a)</w:t>
            </w:r>
            <w:r w:rsidRPr="006B142F">
              <w:rPr>
                <w:rFonts w:asciiTheme="minorHAnsi" w:hAnsiTheme="minorHAnsi" w:cs="Arial"/>
                <w:lang w:eastAsia="en-NZ"/>
              </w:rPr>
              <w:tab/>
              <w:t xml:space="preserve">in relation to the </w:t>
            </w:r>
            <w:r w:rsidRPr="006B142F">
              <w:rPr>
                <w:rFonts w:asciiTheme="minorHAnsi" w:hAnsiTheme="minorHAnsi" w:cs="Arial"/>
                <w:bCs/>
                <w:lang w:eastAsia="en-NZ"/>
              </w:rPr>
              <w:t>unallocated RAB</w:t>
            </w:r>
            <w:r w:rsidRPr="006B142F">
              <w:rPr>
                <w:rFonts w:asciiTheme="minorHAnsi" w:hAnsiTheme="minorHAnsi" w:cs="Arial"/>
                <w:lang w:eastAsia="en-NZ"/>
              </w:rPr>
              <w:t xml:space="preserve">, the sum of unallocated depreciation calculated in accordance with clause 2.2.6 of the </w:t>
            </w:r>
            <w:r w:rsidRPr="006B142F">
              <w:rPr>
                <w:rFonts w:asciiTheme="minorHAnsi" w:hAnsiTheme="minorHAnsi" w:cs="Arial"/>
                <w:bCs/>
                <w:lang w:eastAsia="en-NZ"/>
              </w:rPr>
              <w:t>IM determination</w:t>
            </w:r>
            <w:r w:rsidRPr="006B142F">
              <w:rPr>
                <w:rFonts w:asciiTheme="minorHAnsi" w:hAnsiTheme="minorHAnsi" w:cs="Arial"/>
                <w:lang w:eastAsia="en-NZ"/>
              </w:rPr>
              <w:t>;</w:t>
            </w:r>
          </w:p>
          <w:p w:rsidR="0089227F" w:rsidRPr="006B142F" w:rsidRDefault="0089227F" w:rsidP="0089227F">
            <w:pPr>
              <w:tabs>
                <w:tab w:val="left" w:pos="459"/>
              </w:tabs>
              <w:spacing w:line="264" w:lineRule="auto"/>
              <w:ind w:left="459" w:hanging="425"/>
              <w:rPr>
                <w:rFonts w:asciiTheme="minorHAnsi" w:hAnsiTheme="minorHAnsi" w:cs="Arial"/>
                <w:lang w:eastAsia="en-NZ"/>
              </w:rPr>
            </w:pPr>
            <w:r w:rsidRPr="006B142F">
              <w:rPr>
                <w:rFonts w:asciiTheme="minorHAnsi" w:hAnsiTheme="minorHAnsi" w:cs="Arial"/>
                <w:lang w:eastAsia="en-NZ"/>
              </w:rPr>
              <w:t>(b)</w:t>
            </w:r>
            <w:r w:rsidRPr="006B142F">
              <w:rPr>
                <w:rFonts w:asciiTheme="minorHAnsi" w:hAnsiTheme="minorHAnsi" w:cs="Arial"/>
                <w:lang w:eastAsia="en-NZ"/>
              </w:rPr>
              <w:tab/>
              <w:t xml:space="preserve">in relation to the </w:t>
            </w:r>
            <w:r w:rsidRPr="006B142F">
              <w:rPr>
                <w:rFonts w:asciiTheme="minorHAnsi" w:hAnsiTheme="minorHAnsi" w:cs="Arial"/>
                <w:bCs/>
                <w:lang w:eastAsia="en-NZ"/>
              </w:rPr>
              <w:t>RAB,</w:t>
            </w:r>
            <w:r w:rsidRPr="006B142F">
              <w:rPr>
                <w:rFonts w:asciiTheme="minorHAnsi" w:hAnsiTheme="minorHAnsi" w:cs="Arial"/>
                <w:lang w:eastAsia="en-NZ"/>
              </w:rPr>
              <w:t xml:space="preserve"> depreciation calculated in accordance with clause 2.2.6 or 2.2.8(4) of the </w:t>
            </w:r>
            <w:r w:rsidRPr="006B142F">
              <w:rPr>
                <w:rFonts w:asciiTheme="minorHAnsi" w:hAnsiTheme="minorHAnsi" w:cs="Arial"/>
                <w:bCs/>
                <w:lang w:eastAsia="en-NZ"/>
              </w:rPr>
              <w:t>IM determination</w:t>
            </w:r>
          </w:p>
        </w:tc>
      </w:tr>
      <w:tr w:rsidR="0089227F" w:rsidRPr="006B142F" w:rsidTr="00B20AEC">
        <w:trPr>
          <w:cantSplit/>
        </w:trPr>
        <w:tc>
          <w:tcPr>
            <w:tcW w:w="4621" w:type="dxa"/>
          </w:tcPr>
          <w:p w:rsidR="0089227F" w:rsidRPr="006B142F" w:rsidRDefault="0089227F" w:rsidP="0089227F">
            <w:pPr>
              <w:pStyle w:val="BodyText"/>
              <w:spacing w:line="264" w:lineRule="auto"/>
              <w:rPr>
                <w:rFonts w:asciiTheme="minorHAnsi" w:hAnsiTheme="minorHAnsi" w:cs="Arial"/>
                <w:bCs/>
                <w:lang w:eastAsia="en-NZ"/>
              </w:rPr>
            </w:pPr>
            <w:r w:rsidRPr="006B142F">
              <w:rPr>
                <w:rFonts w:asciiTheme="minorHAnsi" w:hAnsiTheme="minorHAnsi" w:cs="Arial"/>
                <w:bCs/>
                <w:lang w:eastAsia="en-NZ"/>
              </w:rPr>
              <w:t>Depreciation - modified life assets</w:t>
            </w:r>
          </w:p>
        </w:tc>
        <w:tc>
          <w:tcPr>
            <w:tcW w:w="4622" w:type="dxa"/>
          </w:tcPr>
          <w:p w:rsidR="0089227F" w:rsidRPr="006B142F" w:rsidRDefault="0089227F" w:rsidP="0089227F">
            <w:pPr>
              <w:spacing w:line="264" w:lineRule="auto"/>
              <w:rPr>
                <w:rFonts w:asciiTheme="minorHAnsi" w:hAnsiTheme="minorHAnsi" w:cs="Arial"/>
                <w:lang w:eastAsia="en-NZ"/>
              </w:rPr>
            </w:pPr>
            <w:r w:rsidRPr="006B142F">
              <w:rPr>
                <w:rFonts w:asciiTheme="minorHAnsi" w:hAnsiTheme="minorHAnsi" w:cs="Arial"/>
                <w:lang w:eastAsia="en-NZ"/>
              </w:rPr>
              <w:t>means:</w:t>
            </w:r>
          </w:p>
          <w:p w:rsidR="0089227F" w:rsidRPr="006B142F" w:rsidRDefault="0089227F" w:rsidP="0089227F">
            <w:pPr>
              <w:pStyle w:val="ListParagraph"/>
              <w:numPr>
                <w:ilvl w:val="0"/>
                <w:numId w:val="25"/>
              </w:numPr>
              <w:spacing w:line="264" w:lineRule="auto"/>
              <w:ind w:left="459" w:hanging="425"/>
              <w:rPr>
                <w:rFonts w:asciiTheme="minorHAnsi" w:hAnsiTheme="minorHAnsi" w:cs="Arial"/>
                <w:bCs/>
                <w:lang w:eastAsia="en-NZ"/>
              </w:rPr>
            </w:pPr>
            <w:r w:rsidRPr="006B142F">
              <w:rPr>
                <w:rFonts w:asciiTheme="minorHAnsi" w:hAnsiTheme="minorHAnsi" w:cs="Arial"/>
                <w:lang w:eastAsia="en-NZ"/>
              </w:rPr>
              <w:t xml:space="preserve">in relation to the </w:t>
            </w:r>
            <w:r w:rsidRPr="006B142F">
              <w:rPr>
                <w:rFonts w:asciiTheme="minorHAnsi" w:hAnsiTheme="minorHAnsi" w:cs="Arial"/>
                <w:bCs/>
                <w:lang w:eastAsia="en-NZ"/>
              </w:rPr>
              <w:t>unallocated RAB</w:t>
            </w:r>
            <w:r w:rsidRPr="006B142F">
              <w:rPr>
                <w:rFonts w:asciiTheme="minorHAnsi" w:hAnsiTheme="minorHAnsi" w:cs="Arial"/>
                <w:lang w:eastAsia="en-NZ"/>
              </w:rPr>
              <w:t>, the sum of unallocated depreciation calculated in accordance with clause 2.2.5(1) of the IM determination;</w:t>
            </w:r>
          </w:p>
          <w:p w:rsidR="0089227F" w:rsidRPr="006B142F" w:rsidRDefault="0089227F" w:rsidP="0089227F">
            <w:pPr>
              <w:pStyle w:val="ListParagraph"/>
              <w:numPr>
                <w:ilvl w:val="0"/>
                <w:numId w:val="25"/>
              </w:numPr>
              <w:spacing w:line="264" w:lineRule="auto"/>
              <w:ind w:left="459" w:hanging="425"/>
              <w:rPr>
                <w:rFonts w:asciiTheme="minorHAnsi" w:hAnsiTheme="minorHAnsi" w:cs="Arial"/>
                <w:bCs/>
                <w:lang w:eastAsia="en-NZ"/>
              </w:rPr>
            </w:pPr>
            <w:r w:rsidRPr="006B142F">
              <w:rPr>
                <w:rFonts w:asciiTheme="minorHAnsi" w:hAnsiTheme="minorHAnsi" w:cs="Arial"/>
                <w:lang w:eastAsia="en-NZ"/>
              </w:rPr>
              <w:t xml:space="preserve">in relation to the </w:t>
            </w:r>
            <w:r w:rsidRPr="006B142F">
              <w:rPr>
                <w:rFonts w:asciiTheme="minorHAnsi" w:hAnsiTheme="minorHAnsi" w:cs="Arial"/>
                <w:bCs/>
                <w:lang w:eastAsia="en-NZ"/>
              </w:rPr>
              <w:t>RAB</w:t>
            </w:r>
            <w:r w:rsidRPr="006B142F">
              <w:rPr>
                <w:rFonts w:asciiTheme="minorHAnsi" w:hAnsiTheme="minorHAnsi" w:cs="Arial"/>
                <w:lang w:eastAsia="en-NZ"/>
              </w:rPr>
              <w:t xml:space="preserve">, depreciation calculated in accordance with clause 2.2.5(2) of the </w:t>
            </w:r>
            <w:r w:rsidRPr="006B142F">
              <w:rPr>
                <w:rFonts w:asciiTheme="minorHAnsi" w:hAnsiTheme="minorHAnsi" w:cs="Arial"/>
                <w:bCs/>
                <w:lang w:eastAsia="en-NZ"/>
              </w:rPr>
              <w:t>IM determination</w:t>
            </w:r>
            <w:r w:rsidRPr="006B142F">
              <w:rPr>
                <w:rFonts w:asciiTheme="minorHAnsi" w:hAnsiTheme="minorHAnsi" w:cs="Arial"/>
                <w:lang w:eastAsia="en-NZ"/>
              </w:rPr>
              <w:t>;</w:t>
            </w:r>
          </w:p>
          <w:p w:rsidR="0089227F" w:rsidRPr="006B142F" w:rsidRDefault="0089227F" w:rsidP="0089227F">
            <w:pPr>
              <w:pStyle w:val="ListParagraph"/>
              <w:spacing w:line="264" w:lineRule="auto"/>
              <w:ind w:left="34"/>
              <w:rPr>
                <w:rFonts w:asciiTheme="minorHAnsi" w:hAnsiTheme="minorHAnsi" w:cs="Arial"/>
                <w:lang w:eastAsia="en-NZ"/>
              </w:rPr>
            </w:pPr>
            <w:r w:rsidRPr="006B142F">
              <w:rPr>
                <w:rFonts w:asciiTheme="minorHAnsi" w:hAnsiTheme="minorHAnsi" w:cs="Arial"/>
                <w:lang w:eastAsia="en-NZ"/>
              </w:rPr>
              <w:t xml:space="preserve">of assets with a physical asset life determined in accordance with clauses 2.2.8(1)(b) or 2.2.8(2) of the </w:t>
            </w:r>
            <w:r w:rsidRPr="006B142F">
              <w:rPr>
                <w:rFonts w:asciiTheme="minorHAnsi" w:hAnsiTheme="minorHAnsi" w:cs="Arial"/>
                <w:bCs/>
                <w:lang w:eastAsia="en-NZ"/>
              </w:rPr>
              <w:t>IM determination or w</w:t>
            </w:r>
            <w:r w:rsidRPr="006B142F">
              <w:rPr>
                <w:rFonts w:asciiTheme="minorHAnsi" w:hAnsiTheme="minorHAnsi" w:cs="Arial"/>
                <w:lang w:eastAsia="en-NZ"/>
              </w:rPr>
              <w:t>here clauses 2.2.8(1)(d) and 2.2.8(1)(e)(iv) of the IM determination apply with reference to assets with a physical asset life determined in accordance with clauses 2.2.8(1)(b) or 2.2.8(2) of the IM determination</w:t>
            </w:r>
          </w:p>
        </w:tc>
      </w:tr>
      <w:tr w:rsidR="0089227F" w:rsidRPr="006B142F" w:rsidTr="00B20AEC">
        <w:trPr>
          <w:cantSplit/>
        </w:trPr>
        <w:tc>
          <w:tcPr>
            <w:tcW w:w="4621" w:type="dxa"/>
          </w:tcPr>
          <w:p w:rsidR="0089227F" w:rsidRPr="006B142F" w:rsidRDefault="0089227F" w:rsidP="0089227F">
            <w:pPr>
              <w:pStyle w:val="BodyText"/>
              <w:spacing w:line="264" w:lineRule="auto"/>
              <w:rPr>
                <w:rFonts w:asciiTheme="minorHAnsi" w:hAnsiTheme="minorHAnsi" w:cs="Arial"/>
                <w:bCs/>
                <w:lang w:eastAsia="en-NZ"/>
              </w:rPr>
            </w:pPr>
            <w:r w:rsidRPr="006B142F">
              <w:rPr>
                <w:rFonts w:asciiTheme="minorHAnsi" w:hAnsiTheme="minorHAnsi" w:cs="Arial"/>
                <w:bCs/>
                <w:lang w:eastAsia="en-NZ"/>
              </w:rPr>
              <w:t>Depreciation - no standard life assets</w:t>
            </w:r>
          </w:p>
        </w:tc>
        <w:tc>
          <w:tcPr>
            <w:tcW w:w="4622" w:type="dxa"/>
          </w:tcPr>
          <w:p w:rsidR="0089227F" w:rsidRPr="006B142F" w:rsidRDefault="0089227F" w:rsidP="0089227F">
            <w:pPr>
              <w:spacing w:line="264" w:lineRule="auto"/>
              <w:rPr>
                <w:rFonts w:asciiTheme="minorHAnsi" w:hAnsiTheme="minorHAnsi" w:cs="Arial"/>
                <w:lang w:eastAsia="en-NZ"/>
              </w:rPr>
            </w:pPr>
            <w:r w:rsidRPr="006B142F">
              <w:rPr>
                <w:rFonts w:asciiTheme="minorHAnsi" w:hAnsiTheme="minorHAnsi" w:cs="Arial"/>
                <w:lang w:eastAsia="en-NZ"/>
              </w:rPr>
              <w:t>means:</w:t>
            </w:r>
          </w:p>
          <w:p w:rsidR="0089227F" w:rsidRPr="006B142F" w:rsidRDefault="0089227F" w:rsidP="0089227F">
            <w:pPr>
              <w:pStyle w:val="ListParagraph"/>
              <w:numPr>
                <w:ilvl w:val="0"/>
                <w:numId w:val="26"/>
              </w:numPr>
              <w:spacing w:line="264" w:lineRule="auto"/>
              <w:ind w:left="459" w:hanging="425"/>
              <w:rPr>
                <w:rFonts w:asciiTheme="minorHAnsi" w:hAnsiTheme="minorHAnsi" w:cs="Arial"/>
                <w:bCs/>
                <w:lang w:eastAsia="en-NZ"/>
              </w:rPr>
            </w:pPr>
            <w:r w:rsidRPr="006B142F">
              <w:rPr>
                <w:rFonts w:asciiTheme="minorHAnsi" w:hAnsiTheme="minorHAnsi" w:cs="Arial"/>
                <w:lang w:eastAsia="en-NZ"/>
              </w:rPr>
              <w:t xml:space="preserve">in relation to the </w:t>
            </w:r>
            <w:r w:rsidRPr="006B142F">
              <w:rPr>
                <w:rFonts w:asciiTheme="minorHAnsi" w:hAnsiTheme="minorHAnsi" w:cs="Arial"/>
                <w:bCs/>
                <w:lang w:eastAsia="en-NZ"/>
              </w:rPr>
              <w:t>unallocated RAB</w:t>
            </w:r>
            <w:r w:rsidRPr="006B142F">
              <w:rPr>
                <w:rFonts w:asciiTheme="minorHAnsi" w:hAnsiTheme="minorHAnsi" w:cs="Arial"/>
                <w:lang w:eastAsia="en-NZ"/>
              </w:rPr>
              <w:t xml:space="preserve">, the sum of unallocated depreciation calculated in accordance with clause 2.2.5(1) of the </w:t>
            </w:r>
            <w:r w:rsidRPr="006B142F">
              <w:rPr>
                <w:rFonts w:asciiTheme="minorHAnsi" w:hAnsiTheme="minorHAnsi" w:cs="Arial"/>
                <w:bCs/>
                <w:lang w:eastAsia="en-NZ"/>
              </w:rPr>
              <w:t>IM determination</w:t>
            </w:r>
            <w:r w:rsidRPr="006B142F">
              <w:rPr>
                <w:rFonts w:asciiTheme="minorHAnsi" w:hAnsiTheme="minorHAnsi" w:cs="Arial"/>
                <w:lang w:eastAsia="en-NZ"/>
              </w:rPr>
              <w:t>;</w:t>
            </w:r>
          </w:p>
          <w:p w:rsidR="0089227F" w:rsidRPr="006B142F" w:rsidRDefault="0089227F" w:rsidP="0089227F">
            <w:pPr>
              <w:pStyle w:val="ListParagraph"/>
              <w:numPr>
                <w:ilvl w:val="0"/>
                <w:numId w:val="26"/>
              </w:numPr>
              <w:spacing w:line="264" w:lineRule="auto"/>
              <w:ind w:left="459" w:hanging="425"/>
              <w:rPr>
                <w:rFonts w:asciiTheme="minorHAnsi" w:hAnsiTheme="minorHAnsi" w:cs="Arial"/>
                <w:lang w:eastAsia="en-NZ"/>
              </w:rPr>
            </w:pPr>
            <w:r w:rsidRPr="006B142F">
              <w:rPr>
                <w:rFonts w:asciiTheme="minorHAnsi" w:hAnsiTheme="minorHAnsi" w:cs="Arial"/>
                <w:lang w:eastAsia="en-NZ"/>
              </w:rPr>
              <w:t xml:space="preserve">in relation to the </w:t>
            </w:r>
            <w:r w:rsidRPr="006B142F">
              <w:rPr>
                <w:rFonts w:asciiTheme="minorHAnsi" w:hAnsiTheme="minorHAnsi" w:cs="Arial"/>
                <w:bCs/>
                <w:lang w:eastAsia="en-NZ"/>
              </w:rPr>
              <w:t>RAB,</w:t>
            </w:r>
            <w:r w:rsidRPr="006B142F">
              <w:rPr>
                <w:rFonts w:asciiTheme="minorHAnsi" w:hAnsiTheme="minorHAnsi" w:cs="Arial"/>
                <w:lang w:eastAsia="en-NZ"/>
              </w:rPr>
              <w:t xml:space="preserve"> depreciation calculated in accordance with clause 2.2.5(2) of the</w:t>
            </w:r>
            <w:r w:rsidRPr="006B142F">
              <w:rPr>
                <w:rFonts w:asciiTheme="minorHAnsi" w:hAnsiTheme="minorHAnsi" w:cs="Arial"/>
                <w:bCs/>
                <w:lang w:eastAsia="en-NZ"/>
              </w:rPr>
              <w:t xml:space="preserve"> IM determination</w:t>
            </w:r>
            <w:r w:rsidRPr="006B142F">
              <w:rPr>
                <w:rFonts w:asciiTheme="minorHAnsi" w:hAnsiTheme="minorHAnsi" w:cs="Arial"/>
                <w:lang w:eastAsia="en-NZ"/>
              </w:rPr>
              <w:t>;</w:t>
            </w:r>
          </w:p>
          <w:p w:rsidR="0089227F" w:rsidRPr="006B142F" w:rsidRDefault="0089227F" w:rsidP="0089227F">
            <w:pPr>
              <w:spacing w:line="264" w:lineRule="auto"/>
              <w:ind w:left="34"/>
              <w:rPr>
                <w:rFonts w:asciiTheme="minorHAnsi" w:hAnsiTheme="minorHAnsi" w:cs="Arial"/>
                <w:lang w:eastAsia="en-NZ"/>
              </w:rPr>
            </w:pPr>
            <w:r w:rsidRPr="006B142F">
              <w:rPr>
                <w:rFonts w:asciiTheme="minorHAnsi" w:hAnsiTheme="minorHAnsi" w:cs="Arial"/>
                <w:lang w:eastAsia="en-NZ"/>
              </w:rPr>
              <w:t xml:space="preserve">of assets with a physical asset life determined in accordance with clauses 2.2.8(1)(a) or 2.2.8(1)(d) or 2.2.8(1)(e)(iv)-(v) or 2.2.8(1)(g) of the </w:t>
            </w:r>
            <w:r w:rsidRPr="006B142F">
              <w:rPr>
                <w:rFonts w:asciiTheme="minorHAnsi" w:hAnsiTheme="minorHAnsi" w:cs="Arial"/>
                <w:bCs/>
                <w:lang w:eastAsia="en-NZ"/>
              </w:rPr>
              <w:t xml:space="preserve">IM determination or where clauses 2.2.8(1)(d) and 2.2.8(1)(e)(iv) of the IM determination apply with reference to assets with a physical asset life determined in accordance with clauses </w:t>
            </w:r>
            <w:r w:rsidRPr="006B142F">
              <w:rPr>
                <w:rFonts w:asciiTheme="minorHAnsi" w:hAnsiTheme="minorHAnsi" w:cs="Arial"/>
                <w:lang w:eastAsia="en-NZ"/>
              </w:rPr>
              <w:t xml:space="preserve">2.2.8(1)(a) or 2.2.8(1)(d) or 2.2.8(1)(e)(iv)-(v) or 2.2.8(1)(g) of the </w:t>
            </w:r>
            <w:r w:rsidRPr="006B142F">
              <w:rPr>
                <w:rFonts w:asciiTheme="minorHAnsi" w:hAnsiTheme="minorHAnsi" w:cs="Arial"/>
                <w:bCs/>
                <w:lang w:eastAsia="en-NZ"/>
              </w:rPr>
              <w:t>IM determination</w:t>
            </w:r>
          </w:p>
        </w:tc>
      </w:tr>
      <w:tr w:rsidR="0089227F" w:rsidRPr="006B142F" w:rsidTr="00B20AEC">
        <w:trPr>
          <w:cantSplit/>
        </w:trPr>
        <w:tc>
          <w:tcPr>
            <w:tcW w:w="4621" w:type="dxa"/>
          </w:tcPr>
          <w:p w:rsidR="0089227F" w:rsidRPr="006B142F" w:rsidRDefault="0089227F" w:rsidP="0089227F">
            <w:pPr>
              <w:pStyle w:val="BodyText"/>
              <w:spacing w:line="264" w:lineRule="auto"/>
              <w:rPr>
                <w:rFonts w:asciiTheme="minorHAnsi" w:hAnsiTheme="minorHAnsi" w:cs="Arial"/>
                <w:bCs/>
                <w:lang w:eastAsia="en-NZ"/>
              </w:rPr>
            </w:pPr>
            <w:r w:rsidRPr="006B142F">
              <w:rPr>
                <w:rFonts w:asciiTheme="minorHAnsi" w:hAnsiTheme="minorHAnsi" w:cs="Arial"/>
                <w:bCs/>
                <w:lang w:eastAsia="en-NZ"/>
              </w:rPr>
              <w:t>Depreciation - standard</w:t>
            </w:r>
          </w:p>
        </w:tc>
        <w:tc>
          <w:tcPr>
            <w:tcW w:w="4622" w:type="dxa"/>
          </w:tcPr>
          <w:p w:rsidR="0089227F" w:rsidRPr="006B142F" w:rsidRDefault="0089227F" w:rsidP="0089227F">
            <w:pPr>
              <w:tabs>
                <w:tab w:val="left" w:pos="4045"/>
              </w:tabs>
              <w:spacing w:line="264" w:lineRule="auto"/>
              <w:ind w:left="34"/>
              <w:rPr>
                <w:rFonts w:asciiTheme="minorHAnsi" w:hAnsiTheme="minorHAnsi" w:cs="Arial"/>
                <w:lang w:eastAsia="en-NZ"/>
              </w:rPr>
            </w:pPr>
            <w:r w:rsidRPr="006B142F">
              <w:rPr>
                <w:rFonts w:asciiTheme="minorHAnsi" w:hAnsiTheme="minorHAnsi" w:cs="Arial"/>
                <w:lang w:eastAsia="en-NZ"/>
              </w:rPr>
              <w:t>means:</w:t>
            </w:r>
          </w:p>
          <w:p w:rsidR="0089227F" w:rsidRPr="006B142F" w:rsidRDefault="0089227F" w:rsidP="0089227F">
            <w:pPr>
              <w:pStyle w:val="ListParagraph"/>
              <w:numPr>
                <w:ilvl w:val="0"/>
                <w:numId w:val="27"/>
              </w:numPr>
              <w:tabs>
                <w:tab w:val="left" w:pos="4045"/>
              </w:tabs>
              <w:spacing w:line="264" w:lineRule="auto"/>
              <w:ind w:hanging="434"/>
              <w:rPr>
                <w:rFonts w:asciiTheme="minorHAnsi" w:hAnsiTheme="minorHAnsi" w:cs="Arial"/>
                <w:lang w:eastAsia="en-NZ"/>
              </w:rPr>
            </w:pPr>
            <w:r w:rsidRPr="006B142F">
              <w:rPr>
                <w:rFonts w:asciiTheme="minorHAnsi" w:hAnsiTheme="minorHAnsi" w:cs="Arial"/>
                <w:lang w:eastAsia="en-NZ"/>
              </w:rPr>
              <w:t>in relation to the</w:t>
            </w:r>
            <w:r w:rsidRPr="006B142F">
              <w:rPr>
                <w:rFonts w:asciiTheme="minorHAnsi" w:hAnsiTheme="minorHAnsi" w:cs="Arial"/>
                <w:bCs/>
                <w:lang w:eastAsia="en-NZ"/>
              </w:rPr>
              <w:t xml:space="preserve"> unallocated RAB</w:t>
            </w:r>
            <w:r w:rsidRPr="006B142F">
              <w:rPr>
                <w:rFonts w:asciiTheme="minorHAnsi" w:hAnsiTheme="minorHAnsi" w:cs="Arial"/>
                <w:lang w:eastAsia="en-NZ"/>
              </w:rPr>
              <w:t>, the sum of unallocated depreciation calculated in accordance with clause 2.2.5(1) of the IM determination;</w:t>
            </w:r>
          </w:p>
          <w:p w:rsidR="0089227F" w:rsidRPr="006B142F" w:rsidRDefault="0089227F" w:rsidP="0089227F">
            <w:pPr>
              <w:pStyle w:val="ListParagraph"/>
              <w:numPr>
                <w:ilvl w:val="0"/>
                <w:numId w:val="27"/>
              </w:numPr>
              <w:tabs>
                <w:tab w:val="left" w:pos="4045"/>
              </w:tabs>
              <w:spacing w:line="264" w:lineRule="auto"/>
              <w:ind w:hanging="434"/>
              <w:rPr>
                <w:rFonts w:asciiTheme="minorHAnsi" w:hAnsiTheme="minorHAnsi" w:cs="Arial"/>
                <w:lang w:eastAsia="en-NZ"/>
              </w:rPr>
            </w:pPr>
            <w:r w:rsidRPr="006B142F">
              <w:rPr>
                <w:rFonts w:asciiTheme="minorHAnsi" w:hAnsiTheme="minorHAnsi" w:cs="Arial"/>
                <w:lang w:eastAsia="en-NZ"/>
              </w:rPr>
              <w:t xml:space="preserve"> in relation to the </w:t>
            </w:r>
            <w:r w:rsidRPr="006B142F">
              <w:rPr>
                <w:rFonts w:asciiTheme="minorHAnsi" w:hAnsiTheme="minorHAnsi" w:cs="Arial"/>
                <w:bCs/>
                <w:lang w:eastAsia="en-NZ"/>
              </w:rPr>
              <w:t>RAB,</w:t>
            </w:r>
            <w:r w:rsidRPr="006B142F">
              <w:rPr>
                <w:rFonts w:asciiTheme="minorHAnsi" w:hAnsiTheme="minorHAnsi" w:cs="Arial"/>
                <w:lang w:eastAsia="en-NZ"/>
              </w:rPr>
              <w:t xml:space="preserve"> depreciation calculated in accordance with clause 2.2.5(2) of the IM determination;</w:t>
            </w:r>
          </w:p>
          <w:p w:rsidR="0089227F" w:rsidRPr="006B142F" w:rsidRDefault="0089227F" w:rsidP="0089227F">
            <w:pPr>
              <w:pStyle w:val="ListParagraph"/>
              <w:tabs>
                <w:tab w:val="left" w:pos="4045"/>
              </w:tabs>
              <w:spacing w:line="264" w:lineRule="auto"/>
              <w:ind w:left="34"/>
              <w:rPr>
                <w:rFonts w:asciiTheme="minorHAnsi" w:hAnsiTheme="minorHAnsi" w:cs="Arial"/>
                <w:lang w:eastAsia="en-NZ"/>
              </w:rPr>
            </w:pPr>
            <w:r w:rsidRPr="006B142F">
              <w:rPr>
                <w:rFonts w:asciiTheme="minorHAnsi" w:hAnsiTheme="minorHAnsi" w:cs="Arial"/>
                <w:lang w:eastAsia="en-NZ"/>
              </w:rPr>
              <w:t xml:space="preserve">excluding </w:t>
            </w:r>
            <w:r w:rsidRPr="006B142F">
              <w:rPr>
                <w:rFonts w:asciiTheme="minorHAnsi" w:hAnsiTheme="minorHAnsi" w:cs="Arial"/>
                <w:bCs/>
                <w:lang w:eastAsia="en-NZ"/>
              </w:rPr>
              <w:t>depreciation - alternative depreciation in accordance with CPP</w:t>
            </w:r>
            <w:r w:rsidRPr="006B142F">
              <w:rPr>
                <w:rFonts w:asciiTheme="minorHAnsi" w:hAnsiTheme="minorHAnsi" w:cs="Arial"/>
                <w:lang w:eastAsia="en-NZ"/>
              </w:rPr>
              <w:t xml:space="preserve">, </w:t>
            </w:r>
            <w:r w:rsidRPr="006B142F">
              <w:rPr>
                <w:rFonts w:asciiTheme="minorHAnsi" w:hAnsiTheme="minorHAnsi" w:cs="Arial"/>
                <w:bCs/>
                <w:lang w:eastAsia="en-NZ"/>
              </w:rPr>
              <w:t>depreciation - modified life assets</w:t>
            </w:r>
            <w:r w:rsidRPr="006B142F">
              <w:rPr>
                <w:rFonts w:asciiTheme="minorHAnsi" w:hAnsiTheme="minorHAnsi" w:cs="Arial"/>
                <w:lang w:eastAsia="en-NZ"/>
              </w:rPr>
              <w:t xml:space="preserve">, and </w:t>
            </w:r>
            <w:r w:rsidRPr="006B142F">
              <w:rPr>
                <w:rFonts w:asciiTheme="minorHAnsi" w:hAnsiTheme="minorHAnsi" w:cs="Arial"/>
                <w:bCs/>
                <w:lang w:eastAsia="en-NZ"/>
              </w:rPr>
              <w:t>depreciation - no standard life assets</w:t>
            </w:r>
          </w:p>
        </w:tc>
      </w:tr>
      <w:tr w:rsidR="0089227F" w:rsidRPr="006B142F" w:rsidTr="00B20AEC">
        <w:trPr>
          <w:cantSplit/>
        </w:trPr>
        <w:tc>
          <w:tcPr>
            <w:tcW w:w="4621" w:type="dxa"/>
          </w:tcPr>
          <w:p w:rsidR="0089227F" w:rsidRPr="006B142F" w:rsidRDefault="0089227F" w:rsidP="0089227F">
            <w:pPr>
              <w:pStyle w:val="BodyText"/>
              <w:spacing w:line="264" w:lineRule="auto"/>
              <w:rPr>
                <w:rFonts w:asciiTheme="minorHAnsi" w:hAnsiTheme="minorHAnsi" w:cs="Arial"/>
                <w:bCs/>
                <w:lang w:eastAsia="en-NZ"/>
              </w:rPr>
            </w:pPr>
            <w:r w:rsidRPr="006B142F">
              <w:rPr>
                <w:rFonts w:asciiTheme="minorHAnsi" w:hAnsiTheme="minorHAnsi" w:cs="Arial"/>
                <w:bCs/>
                <w:lang w:eastAsia="en-NZ"/>
              </w:rPr>
              <w:t>Depreciation charge for the period (RAB)</w:t>
            </w:r>
          </w:p>
        </w:tc>
        <w:tc>
          <w:tcPr>
            <w:tcW w:w="4622" w:type="dxa"/>
          </w:tcPr>
          <w:p w:rsidR="0089227F" w:rsidRPr="006B142F" w:rsidRDefault="0089227F" w:rsidP="0089227F">
            <w:pPr>
              <w:tabs>
                <w:tab w:val="left" w:pos="4045"/>
              </w:tabs>
              <w:spacing w:line="264" w:lineRule="auto"/>
              <w:ind w:left="34"/>
              <w:rPr>
                <w:rFonts w:asciiTheme="minorHAnsi" w:hAnsiTheme="minorHAnsi" w:cs="Arial"/>
                <w:lang w:eastAsia="en-NZ"/>
              </w:rPr>
            </w:pPr>
            <w:r w:rsidRPr="006B142F">
              <w:rPr>
                <w:rFonts w:asciiTheme="minorHAnsi" w:hAnsiTheme="minorHAnsi" w:cs="Arial"/>
                <w:lang w:eastAsia="en-NZ"/>
              </w:rPr>
              <w:t xml:space="preserve">means the depreciation or sum of depreciation as determined in accordance with the </w:t>
            </w:r>
            <w:r w:rsidRPr="006B142F">
              <w:rPr>
                <w:rFonts w:asciiTheme="minorHAnsi" w:hAnsiTheme="minorHAnsi" w:cs="Arial"/>
                <w:bCs/>
                <w:lang w:eastAsia="en-NZ"/>
              </w:rPr>
              <w:t xml:space="preserve">IM determination </w:t>
            </w:r>
            <w:r w:rsidRPr="006B142F">
              <w:rPr>
                <w:rFonts w:asciiTheme="minorHAnsi" w:hAnsiTheme="minorHAnsi" w:cs="Arial"/>
                <w:lang w:eastAsia="en-NZ"/>
              </w:rPr>
              <w:t xml:space="preserve">for the relevant </w:t>
            </w:r>
            <w:r w:rsidRPr="006B142F">
              <w:rPr>
                <w:rFonts w:asciiTheme="minorHAnsi" w:hAnsiTheme="minorHAnsi" w:cs="Arial"/>
                <w:bCs/>
                <w:lang w:eastAsia="en-NZ"/>
              </w:rPr>
              <w:t>asset or assets with non-standard depreciation</w:t>
            </w:r>
          </w:p>
        </w:tc>
      </w:tr>
      <w:tr w:rsidR="0089227F" w:rsidRPr="006B142F" w:rsidTr="00B20AEC">
        <w:trPr>
          <w:cantSplit/>
        </w:trPr>
        <w:tc>
          <w:tcPr>
            <w:tcW w:w="4621" w:type="dxa"/>
          </w:tcPr>
          <w:p w:rsidR="0089227F" w:rsidRPr="006B142F" w:rsidRDefault="0089227F" w:rsidP="0089227F">
            <w:pPr>
              <w:pStyle w:val="BodyText"/>
              <w:spacing w:line="264" w:lineRule="auto"/>
              <w:rPr>
                <w:rFonts w:asciiTheme="minorHAnsi" w:hAnsiTheme="minorHAnsi" w:cs="Arial"/>
                <w:bCs/>
                <w:lang w:eastAsia="en-NZ"/>
              </w:rPr>
            </w:pPr>
            <w:r w:rsidRPr="006B142F">
              <w:rPr>
                <w:rFonts w:asciiTheme="minorHAnsi" w:hAnsiTheme="minorHAnsi" w:cs="Arial"/>
                <w:bCs/>
                <w:lang w:eastAsia="en-NZ"/>
              </w:rPr>
              <w:t>Description of transaction</w:t>
            </w:r>
          </w:p>
        </w:tc>
        <w:tc>
          <w:tcPr>
            <w:tcW w:w="4622" w:type="dxa"/>
          </w:tcPr>
          <w:p w:rsidR="0089227F" w:rsidRPr="006B142F" w:rsidRDefault="0089227F" w:rsidP="0089227F">
            <w:pPr>
              <w:tabs>
                <w:tab w:val="left" w:pos="4045"/>
              </w:tabs>
              <w:spacing w:line="264" w:lineRule="auto"/>
              <w:ind w:left="34"/>
              <w:rPr>
                <w:rFonts w:asciiTheme="minorHAnsi" w:hAnsiTheme="minorHAnsi" w:cs="Arial"/>
                <w:lang w:eastAsia="en-NZ"/>
              </w:rPr>
            </w:pPr>
            <w:r w:rsidRPr="006B142F">
              <w:rPr>
                <w:rFonts w:asciiTheme="minorHAnsi" w:hAnsiTheme="minorHAnsi" w:cs="Arial"/>
                <w:lang w:eastAsia="en-NZ"/>
              </w:rPr>
              <w:t xml:space="preserve">means a brief description of the transaction with a </w:t>
            </w:r>
            <w:r w:rsidRPr="006B142F">
              <w:rPr>
                <w:rFonts w:asciiTheme="minorHAnsi" w:hAnsiTheme="minorHAnsi" w:cs="Arial"/>
                <w:bCs/>
                <w:lang w:eastAsia="en-NZ"/>
              </w:rPr>
              <w:t>related party</w:t>
            </w:r>
            <w:r w:rsidRPr="006B142F">
              <w:rPr>
                <w:rFonts w:asciiTheme="minorHAnsi" w:hAnsiTheme="minorHAnsi" w:cs="Arial"/>
                <w:lang w:eastAsia="en-NZ"/>
              </w:rPr>
              <w:t>, including the goods or services provided to or by the</w:t>
            </w:r>
            <w:r w:rsidRPr="006B142F">
              <w:rPr>
                <w:rFonts w:asciiTheme="minorHAnsi" w:hAnsiTheme="minorHAnsi" w:cs="Arial"/>
                <w:bCs/>
                <w:lang w:eastAsia="en-NZ"/>
              </w:rPr>
              <w:t xml:space="preserve"> GDB</w:t>
            </w:r>
            <w:r w:rsidRPr="006B142F">
              <w:rPr>
                <w:rFonts w:asciiTheme="minorHAnsi" w:hAnsiTheme="minorHAnsi" w:cs="Arial"/>
                <w:lang w:eastAsia="en-NZ"/>
              </w:rPr>
              <w:t xml:space="preserve"> as part of that transaction</w:t>
            </w:r>
          </w:p>
        </w:tc>
      </w:tr>
      <w:tr w:rsidR="0089227F" w:rsidRPr="006B142F" w:rsidTr="00B20AEC">
        <w:trPr>
          <w:cantSplit/>
        </w:trPr>
        <w:tc>
          <w:tcPr>
            <w:tcW w:w="4621" w:type="dxa"/>
          </w:tcPr>
          <w:p w:rsidR="0089227F" w:rsidRPr="006B142F" w:rsidRDefault="0089227F" w:rsidP="0089227F">
            <w:pPr>
              <w:pStyle w:val="BodyText"/>
              <w:spacing w:line="264" w:lineRule="auto"/>
              <w:rPr>
                <w:rFonts w:asciiTheme="minorHAnsi" w:hAnsiTheme="minorHAnsi" w:cs="Arial"/>
                <w:bCs/>
                <w:lang w:eastAsia="en-NZ"/>
              </w:rPr>
            </w:pPr>
            <w:r w:rsidRPr="006B142F">
              <w:rPr>
                <w:rFonts w:asciiTheme="minorHAnsi" w:hAnsiTheme="minorHAnsi" w:cs="Arial"/>
                <w:bCs/>
                <w:lang w:eastAsia="en-NZ"/>
              </w:rPr>
              <w:t>Disposed asset</w:t>
            </w:r>
          </w:p>
        </w:tc>
        <w:tc>
          <w:tcPr>
            <w:tcW w:w="4622" w:type="dxa"/>
          </w:tcPr>
          <w:p w:rsidR="0089227F" w:rsidRPr="006B142F" w:rsidRDefault="0089227F" w:rsidP="0089227F">
            <w:pPr>
              <w:spacing w:line="264" w:lineRule="auto"/>
              <w:rPr>
                <w:rFonts w:asciiTheme="minorHAnsi" w:hAnsiTheme="minorHAnsi" w:cs="Arial"/>
                <w:lang w:eastAsia="en-NZ"/>
              </w:rPr>
            </w:pPr>
            <w:r w:rsidRPr="006B142F">
              <w:rPr>
                <w:rFonts w:asciiTheme="minorHAnsi" w:hAnsiTheme="minorHAnsi" w:cs="Arial"/>
                <w:lang w:eastAsia="en-NZ"/>
              </w:rPr>
              <w:t xml:space="preserve">has the meaning set out in paragraph (a) of the defined term in the </w:t>
            </w:r>
            <w:r w:rsidRPr="006B142F">
              <w:rPr>
                <w:rFonts w:asciiTheme="minorHAnsi" w:hAnsiTheme="minorHAnsi" w:cs="Arial"/>
                <w:bCs/>
                <w:lang w:eastAsia="en-NZ"/>
              </w:rPr>
              <w:t>IM determination</w:t>
            </w:r>
          </w:p>
        </w:tc>
      </w:tr>
      <w:tr w:rsidR="0089227F" w:rsidRPr="006B142F" w:rsidTr="00B20AEC">
        <w:trPr>
          <w:cantSplit/>
        </w:trPr>
        <w:tc>
          <w:tcPr>
            <w:tcW w:w="4621" w:type="dxa"/>
          </w:tcPr>
          <w:p w:rsidR="0089227F" w:rsidRPr="006B142F" w:rsidRDefault="0089227F" w:rsidP="0089227F">
            <w:pPr>
              <w:pStyle w:val="BodyText"/>
              <w:spacing w:line="264" w:lineRule="auto"/>
              <w:rPr>
                <w:rFonts w:asciiTheme="minorHAnsi" w:hAnsiTheme="minorHAnsi" w:cs="Arial"/>
                <w:bCs/>
                <w:lang w:eastAsia="en-NZ"/>
              </w:rPr>
            </w:pPr>
            <w:r w:rsidRPr="006B142F">
              <w:rPr>
                <w:rFonts w:asciiTheme="minorHAnsi" w:hAnsiTheme="minorHAnsi" w:cs="Arial"/>
                <w:bCs/>
                <w:lang w:eastAsia="en-NZ"/>
              </w:rPr>
              <w:t>Easement land</w:t>
            </w:r>
          </w:p>
        </w:tc>
        <w:tc>
          <w:tcPr>
            <w:tcW w:w="4622" w:type="dxa"/>
          </w:tcPr>
          <w:p w:rsidR="0089227F" w:rsidRPr="006B142F" w:rsidRDefault="0089227F" w:rsidP="0089227F">
            <w:pPr>
              <w:tabs>
                <w:tab w:val="left" w:pos="4045"/>
              </w:tabs>
              <w:spacing w:line="264" w:lineRule="auto"/>
              <w:ind w:left="34"/>
              <w:rPr>
                <w:rFonts w:asciiTheme="minorHAnsi" w:hAnsiTheme="minorHAnsi"/>
              </w:rPr>
            </w:pPr>
            <w:r w:rsidRPr="006B142F">
              <w:rPr>
                <w:rFonts w:asciiTheme="minorHAnsi" w:hAnsiTheme="minorHAnsi" w:cs="Arial"/>
                <w:lang w:eastAsia="en-NZ"/>
              </w:rPr>
              <w:t xml:space="preserve">has the meaning set out in the </w:t>
            </w:r>
            <w:r w:rsidRPr="006B142F">
              <w:rPr>
                <w:rFonts w:asciiTheme="minorHAnsi" w:hAnsiTheme="minorHAnsi" w:cs="Arial"/>
                <w:bCs/>
                <w:lang w:eastAsia="en-NZ"/>
              </w:rPr>
              <w:t>IM determination</w:t>
            </w:r>
          </w:p>
        </w:tc>
      </w:tr>
      <w:tr w:rsidR="0089227F" w:rsidRPr="006B142F" w:rsidTr="00B20AEC">
        <w:trPr>
          <w:cantSplit/>
        </w:trPr>
        <w:tc>
          <w:tcPr>
            <w:tcW w:w="4621" w:type="dxa"/>
          </w:tcPr>
          <w:p w:rsidR="0089227F" w:rsidRPr="006B142F" w:rsidRDefault="0089227F" w:rsidP="0089227F">
            <w:pPr>
              <w:pStyle w:val="Clausetextunnumbered"/>
              <w:rPr>
                <w:rStyle w:val="Emphasis-Bold"/>
                <w:rFonts w:asciiTheme="minorHAnsi" w:hAnsiTheme="minorHAnsi"/>
                <w:b w:val="0"/>
              </w:rPr>
            </w:pPr>
            <w:r w:rsidRPr="006B142F">
              <w:rPr>
                <w:rStyle w:val="Emphasis-Bold"/>
                <w:rFonts w:asciiTheme="minorHAnsi" w:hAnsiTheme="minorHAnsi"/>
                <w:b w:val="0"/>
              </w:rPr>
              <w:t>Emergency</w:t>
            </w:r>
          </w:p>
        </w:tc>
        <w:tc>
          <w:tcPr>
            <w:tcW w:w="4622" w:type="dxa"/>
          </w:tcPr>
          <w:p w:rsidR="0089227F" w:rsidRPr="006B142F" w:rsidRDefault="0089227F" w:rsidP="0089227F">
            <w:pPr>
              <w:tabs>
                <w:tab w:val="left" w:pos="4045"/>
              </w:tabs>
              <w:spacing w:line="264" w:lineRule="auto"/>
              <w:rPr>
                <w:rFonts w:asciiTheme="minorHAnsi" w:hAnsiTheme="minorHAnsi" w:cs="Arial"/>
                <w:lang w:eastAsia="en-NZ"/>
              </w:rPr>
            </w:pPr>
            <w:r w:rsidRPr="006B142F">
              <w:rPr>
                <w:rFonts w:asciiTheme="minorHAnsi" w:hAnsiTheme="minorHAnsi" w:cs="Arial"/>
                <w:lang w:eastAsia="en-NZ"/>
              </w:rPr>
              <w:t xml:space="preserve">[TBC] (a definition has been proposed in the </w:t>
            </w:r>
            <w:r w:rsidRPr="006B142F">
              <w:rPr>
                <w:rFonts w:asciiTheme="minorHAnsi" w:hAnsiTheme="minorHAnsi"/>
              </w:rPr>
              <w:t>Draft Initial Default Price-Quality Paths for Gas Pipelines Businesses Draft Reasons Paper and Draft Determinations</w:t>
            </w:r>
            <w:r w:rsidRPr="006B142F">
              <w:rPr>
                <w:rFonts w:asciiTheme="minorHAnsi" w:hAnsiTheme="minorHAnsi" w:cs="Arial"/>
                <w:lang w:eastAsia="en-NZ"/>
              </w:rPr>
              <w:t>, which will also be adopted here)</w:t>
            </w:r>
            <w:r w:rsidRPr="006B142F">
              <w:rPr>
                <w:rStyle w:val="FootnoteReference"/>
                <w:rFonts w:asciiTheme="minorHAnsi" w:hAnsiTheme="minorHAnsi" w:cs="Arial"/>
                <w:lang w:eastAsia="en-NZ"/>
              </w:rPr>
              <w:footnoteReference w:id="1"/>
            </w:r>
          </w:p>
        </w:tc>
      </w:tr>
      <w:tr w:rsidR="0089227F" w:rsidRPr="006B142F" w:rsidTr="00B20AEC">
        <w:trPr>
          <w:cantSplit/>
        </w:trPr>
        <w:tc>
          <w:tcPr>
            <w:tcW w:w="4621" w:type="dxa"/>
          </w:tcPr>
          <w:p w:rsidR="0089227F" w:rsidRPr="006B142F" w:rsidRDefault="0089227F" w:rsidP="0089227F">
            <w:pPr>
              <w:pStyle w:val="Tablebodytext"/>
              <w:rPr>
                <w:rFonts w:asciiTheme="minorHAnsi" w:hAnsiTheme="minorHAnsi"/>
                <w:szCs w:val="24"/>
              </w:rPr>
            </w:pPr>
            <w:r w:rsidRPr="006B142F">
              <w:rPr>
                <w:rFonts w:asciiTheme="minorHAnsi" w:hAnsiTheme="minorHAnsi"/>
                <w:szCs w:val="24"/>
              </w:rPr>
              <w:t xml:space="preserve">End-consumer type </w:t>
            </w:r>
          </w:p>
        </w:tc>
        <w:tc>
          <w:tcPr>
            <w:tcW w:w="4622" w:type="dxa"/>
          </w:tcPr>
          <w:p w:rsidR="0089227F" w:rsidRPr="006B142F" w:rsidRDefault="0089227F" w:rsidP="0089227F">
            <w:pPr>
              <w:pStyle w:val="BodyText"/>
              <w:rPr>
                <w:rFonts w:asciiTheme="minorHAnsi" w:hAnsiTheme="minorHAnsi"/>
                <w:i/>
              </w:rPr>
            </w:pPr>
            <w:r w:rsidRPr="006B142F">
              <w:rPr>
                <w:rFonts w:asciiTheme="minorHAnsi" w:hAnsiTheme="minorHAnsi"/>
              </w:rPr>
              <w:t xml:space="preserve">The type of consumer who consumes gas for their own use </w:t>
            </w:r>
          </w:p>
        </w:tc>
      </w:tr>
      <w:tr w:rsidR="0089227F" w:rsidRPr="006B142F" w:rsidTr="00B20AEC">
        <w:trPr>
          <w:cantSplit/>
        </w:trPr>
        <w:tc>
          <w:tcPr>
            <w:tcW w:w="4621" w:type="dxa"/>
          </w:tcPr>
          <w:p w:rsidR="0089227F" w:rsidRPr="006B142F" w:rsidRDefault="0089227F" w:rsidP="0089227F">
            <w:pPr>
              <w:pStyle w:val="Clausetextunnumbered"/>
              <w:rPr>
                <w:rStyle w:val="Emphasis-Bold"/>
                <w:rFonts w:asciiTheme="minorHAnsi" w:hAnsiTheme="minorHAnsi"/>
                <w:b w:val="0"/>
              </w:rPr>
            </w:pPr>
            <w:r w:rsidRPr="006B142F">
              <w:rPr>
                <w:rStyle w:val="Emphasis-Bold"/>
                <w:rFonts w:asciiTheme="minorHAnsi" w:hAnsiTheme="minorHAnsi"/>
                <w:b w:val="0"/>
              </w:rPr>
              <w:t>Equity return rights</w:t>
            </w:r>
          </w:p>
        </w:tc>
        <w:tc>
          <w:tcPr>
            <w:tcW w:w="4622" w:type="dxa"/>
          </w:tcPr>
          <w:p w:rsidR="0089227F" w:rsidRPr="006B142F" w:rsidRDefault="0089227F" w:rsidP="0089227F">
            <w:pPr>
              <w:pStyle w:val="Clausetextunnumbered"/>
              <w:rPr>
                <w:rFonts w:asciiTheme="minorHAnsi" w:hAnsiTheme="minorHAnsi"/>
              </w:rPr>
            </w:pPr>
            <w:r w:rsidRPr="006B142F">
              <w:rPr>
                <w:rFonts w:asciiTheme="minorHAnsi" w:hAnsiTheme="minorHAnsi"/>
              </w:rPr>
              <w:t xml:space="preserve">has the meaning set out in the </w:t>
            </w:r>
            <w:r w:rsidRPr="006B142F">
              <w:rPr>
                <w:rFonts w:asciiTheme="minorHAnsi" w:hAnsiTheme="minorHAnsi" w:cs="Arial"/>
                <w:lang w:eastAsia="en-NZ"/>
              </w:rPr>
              <w:t>Electricity Industry Act 2010</w:t>
            </w:r>
          </w:p>
        </w:tc>
      </w:tr>
      <w:tr w:rsidR="0089227F" w:rsidRPr="006B142F" w:rsidTr="00B20AEC">
        <w:trPr>
          <w:cantSplit/>
        </w:trPr>
        <w:tc>
          <w:tcPr>
            <w:tcW w:w="4621" w:type="dxa"/>
          </w:tcPr>
          <w:p w:rsidR="0089227F" w:rsidRPr="006B142F" w:rsidRDefault="0089227F" w:rsidP="0089227F">
            <w:pPr>
              <w:pStyle w:val="BodyText"/>
              <w:spacing w:line="264" w:lineRule="auto"/>
              <w:rPr>
                <w:rFonts w:asciiTheme="minorHAnsi" w:hAnsiTheme="minorHAnsi" w:cs="Arial"/>
                <w:bCs/>
                <w:lang w:eastAsia="en-NZ"/>
              </w:rPr>
            </w:pPr>
            <w:r w:rsidRPr="006B142F">
              <w:rPr>
                <w:rFonts w:asciiTheme="minorHAnsi" w:hAnsiTheme="minorHAnsi" w:cs="Arial"/>
                <w:bCs/>
                <w:lang w:eastAsia="en-NZ"/>
              </w:rPr>
              <w:t>Expenditure or loss deductible but not in regulatory profit / (loss) before tax</w:t>
            </w:r>
          </w:p>
        </w:tc>
        <w:tc>
          <w:tcPr>
            <w:tcW w:w="4622" w:type="dxa"/>
          </w:tcPr>
          <w:p w:rsidR="0089227F" w:rsidRPr="006B142F" w:rsidRDefault="0089227F" w:rsidP="0089227F">
            <w:pPr>
              <w:tabs>
                <w:tab w:val="left" w:pos="4045"/>
              </w:tabs>
              <w:spacing w:line="264" w:lineRule="auto"/>
              <w:ind w:left="34"/>
              <w:rPr>
                <w:rFonts w:asciiTheme="minorHAnsi" w:hAnsiTheme="minorHAnsi" w:cs="Arial"/>
                <w:lang w:eastAsia="en-NZ"/>
              </w:rPr>
            </w:pPr>
            <w:r w:rsidRPr="006B142F">
              <w:rPr>
                <w:rFonts w:asciiTheme="minorHAnsi" w:hAnsiTheme="minorHAnsi" w:cs="Arial"/>
                <w:lang w:eastAsia="en-NZ"/>
              </w:rPr>
              <w:t xml:space="preserve">means expenditure or loss deductible but not in regulatory profit / (loss) before tax as determined in accordance with clause 2.3.3(4)(b) of the </w:t>
            </w:r>
            <w:r w:rsidRPr="006B142F">
              <w:rPr>
                <w:rFonts w:asciiTheme="minorHAnsi" w:hAnsiTheme="minorHAnsi" w:cs="Arial"/>
                <w:bCs/>
                <w:lang w:eastAsia="en-NZ"/>
              </w:rPr>
              <w:t>IM determination</w:t>
            </w:r>
          </w:p>
        </w:tc>
      </w:tr>
      <w:tr w:rsidR="0089227F" w:rsidRPr="006B142F" w:rsidTr="00B20AEC">
        <w:trPr>
          <w:cantSplit/>
        </w:trPr>
        <w:tc>
          <w:tcPr>
            <w:tcW w:w="4621" w:type="dxa"/>
          </w:tcPr>
          <w:p w:rsidR="0089227F" w:rsidRPr="006B142F" w:rsidRDefault="0089227F" w:rsidP="0089227F">
            <w:pPr>
              <w:pStyle w:val="BodyText"/>
              <w:spacing w:line="264" w:lineRule="auto"/>
              <w:rPr>
                <w:rFonts w:asciiTheme="minorHAnsi" w:hAnsiTheme="minorHAnsi" w:cs="Arial"/>
                <w:bCs/>
                <w:lang w:eastAsia="en-NZ"/>
              </w:rPr>
            </w:pPr>
            <w:r w:rsidRPr="006B142F">
              <w:rPr>
                <w:rFonts w:asciiTheme="minorHAnsi" w:hAnsiTheme="minorHAnsi" w:cs="Arial"/>
                <w:bCs/>
                <w:lang w:eastAsia="en-NZ"/>
              </w:rPr>
              <w:t>Expenditure or loss in regulatory profit / (loss) before tax but not deductible</w:t>
            </w:r>
          </w:p>
        </w:tc>
        <w:tc>
          <w:tcPr>
            <w:tcW w:w="4622" w:type="dxa"/>
          </w:tcPr>
          <w:p w:rsidR="0089227F" w:rsidRPr="006B142F" w:rsidRDefault="0089227F" w:rsidP="0089227F">
            <w:pPr>
              <w:tabs>
                <w:tab w:val="left" w:pos="4045"/>
              </w:tabs>
              <w:spacing w:line="264" w:lineRule="auto"/>
              <w:ind w:left="34"/>
              <w:rPr>
                <w:rFonts w:asciiTheme="minorHAnsi" w:hAnsiTheme="minorHAnsi" w:cs="Arial"/>
                <w:lang w:eastAsia="en-NZ"/>
              </w:rPr>
            </w:pPr>
            <w:r w:rsidRPr="006B142F">
              <w:rPr>
                <w:rFonts w:asciiTheme="minorHAnsi" w:hAnsiTheme="minorHAnsi" w:cs="Arial"/>
                <w:lang w:eastAsia="en-NZ"/>
              </w:rPr>
              <w:t xml:space="preserve">means expenditure or loss in regulatory profit / (loss) before tax but not deductible as determined in accordance with clause 2.3.3(2)(b) of the </w:t>
            </w:r>
            <w:r w:rsidRPr="006B142F">
              <w:rPr>
                <w:rFonts w:asciiTheme="minorHAnsi" w:hAnsiTheme="minorHAnsi" w:cs="Arial"/>
                <w:bCs/>
                <w:lang w:eastAsia="en-NZ"/>
              </w:rPr>
              <w:t>IM determination</w:t>
            </w:r>
          </w:p>
        </w:tc>
      </w:tr>
      <w:tr w:rsidR="0089227F" w:rsidRPr="006B142F" w:rsidTr="00B20AEC">
        <w:trPr>
          <w:cantSplit/>
        </w:trPr>
        <w:tc>
          <w:tcPr>
            <w:tcW w:w="4621" w:type="dxa"/>
          </w:tcPr>
          <w:p w:rsidR="0089227F" w:rsidRPr="006B142F" w:rsidRDefault="0089227F" w:rsidP="0089227F">
            <w:pPr>
              <w:pStyle w:val="BodyText"/>
              <w:spacing w:line="264" w:lineRule="auto"/>
              <w:rPr>
                <w:rFonts w:asciiTheme="minorHAnsi" w:hAnsiTheme="minorHAnsi" w:cs="Arial"/>
                <w:bCs/>
                <w:lang w:eastAsia="en-NZ"/>
              </w:rPr>
            </w:pPr>
            <w:r w:rsidRPr="006B142F">
              <w:rPr>
                <w:rFonts w:asciiTheme="minorHAnsi" w:hAnsiTheme="minorHAnsi" w:cs="Arial"/>
                <w:bCs/>
                <w:lang w:eastAsia="en-NZ"/>
              </w:rPr>
              <w:t>Expenses</w:t>
            </w:r>
          </w:p>
        </w:tc>
        <w:tc>
          <w:tcPr>
            <w:tcW w:w="4622" w:type="dxa"/>
          </w:tcPr>
          <w:p w:rsidR="0089227F" w:rsidRPr="006B142F" w:rsidRDefault="0089227F" w:rsidP="0089227F">
            <w:pPr>
              <w:rPr>
                <w:rFonts w:asciiTheme="minorHAnsi" w:hAnsiTheme="minorHAnsi"/>
              </w:rPr>
            </w:pPr>
            <w:proofErr w:type="gramStart"/>
            <w:r w:rsidRPr="006B142F">
              <w:rPr>
                <w:rFonts w:asciiTheme="minorHAnsi" w:hAnsiTheme="minorHAnsi"/>
              </w:rPr>
              <w:t>means</w:t>
            </w:r>
            <w:proofErr w:type="gramEnd"/>
            <w:r w:rsidRPr="006B142F">
              <w:rPr>
                <w:rFonts w:asciiTheme="minorHAnsi" w:hAnsiTheme="minorHAnsi"/>
              </w:rPr>
              <w:t xml:space="preserve"> operational expenditure and pass-through and recoverable costs accrued in each of the months of the disclosure year.  Where costs are notional they should be recognised evenly over the months of the disclosure year</w:t>
            </w:r>
          </w:p>
        </w:tc>
      </w:tr>
      <w:tr w:rsidR="0089227F" w:rsidRPr="006B142F" w:rsidTr="00B20AEC">
        <w:trPr>
          <w:cantSplit/>
        </w:trPr>
        <w:tc>
          <w:tcPr>
            <w:tcW w:w="4621" w:type="dxa"/>
          </w:tcPr>
          <w:p w:rsidR="0089227F" w:rsidRPr="006B142F" w:rsidRDefault="0089227F" w:rsidP="0089227F">
            <w:pPr>
              <w:pStyle w:val="Clausetextunnumbered"/>
              <w:rPr>
                <w:rFonts w:asciiTheme="minorHAnsi" w:hAnsiTheme="minorHAnsi"/>
              </w:rPr>
            </w:pPr>
            <w:r w:rsidRPr="006B142F">
              <w:rPr>
                <w:rStyle w:val="Emphasis-Bold"/>
                <w:rFonts w:asciiTheme="minorHAnsi" w:hAnsiTheme="minorHAnsi"/>
                <w:b w:val="0"/>
              </w:rPr>
              <w:t>Fault</w:t>
            </w:r>
            <w:r w:rsidRPr="006B142F">
              <w:rPr>
                <w:rFonts w:asciiTheme="minorHAnsi" w:hAnsiTheme="minorHAnsi"/>
              </w:rPr>
              <w:t xml:space="preserve"> </w:t>
            </w:r>
          </w:p>
        </w:tc>
        <w:tc>
          <w:tcPr>
            <w:tcW w:w="4622" w:type="dxa"/>
          </w:tcPr>
          <w:p w:rsidR="0089227F" w:rsidRPr="006B142F" w:rsidRDefault="0089227F" w:rsidP="0089227F">
            <w:pPr>
              <w:tabs>
                <w:tab w:val="left" w:pos="4045"/>
              </w:tabs>
              <w:spacing w:line="264" w:lineRule="auto"/>
              <w:ind w:left="57"/>
              <w:rPr>
                <w:rFonts w:asciiTheme="minorHAnsi" w:hAnsiTheme="minorHAnsi" w:cs="Arial"/>
                <w:lang w:eastAsia="en-NZ"/>
              </w:rPr>
            </w:pPr>
            <w:r w:rsidRPr="006B142F">
              <w:rPr>
                <w:rFonts w:asciiTheme="minorHAnsi" w:hAnsiTheme="minorHAnsi" w:cs="Arial"/>
                <w:lang w:eastAsia="en-NZ"/>
              </w:rPr>
              <w:t>means TBC [technical consultation]</w:t>
            </w:r>
          </w:p>
        </w:tc>
      </w:tr>
      <w:tr w:rsidR="0089227F" w:rsidRPr="006B142F" w:rsidTr="00B20AEC">
        <w:trPr>
          <w:cantSplit/>
        </w:trPr>
        <w:tc>
          <w:tcPr>
            <w:tcW w:w="4621" w:type="dxa"/>
          </w:tcPr>
          <w:p w:rsidR="0089227F" w:rsidRPr="006B142F" w:rsidRDefault="0089227F" w:rsidP="0089227F">
            <w:pPr>
              <w:pStyle w:val="Tablebodytext"/>
              <w:rPr>
                <w:rFonts w:asciiTheme="minorHAnsi" w:hAnsiTheme="minorHAnsi"/>
                <w:szCs w:val="24"/>
              </w:rPr>
            </w:pPr>
            <w:r w:rsidRPr="006B142F">
              <w:rPr>
                <w:rFonts w:asciiTheme="minorHAnsi" w:hAnsiTheme="minorHAnsi"/>
                <w:color w:val="000000"/>
                <w:szCs w:val="24"/>
                <w:lang w:val="en-AU"/>
              </w:rPr>
              <w:t>Finance during construction</w:t>
            </w:r>
          </w:p>
        </w:tc>
        <w:tc>
          <w:tcPr>
            <w:tcW w:w="4622" w:type="dxa"/>
          </w:tcPr>
          <w:p w:rsidR="0089227F" w:rsidRPr="006B142F" w:rsidRDefault="0089227F" w:rsidP="0089227F">
            <w:pPr>
              <w:pStyle w:val="Tablebodytext"/>
              <w:rPr>
                <w:rFonts w:asciiTheme="minorHAnsi" w:hAnsiTheme="minorHAnsi"/>
                <w:szCs w:val="24"/>
              </w:rPr>
            </w:pPr>
            <w:proofErr w:type="gramStart"/>
            <w:r w:rsidRPr="006B142F">
              <w:rPr>
                <w:rFonts w:asciiTheme="minorHAnsi" w:hAnsiTheme="minorHAnsi"/>
                <w:szCs w:val="24"/>
                <w:lang w:val="en-AU"/>
              </w:rPr>
              <w:t>means</w:t>
            </w:r>
            <w:proofErr w:type="gramEnd"/>
            <w:r w:rsidRPr="006B142F">
              <w:rPr>
                <w:rFonts w:asciiTheme="minorHAnsi" w:hAnsiTheme="minorHAnsi"/>
                <w:szCs w:val="24"/>
                <w:lang w:val="en-AU"/>
              </w:rPr>
              <w:t xml:space="preserve"> the interest expenditure incurred by a GDB and accumulated during the construction phase of a project that creates a new, or modifies an existing, network asset.</w:t>
            </w:r>
          </w:p>
        </w:tc>
      </w:tr>
      <w:tr w:rsidR="0089227F" w:rsidRPr="006B142F" w:rsidTr="00B20AEC">
        <w:trPr>
          <w:cantSplit/>
        </w:trPr>
        <w:tc>
          <w:tcPr>
            <w:tcW w:w="4621" w:type="dxa"/>
          </w:tcPr>
          <w:p w:rsidR="0089227F" w:rsidRPr="006B142F" w:rsidRDefault="0089227F" w:rsidP="0089227F">
            <w:pPr>
              <w:pStyle w:val="BodyText"/>
              <w:spacing w:line="264" w:lineRule="auto"/>
              <w:rPr>
                <w:rFonts w:asciiTheme="minorHAnsi" w:hAnsiTheme="minorHAnsi" w:cs="Arial"/>
                <w:bCs/>
                <w:lang w:eastAsia="en-NZ"/>
              </w:rPr>
            </w:pPr>
            <w:r w:rsidRPr="006B142F">
              <w:rPr>
                <w:rFonts w:asciiTheme="minorHAnsi" w:hAnsiTheme="minorHAnsi" w:cs="Arial"/>
                <w:bCs/>
                <w:lang w:eastAsia="en-NZ"/>
              </w:rPr>
              <w:t>Forecast expenditure</w:t>
            </w:r>
          </w:p>
        </w:tc>
        <w:tc>
          <w:tcPr>
            <w:tcW w:w="4622" w:type="dxa"/>
          </w:tcPr>
          <w:p w:rsidR="0089227F" w:rsidRPr="006B142F" w:rsidRDefault="0089227F" w:rsidP="0089227F">
            <w:pPr>
              <w:spacing w:line="264" w:lineRule="auto"/>
              <w:rPr>
                <w:rFonts w:asciiTheme="minorHAnsi" w:hAnsiTheme="minorHAnsi" w:cs="Arial"/>
                <w:lang w:eastAsia="en-NZ"/>
              </w:rPr>
            </w:pPr>
            <w:r w:rsidRPr="006B142F">
              <w:rPr>
                <w:rFonts w:asciiTheme="minorHAnsi" w:hAnsiTheme="minorHAnsi" w:cs="Arial"/>
                <w:lang w:eastAsia="en-NZ"/>
              </w:rPr>
              <w:t>means, in relation to:</w:t>
            </w:r>
          </w:p>
          <w:p w:rsidR="0089227F" w:rsidRPr="006B142F" w:rsidRDefault="0089227F" w:rsidP="0089227F">
            <w:pPr>
              <w:pStyle w:val="ListParagraph"/>
              <w:numPr>
                <w:ilvl w:val="0"/>
                <w:numId w:val="28"/>
              </w:numPr>
              <w:spacing w:line="264" w:lineRule="auto"/>
              <w:ind w:left="463" w:hanging="429"/>
              <w:rPr>
                <w:rFonts w:asciiTheme="minorHAnsi" w:hAnsiTheme="minorHAnsi" w:cs="Arial"/>
                <w:lang w:eastAsia="en-NZ"/>
              </w:rPr>
            </w:pPr>
            <w:r w:rsidRPr="006B142F">
              <w:rPr>
                <w:rFonts w:asciiTheme="minorHAnsi" w:hAnsiTheme="minorHAnsi" w:cs="Arial"/>
                <w:lang w:eastAsia="en-NZ"/>
              </w:rPr>
              <w:t>current disclosure year, the forecast expenditure for the current disclosure year disclosed pursuant to section 2.5 of this determination immediately prior to the start of the current disclosure year</w:t>
            </w:r>
          </w:p>
          <w:p w:rsidR="0089227F" w:rsidRPr="006B142F" w:rsidRDefault="0089227F" w:rsidP="0089227F">
            <w:pPr>
              <w:pStyle w:val="ListParagraph"/>
              <w:numPr>
                <w:ilvl w:val="0"/>
                <w:numId w:val="28"/>
              </w:numPr>
              <w:tabs>
                <w:tab w:val="left" w:pos="4045"/>
              </w:tabs>
              <w:spacing w:line="264" w:lineRule="auto"/>
              <w:ind w:left="463" w:hanging="429"/>
              <w:rPr>
                <w:rFonts w:asciiTheme="minorHAnsi" w:hAnsiTheme="minorHAnsi" w:cs="Arial"/>
                <w:lang w:eastAsia="en-NZ"/>
              </w:rPr>
            </w:pPr>
            <w:r w:rsidRPr="006B142F">
              <w:rPr>
                <w:rFonts w:asciiTheme="minorHAnsi" w:hAnsiTheme="minorHAnsi" w:cs="Arial"/>
                <w:lang w:eastAsia="en-NZ"/>
              </w:rPr>
              <w:t>regulatory period, the forecast expenditure for the disclosure years from the start of the regulatory period to the current disclosure year disclosed pursuant to Part 5 of the IM determination where a CPP is in place for the current disclosure year or disclosed pursuant to section 2.5 of this determination prior to the start of the disclosure year preceding the regulatory period where a CPP is not in place for the current disclosure year</w:t>
            </w:r>
          </w:p>
        </w:tc>
      </w:tr>
      <w:tr w:rsidR="0089227F" w:rsidRPr="006B142F" w:rsidTr="00B20AEC">
        <w:trPr>
          <w:cantSplit/>
        </w:trPr>
        <w:tc>
          <w:tcPr>
            <w:tcW w:w="4621" w:type="dxa"/>
          </w:tcPr>
          <w:p w:rsidR="0089227F" w:rsidRPr="006B142F" w:rsidRDefault="0089227F" w:rsidP="0089227F">
            <w:pPr>
              <w:pStyle w:val="BodyText"/>
              <w:rPr>
                <w:rFonts w:asciiTheme="minorHAnsi" w:hAnsiTheme="minorHAnsi" w:cs="Arial"/>
                <w:bCs/>
                <w:lang w:eastAsia="en-NZ"/>
              </w:rPr>
            </w:pPr>
            <w:r w:rsidRPr="006B142F">
              <w:rPr>
                <w:rFonts w:asciiTheme="minorHAnsi" w:hAnsiTheme="minorHAnsi" w:cs="Arial"/>
                <w:bCs/>
                <w:lang w:eastAsia="en-NZ"/>
              </w:rPr>
              <w:t>Gains / (losses) on asset sales</w:t>
            </w:r>
          </w:p>
        </w:tc>
        <w:tc>
          <w:tcPr>
            <w:tcW w:w="4622" w:type="dxa"/>
          </w:tcPr>
          <w:p w:rsidR="0089227F" w:rsidRPr="006B142F" w:rsidRDefault="0089227F" w:rsidP="0089227F">
            <w:pPr>
              <w:ind w:left="459" w:hanging="425"/>
              <w:rPr>
                <w:rFonts w:asciiTheme="minorHAnsi" w:hAnsiTheme="minorHAnsi" w:cs="Arial"/>
                <w:lang w:eastAsia="en-NZ"/>
              </w:rPr>
            </w:pPr>
            <w:r w:rsidRPr="006B142F">
              <w:rPr>
                <w:rFonts w:asciiTheme="minorHAnsi" w:hAnsiTheme="minorHAnsi" w:cs="Arial"/>
                <w:lang w:eastAsia="en-NZ"/>
              </w:rPr>
              <w:t>means, in relation to:</w:t>
            </w:r>
          </w:p>
          <w:p w:rsidR="0089227F" w:rsidRPr="006B142F" w:rsidRDefault="0089227F" w:rsidP="0089227F">
            <w:pPr>
              <w:ind w:left="459" w:hanging="425"/>
              <w:rPr>
                <w:rFonts w:asciiTheme="minorHAnsi" w:hAnsiTheme="minorHAnsi" w:cs="Arial"/>
                <w:lang w:eastAsia="en-NZ"/>
              </w:rPr>
            </w:pPr>
            <w:r w:rsidRPr="006B142F">
              <w:rPr>
                <w:rFonts w:asciiTheme="minorHAnsi" w:hAnsiTheme="minorHAnsi" w:cs="Arial"/>
                <w:lang w:eastAsia="en-NZ"/>
              </w:rPr>
              <w:t>(a)</w:t>
            </w:r>
            <w:r w:rsidRPr="006B142F">
              <w:rPr>
                <w:rFonts w:asciiTheme="minorHAnsi" w:hAnsiTheme="minorHAnsi" w:cs="Arial"/>
                <w:lang w:eastAsia="en-NZ"/>
              </w:rPr>
              <w:tab/>
              <w:t>assets disposals to a related party, nil;</w:t>
            </w:r>
          </w:p>
          <w:p w:rsidR="0089227F" w:rsidRPr="006B142F" w:rsidRDefault="0089227F" w:rsidP="0089227F">
            <w:pPr>
              <w:ind w:left="459" w:hanging="425"/>
              <w:rPr>
                <w:rFonts w:asciiTheme="minorHAnsi" w:hAnsiTheme="minorHAnsi" w:cs="Arial"/>
                <w:lang w:eastAsia="en-NZ"/>
              </w:rPr>
            </w:pPr>
            <w:r w:rsidRPr="006B142F">
              <w:rPr>
                <w:rFonts w:asciiTheme="minorHAnsi" w:hAnsiTheme="minorHAnsi" w:cs="Arial"/>
                <w:lang w:eastAsia="en-NZ"/>
              </w:rPr>
              <w:t>(b)</w:t>
            </w:r>
            <w:r w:rsidRPr="006B142F">
              <w:rPr>
                <w:rFonts w:asciiTheme="minorHAnsi" w:hAnsiTheme="minorHAnsi" w:cs="Arial"/>
                <w:lang w:eastAsia="en-NZ"/>
              </w:rPr>
              <w:tab/>
              <w:t>assets disposals to a regulated supplier, nil;</w:t>
            </w:r>
          </w:p>
          <w:p w:rsidR="0089227F" w:rsidRPr="006B142F" w:rsidRDefault="0089227F" w:rsidP="0089227F">
            <w:pPr>
              <w:ind w:left="459" w:hanging="425"/>
              <w:rPr>
                <w:rFonts w:asciiTheme="minorHAnsi" w:hAnsiTheme="minorHAnsi"/>
              </w:rPr>
            </w:pPr>
            <w:r w:rsidRPr="006B142F">
              <w:rPr>
                <w:rFonts w:asciiTheme="minorHAnsi" w:hAnsiTheme="minorHAnsi" w:cs="Arial"/>
                <w:lang w:eastAsia="en-NZ"/>
              </w:rPr>
              <w:t>(c)</w:t>
            </w:r>
            <w:r w:rsidRPr="006B142F">
              <w:rPr>
                <w:rFonts w:asciiTheme="minorHAnsi" w:hAnsiTheme="minorHAnsi" w:cs="Arial"/>
                <w:lang w:eastAsia="en-NZ"/>
              </w:rPr>
              <w:tab/>
              <w:t>asset disposals (other), the values determined in accordance with:</w:t>
            </w:r>
          </w:p>
          <w:p w:rsidR="0089227F" w:rsidRPr="006B142F" w:rsidRDefault="0089227F" w:rsidP="0089227F">
            <w:pPr>
              <w:spacing w:before="120" w:after="120"/>
              <w:ind w:left="459"/>
              <w:rPr>
                <w:rFonts w:asciiTheme="minorHAnsi" w:hAnsiTheme="minorHAnsi" w:cs="Arial"/>
                <w:lang w:eastAsia="en-NZ"/>
              </w:rPr>
            </w:pPr>
            <w:r w:rsidRPr="006B142F">
              <w:rPr>
                <w:rFonts w:asciiTheme="minorHAnsi" w:hAnsiTheme="minorHAnsi" w:cs="Arial"/>
                <w:lang w:eastAsia="en-NZ"/>
              </w:rPr>
              <w:t xml:space="preserve">sale price of an asset - assets disposals (other) </w:t>
            </w:r>
          </w:p>
          <w:p w:rsidR="0089227F" w:rsidRPr="006B142F" w:rsidRDefault="0089227F" w:rsidP="0089227F">
            <w:pPr>
              <w:tabs>
                <w:tab w:val="left" w:pos="4045"/>
              </w:tabs>
              <w:ind w:left="459" w:hanging="459"/>
              <w:rPr>
                <w:rFonts w:asciiTheme="minorHAnsi" w:hAnsiTheme="minorHAnsi"/>
              </w:rPr>
            </w:pPr>
            <w:r w:rsidRPr="006B142F">
              <w:rPr>
                <w:rFonts w:asciiTheme="minorHAnsi" w:hAnsiTheme="minorHAnsi" w:cs="Arial"/>
                <w:lang w:eastAsia="en-NZ"/>
              </w:rPr>
              <w:tab/>
              <w:t>where each component has the value allocated to gas distribution services in accordance with clause 2.1.1 of the IM determination</w:t>
            </w:r>
          </w:p>
        </w:tc>
      </w:tr>
      <w:tr w:rsidR="0089227F" w:rsidRPr="006B142F" w:rsidTr="00B20AEC">
        <w:trPr>
          <w:cantSplit/>
        </w:trPr>
        <w:tc>
          <w:tcPr>
            <w:tcW w:w="4621" w:type="dxa"/>
          </w:tcPr>
          <w:p w:rsidR="0089227F" w:rsidRPr="006B142F" w:rsidRDefault="0089227F" w:rsidP="0089227F">
            <w:pPr>
              <w:pStyle w:val="BodyText"/>
              <w:rPr>
                <w:rFonts w:asciiTheme="minorHAnsi" w:hAnsiTheme="minorHAnsi"/>
                <w:color w:val="000000"/>
                <w:lang w:val="en-AU"/>
              </w:rPr>
            </w:pPr>
            <w:r w:rsidRPr="006B142F">
              <w:rPr>
                <w:rFonts w:asciiTheme="minorHAnsi" w:hAnsiTheme="minorHAnsi"/>
                <w:color w:val="000000"/>
                <w:lang w:val="en-AU"/>
              </w:rPr>
              <w:t>Gas conveyed for Persons not involved in the GDB (TJ)</w:t>
            </w:r>
          </w:p>
        </w:tc>
        <w:tc>
          <w:tcPr>
            <w:tcW w:w="4622" w:type="dxa"/>
          </w:tcPr>
          <w:p w:rsidR="0089227F" w:rsidRPr="006B142F" w:rsidRDefault="0089227F" w:rsidP="0089227F">
            <w:pPr>
              <w:pStyle w:val="Tablebodytext"/>
              <w:rPr>
                <w:rFonts w:asciiTheme="minorHAnsi" w:hAnsiTheme="minorHAnsi"/>
                <w:szCs w:val="24"/>
              </w:rPr>
            </w:pPr>
            <w:r w:rsidRPr="006B142F">
              <w:rPr>
                <w:rFonts w:asciiTheme="minorHAnsi" w:hAnsiTheme="minorHAnsi"/>
                <w:szCs w:val="24"/>
              </w:rPr>
              <w:t>The total amount of gas conveyed through the system for persons not in  prescribed business relationship</w:t>
            </w:r>
          </w:p>
        </w:tc>
      </w:tr>
      <w:tr w:rsidR="0089227F" w:rsidRPr="006B142F" w:rsidTr="00B20AEC">
        <w:trPr>
          <w:cantSplit/>
        </w:trPr>
        <w:tc>
          <w:tcPr>
            <w:tcW w:w="4621" w:type="dxa"/>
          </w:tcPr>
          <w:p w:rsidR="0089227F" w:rsidRPr="006B142F" w:rsidRDefault="0089227F" w:rsidP="0089227F">
            <w:pPr>
              <w:pStyle w:val="BodyText"/>
              <w:rPr>
                <w:rFonts w:asciiTheme="minorHAnsi" w:hAnsiTheme="minorHAnsi"/>
                <w:color w:val="000000"/>
                <w:lang w:val="en-AU"/>
              </w:rPr>
            </w:pPr>
            <w:r w:rsidRPr="006B142F">
              <w:rPr>
                <w:rFonts w:asciiTheme="minorHAnsi" w:hAnsiTheme="minorHAnsi"/>
                <w:color w:val="000000"/>
                <w:lang w:val="en-AU"/>
              </w:rPr>
              <w:t>GFB customer type</w:t>
            </w:r>
          </w:p>
        </w:tc>
        <w:tc>
          <w:tcPr>
            <w:tcW w:w="4622" w:type="dxa"/>
          </w:tcPr>
          <w:p w:rsidR="0089227F" w:rsidRPr="006B142F" w:rsidRDefault="0089227F" w:rsidP="0089227F">
            <w:pPr>
              <w:pStyle w:val="BodyText"/>
              <w:rPr>
                <w:rFonts w:asciiTheme="minorHAnsi" w:hAnsiTheme="minorHAnsi"/>
                <w:lang w:val="en-AU"/>
              </w:rPr>
            </w:pPr>
            <w:r w:rsidRPr="006B142F">
              <w:rPr>
                <w:rFonts w:asciiTheme="minorHAnsi" w:hAnsiTheme="minorHAnsi"/>
              </w:rPr>
              <w:t>means a category based on the type of customer, as defined by the GDB</w:t>
            </w:r>
          </w:p>
        </w:tc>
      </w:tr>
      <w:tr w:rsidR="0089227F" w:rsidRPr="006B142F" w:rsidTr="00B20AEC">
        <w:trPr>
          <w:cantSplit/>
        </w:trPr>
        <w:tc>
          <w:tcPr>
            <w:tcW w:w="4621" w:type="dxa"/>
          </w:tcPr>
          <w:p w:rsidR="0089227F" w:rsidRPr="006B142F" w:rsidRDefault="0089227F" w:rsidP="0089227F">
            <w:pPr>
              <w:rPr>
                <w:rFonts w:asciiTheme="minorHAnsi" w:hAnsiTheme="minorHAnsi"/>
                <w:color w:val="000000" w:themeColor="text1"/>
              </w:rPr>
            </w:pPr>
            <w:r w:rsidRPr="006B142F">
              <w:rPr>
                <w:rFonts w:asciiTheme="minorHAnsi" w:hAnsiTheme="minorHAnsi"/>
                <w:color w:val="000000" w:themeColor="text1"/>
              </w:rPr>
              <w:t>Grade 1</w:t>
            </w:r>
          </w:p>
        </w:tc>
        <w:tc>
          <w:tcPr>
            <w:tcW w:w="4622" w:type="dxa"/>
          </w:tcPr>
          <w:p w:rsidR="0089227F" w:rsidRPr="006B142F" w:rsidRDefault="0089227F" w:rsidP="0089227F">
            <w:pPr>
              <w:pStyle w:val="BodyText"/>
              <w:rPr>
                <w:rFonts w:asciiTheme="minorHAnsi" w:hAnsiTheme="minorHAnsi"/>
              </w:rPr>
            </w:pPr>
            <w:r w:rsidRPr="006B142F">
              <w:rPr>
                <w:rFonts w:asciiTheme="minorHAnsi" w:hAnsiTheme="minorHAnsi"/>
              </w:rPr>
              <w:t>End of serviceable life, immediate intervention required</w:t>
            </w:r>
          </w:p>
        </w:tc>
      </w:tr>
      <w:tr w:rsidR="0089227F" w:rsidRPr="006B142F" w:rsidTr="00B20AEC">
        <w:trPr>
          <w:cantSplit/>
        </w:trPr>
        <w:tc>
          <w:tcPr>
            <w:tcW w:w="4621" w:type="dxa"/>
          </w:tcPr>
          <w:p w:rsidR="0089227F" w:rsidRPr="006B142F" w:rsidRDefault="0089227F" w:rsidP="0089227F">
            <w:pPr>
              <w:rPr>
                <w:rFonts w:asciiTheme="minorHAnsi" w:hAnsiTheme="minorHAnsi"/>
                <w:color w:val="000000" w:themeColor="text1"/>
              </w:rPr>
            </w:pPr>
            <w:r w:rsidRPr="006B142F">
              <w:rPr>
                <w:rFonts w:asciiTheme="minorHAnsi" w:hAnsiTheme="minorHAnsi"/>
                <w:color w:val="000000" w:themeColor="text1"/>
              </w:rPr>
              <w:t>Grade 2</w:t>
            </w:r>
          </w:p>
        </w:tc>
        <w:tc>
          <w:tcPr>
            <w:tcW w:w="4622" w:type="dxa"/>
          </w:tcPr>
          <w:p w:rsidR="0089227F" w:rsidRPr="006B142F" w:rsidRDefault="0089227F" w:rsidP="0089227F">
            <w:pPr>
              <w:pStyle w:val="BodyText"/>
              <w:rPr>
                <w:rFonts w:asciiTheme="minorHAnsi" w:hAnsiTheme="minorHAnsi"/>
              </w:rPr>
            </w:pPr>
            <w:r w:rsidRPr="006B142F">
              <w:rPr>
                <w:rFonts w:asciiTheme="minorHAnsi" w:hAnsiTheme="minorHAnsi"/>
              </w:rPr>
              <w:t>Material deterioration but asset condition still within serviceable life parameters. Intervention likely to be required within 12 months.</w:t>
            </w:r>
          </w:p>
        </w:tc>
      </w:tr>
      <w:tr w:rsidR="0089227F" w:rsidRPr="006B142F" w:rsidTr="00B20AEC">
        <w:trPr>
          <w:cantSplit/>
        </w:trPr>
        <w:tc>
          <w:tcPr>
            <w:tcW w:w="4621" w:type="dxa"/>
          </w:tcPr>
          <w:p w:rsidR="0089227F" w:rsidRPr="006B142F" w:rsidRDefault="0089227F" w:rsidP="0089227F">
            <w:pPr>
              <w:rPr>
                <w:rFonts w:asciiTheme="minorHAnsi" w:hAnsiTheme="minorHAnsi"/>
                <w:color w:val="000000" w:themeColor="text1"/>
              </w:rPr>
            </w:pPr>
            <w:r w:rsidRPr="006B142F">
              <w:rPr>
                <w:rFonts w:asciiTheme="minorHAnsi" w:hAnsiTheme="minorHAnsi"/>
                <w:color w:val="000000" w:themeColor="text1"/>
              </w:rPr>
              <w:t>Grade 3</w:t>
            </w:r>
          </w:p>
        </w:tc>
        <w:tc>
          <w:tcPr>
            <w:tcW w:w="4622" w:type="dxa"/>
          </w:tcPr>
          <w:p w:rsidR="0089227F" w:rsidRPr="006B142F" w:rsidRDefault="0089227F" w:rsidP="0089227F">
            <w:pPr>
              <w:pStyle w:val="BodyText"/>
              <w:rPr>
                <w:rFonts w:asciiTheme="minorHAnsi" w:hAnsiTheme="minorHAnsi"/>
              </w:rPr>
            </w:pPr>
            <w:r w:rsidRPr="006B142F">
              <w:rPr>
                <w:rFonts w:asciiTheme="minorHAnsi" w:hAnsiTheme="minorHAnsi"/>
              </w:rPr>
              <w:t>Deterioration requires assessment and ongoing monitoring</w:t>
            </w:r>
          </w:p>
        </w:tc>
      </w:tr>
      <w:tr w:rsidR="0089227F" w:rsidRPr="006B142F" w:rsidTr="00B20AEC">
        <w:trPr>
          <w:cantSplit/>
        </w:trPr>
        <w:tc>
          <w:tcPr>
            <w:tcW w:w="4621" w:type="dxa"/>
          </w:tcPr>
          <w:p w:rsidR="0089227F" w:rsidRPr="006B142F" w:rsidRDefault="0089227F" w:rsidP="0089227F">
            <w:pPr>
              <w:rPr>
                <w:rFonts w:asciiTheme="minorHAnsi" w:hAnsiTheme="minorHAnsi"/>
                <w:color w:val="000000" w:themeColor="text1"/>
              </w:rPr>
            </w:pPr>
            <w:r w:rsidRPr="006B142F">
              <w:rPr>
                <w:rFonts w:asciiTheme="minorHAnsi" w:hAnsiTheme="minorHAnsi"/>
                <w:color w:val="000000" w:themeColor="text1"/>
              </w:rPr>
              <w:t>Grade 4</w:t>
            </w:r>
          </w:p>
        </w:tc>
        <w:tc>
          <w:tcPr>
            <w:tcW w:w="4622" w:type="dxa"/>
          </w:tcPr>
          <w:p w:rsidR="0089227F" w:rsidRPr="006B142F" w:rsidRDefault="0089227F" w:rsidP="0089227F">
            <w:pPr>
              <w:pStyle w:val="BodyText"/>
              <w:rPr>
                <w:rFonts w:asciiTheme="minorHAnsi" w:hAnsiTheme="minorHAnsi"/>
              </w:rPr>
            </w:pPr>
            <w:r w:rsidRPr="006B142F">
              <w:rPr>
                <w:rFonts w:asciiTheme="minorHAnsi" w:hAnsiTheme="minorHAnsi"/>
              </w:rPr>
              <w:t>Good or as new condition</w:t>
            </w:r>
          </w:p>
        </w:tc>
      </w:tr>
      <w:tr w:rsidR="0089227F" w:rsidRPr="006B142F" w:rsidTr="00B20AEC">
        <w:trPr>
          <w:cantSplit/>
        </w:trPr>
        <w:tc>
          <w:tcPr>
            <w:tcW w:w="4621" w:type="dxa"/>
          </w:tcPr>
          <w:p w:rsidR="0089227F" w:rsidRPr="006B142F" w:rsidRDefault="0089227F" w:rsidP="0089227F">
            <w:pPr>
              <w:rPr>
                <w:rFonts w:asciiTheme="minorHAnsi" w:hAnsiTheme="minorHAnsi"/>
                <w:color w:val="000000" w:themeColor="text1"/>
              </w:rPr>
            </w:pPr>
            <w:r w:rsidRPr="006B142F">
              <w:rPr>
                <w:rFonts w:asciiTheme="minorHAnsi" w:hAnsiTheme="minorHAnsi"/>
                <w:color w:val="000000" w:themeColor="text1"/>
              </w:rPr>
              <w:t>Grade unknown</w:t>
            </w:r>
          </w:p>
        </w:tc>
        <w:tc>
          <w:tcPr>
            <w:tcW w:w="4622" w:type="dxa"/>
          </w:tcPr>
          <w:p w:rsidR="0089227F" w:rsidRPr="006B142F" w:rsidRDefault="0089227F" w:rsidP="0089227F">
            <w:pPr>
              <w:pStyle w:val="BodyText"/>
              <w:rPr>
                <w:rFonts w:asciiTheme="minorHAnsi" w:hAnsiTheme="minorHAnsi"/>
                <w:i/>
              </w:rPr>
            </w:pPr>
            <w:r w:rsidRPr="006B142F">
              <w:rPr>
                <w:rFonts w:asciiTheme="minorHAnsi" w:hAnsiTheme="minorHAnsi"/>
              </w:rPr>
              <w:t>Condition unknown or not yet assessed</w:t>
            </w:r>
          </w:p>
        </w:tc>
      </w:tr>
      <w:tr w:rsidR="0089227F" w:rsidRPr="006B142F" w:rsidTr="00B20AEC">
        <w:trPr>
          <w:cantSplit/>
        </w:trPr>
        <w:tc>
          <w:tcPr>
            <w:tcW w:w="4621" w:type="dxa"/>
          </w:tcPr>
          <w:p w:rsidR="0089227F" w:rsidRPr="006B142F" w:rsidRDefault="0089227F" w:rsidP="0089227F">
            <w:pPr>
              <w:pStyle w:val="BodyText"/>
              <w:spacing w:line="264" w:lineRule="auto"/>
              <w:rPr>
                <w:rFonts w:asciiTheme="minorHAnsi" w:hAnsiTheme="minorHAnsi" w:cs="Arial"/>
                <w:bCs/>
                <w:lang w:eastAsia="en-NZ"/>
              </w:rPr>
            </w:pPr>
            <w:r w:rsidRPr="006B142F">
              <w:rPr>
                <w:rFonts w:asciiTheme="minorHAnsi" w:hAnsiTheme="minorHAnsi" w:cs="Arial"/>
                <w:bCs/>
                <w:lang w:eastAsia="en-NZ"/>
              </w:rPr>
              <w:t>Gross capital expenditure on distribution network</w:t>
            </w:r>
          </w:p>
        </w:tc>
        <w:tc>
          <w:tcPr>
            <w:tcW w:w="4622" w:type="dxa"/>
          </w:tcPr>
          <w:p w:rsidR="0089227F" w:rsidRPr="006B142F" w:rsidRDefault="0089227F" w:rsidP="0089227F">
            <w:pPr>
              <w:spacing w:line="264" w:lineRule="auto"/>
              <w:rPr>
                <w:rFonts w:asciiTheme="minorHAnsi" w:hAnsiTheme="minorHAnsi" w:cs="Arial"/>
                <w:lang w:eastAsia="en-NZ"/>
              </w:rPr>
            </w:pPr>
            <w:r w:rsidRPr="006B142F">
              <w:rPr>
                <w:rFonts w:asciiTheme="minorHAnsi" w:hAnsiTheme="minorHAnsi" w:cs="Arial"/>
                <w:lang w:eastAsia="en-NZ"/>
              </w:rPr>
              <w:t>means the sum of:</w:t>
            </w:r>
          </w:p>
          <w:p w:rsidR="0089227F" w:rsidRPr="006B142F" w:rsidRDefault="0089227F" w:rsidP="0089227F">
            <w:pPr>
              <w:spacing w:line="264" w:lineRule="auto"/>
              <w:rPr>
                <w:rFonts w:asciiTheme="minorHAnsi" w:hAnsiTheme="minorHAnsi" w:cs="Arial"/>
                <w:lang w:eastAsia="en-NZ"/>
              </w:rPr>
            </w:pPr>
            <w:r w:rsidRPr="006B142F">
              <w:rPr>
                <w:rFonts w:asciiTheme="minorHAnsi" w:hAnsiTheme="minorHAnsi" w:cs="Arial"/>
                <w:bCs/>
                <w:lang w:eastAsia="en-NZ"/>
              </w:rPr>
              <w:t>customer connection</w:t>
            </w:r>
            <w:r w:rsidRPr="006B142F">
              <w:rPr>
                <w:rFonts w:asciiTheme="minorHAnsi" w:hAnsiTheme="minorHAnsi" w:cs="Arial"/>
                <w:lang w:eastAsia="en-NZ"/>
              </w:rPr>
              <w:t xml:space="preserve"> plus </w:t>
            </w:r>
            <w:r w:rsidRPr="006B142F">
              <w:rPr>
                <w:rFonts w:asciiTheme="minorHAnsi" w:hAnsiTheme="minorHAnsi" w:cs="Arial"/>
                <w:bCs/>
                <w:lang w:eastAsia="en-NZ"/>
              </w:rPr>
              <w:t>system growth</w:t>
            </w:r>
            <w:r w:rsidRPr="006B142F">
              <w:rPr>
                <w:rFonts w:asciiTheme="minorHAnsi" w:hAnsiTheme="minorHAnsi" w:cs="Arial"/>
                <w:lang w:eastAsia="en-NZ"/>
              </w:rPr>
              <w:t xml:space="preserve"> plus </w:t>
            </w:r>
            <w:r w:rsidRPr="006B142F">
              <w:rPr>
                <w:rFonts w:asciiTheme="minorHAnsi" w:hAnsiTheme="minorHAnsi" w:cs="Arial"/>
                <w:bCs/>
                <w:lang w:eastAsia="en-NZ"/>
              </w:rPr>
              <w:t xml:space="preserve">quality of supply plus asset replacement and renewal </w:t>
            </w:r>
            <w:r w:rsidRPr="006B142F">
              <w:rPr>
                <w:rFonts w:asciiTheme="minorHAnsi" w:hAnsiTheme="minorHAnsi" w:cs="Arial"/>
                <w:lang w:eastAsia="en-NZ"/>
              </w:rPr>
              <w:t xml:space="preserve">plus </w:t>
            </w:r>
            <w:r w:rsidRPr="006B142F">
              <w:rPr>
                <w:rFonts w:asciiTheme="minorHAnsi" w:hAnsiTheme="minorHAnsi" w:cs="Arial"/>
                <w:bCs/>
                <w:lang w:eastAsia="en-NZ"/>
              </w:rPr>
              <w:t>asset relocations plus legislative and regulatory</w:t>
            </w:r>
          </w:p>
        </w:tc>
      </w:tr>
      <w:tr w:rsidR="0089227F" w:rsidRPr="006B142F" w:rsidTr="00B20AEC">
        <w:trPr>
          <w:cantSplit/>
        </w:trPr>
        <w:tc>
          <w:tcPr>
            <w:tcW w:w="4621" w:type="dxa"/>
          </w:tcPr>
          <w:p w:rsidR="0089227F" w:rsidRPr="006B142F" w:rsidRDefault="0089227F" w:rsidP="0089227F">
            <w:pPr>
              <w:pStyle w:val="BodyText"/>
              <w:rPr>
                <w:rFonts w:asciiTheme="minorHAnsi" w:hAnsiTheme="minorHAnsi" w:cs="Arial"/>
                <w:bCs/>
                <w:lang w:eastAsia="en-NZ"/>
              </w:rPr>
            </w:pPr>
            <w:r w:rsidRPr="006B142F">
              <w:rPr>
                <w:rFonts w:asciiTheme="minorHAnsi" w:hAnsiTheme="minorHAnsi" w:cs="Arial"/>
                <w:bCs/>
                <w:lang w:eastAsia="en-NZ"/>
              </w:rPr>
              <w:t>Gross term credit spread differential</w:t>
            </w:r>
          </w:p>
        </w:tc>
        <w:tc>
          <w:tcPr>
            <w:tcW w:w="4622" w:type="dxa"/>
          </w:tcPr>
          <w:p w:rsidR="0089227F" w:rsidRPr="006B142F" w:rsidRDefault="0089227F" w:rsidP="0089227F">
            <w:pPr>
              <w:ind w:left="34"/>
              <w:rPr>
                <w:rFonts w:asciiTheme="minorHAnsi" w:hAnsiTheme="minorHAnsi" w:cs="Arial"/>
                <w:lang w:eastAsia="en-NZ"/>
              </w:rPr>
            </w:pPr>
            <w:r w:rsidRPr="006B142F">
              <w:rPr>
                <w:rFonts w:asciiTheme="minorHAnsi" w:hAnsiTheme="minorHAnsi" w:cs="Arial"/>
                <w:lang w:eastAsia="en-NZ"/>
              </w:rPr>
              <w:t xml:space="preserve">means the sum of </w:t>
            </w:r>
            <w:r w:rsidRPr="006B142F">
              <w:rPr>
                <w:rFonts w:asciiTheme="minorHAnsi" w:hAnsiTheme="minorHAnsi" w:cs="Arial"/>
                <w:bCs/>
                <w:lang w:eastAsia="en-NZ"/>
              </w:rPr>
              <w:t>term credit spread difference</w:t>
            </w:r>
            <w:r w:rsidRPr="006B142F">
              <w:rPr>
                <w:rFonts w:asciiTheme="minorHAnsi" w:hAnsiTheme="minorHAnsi" w:cs="Arial"/>
                <w:lang w:eastAsia="en-NZ"/>
              </w:rPr>
              <w:t xml:space="preserve">, </w:t>
            </w:r>
            <w:r w:rsidRPr="006B142F">
              <w:rPr>
                <w:rFonts w:asciiTheme="minorHAnsi" w:hAnsiTheme="minorHAnsi" w:cs="Arial"/>
                <w:bCs/>
                <w:lang w:eastAsia="en-NZ"/>
              </w:rPr>
              <w:t>cost of executing an interest rate swap</w:t>
            </w:r>
            <w:r w:rsidRPr="006B142F">
              <w:rPr>
                <w:rFonts w:asciiTheme="minorHAnsi" w:hAnsiTheme="minorHAnsi" w:cs="Arial"/>
                <w:lang w:eastAsia="en-NZ"/>
              </w:rPr>
              <w:t xml:space="preserve"> and d</w:t>
            </w:r>
            <w:r w:rsidRPr="006B142F">
              <w:rPr>
                <w:rFonts w:asciiTheme="minorHAnsi" w:hAnsiTheme="minorHAnsi" w:cs="Arial"/>
                <w:bCs/>
                <w:lang w:eastAsia="en-NZ"/>
              </w:rPr>
              <w:t>ebt issue cost readjustment</w:t>
            </w:r>
            <w:r w:rsidRPr="006B142F">
              <w:rPr>
                <w:rFonts w:asciiTheme="minorHAnsi" w:hAnsiTheme="minorHAnsi" w:cs="Arial"/>
                <w:lang w:eastAsia="en-NZ"/>
              </w:rPr>
              <w:t xml:space="preserve"> for </w:t>
            </w:r>
            <w:r w:rsidRPr="006B142F">
              <w:rPr>
                <w:rFonts w:asciiTheme="minorHAnsi" w:hAnsiTheme="minorHAnsi" w:cs="Arial"/>
                <w:bCs/>
                <w:lang w:eastAsia="en-NZ"/>
              </w:rPr>
              <w:t>qualifying debt</w:t>
            </w:r>
          </w:p>
        </w:tc>
      </w:tr>
      <w:tr w:rsidR="0089227F" w:rsidRPr="006B142F" w:rsidTr="00B20AEC">
        <w:trPr>
          <w:cantSplit/>
        </w:trPr>
        <w:tc>
          <w:tcPr>
            <w:tcW w:w="4621" w:type="dxa"/>
          </w:tcPr>
          <w:p w:rsidR="0089227F" w:rsidRPr="006B142F" w:rsidRDefault="0089227F" w:rsidP="0089227F">
            <w:pPr>
              <w:pStyle w:val="BodyText"/>
              <w:spacing w:line="264" w:lineRule="auto"/>
              <w:rPr>
                <w:rFonts w:asciiTheme="minorHAnsi" w:hAnsiTheme="minorHAnsi" w:cs="Arial"/>
                <w:bCs/>
                <w:lang w:eastAsia="en-NZ"/>
              </w:rPr>
            </w:pPr>
            <w:r w:rsidRPr="006B142F">
              <w:rPr>
                <w:rFonts w:asciiTheme="minorHAnsi" w:hAnsiTheme="minorHAnsi" w:cs="Arial"/>
                <w:bCs/>
                <w:lang w:eastAsia="en-NZ"/>
              </w:rPr>
              <w:t>Highest rate of capitalised finance applied</w:t>
            </w:r>
          </w:p>
        </w:tc>
        <w:tc>
          <w:tcPr>
            <w:tcW w:w="4622" w:type="dxa"/>
          </w:tcPr>
          <w:p w:rsidR="0089227F" w:rsidRPr="006B142F" w:rsidRDefault="0089227F" w:rsidP="0089227F">
            <w:pPr>
              <w:tabs>
                <w:tab w:val="left" w:pos="4045"/>
              </w:tabs>
              <w:spacing w:line="264" w:lineRule="auto"/>
              <w:rPr>
                <w:rFonts w:asciiTheme="minorHAnsi" w:hAnsiTheme="minorHAnsi"/>
              </w:rPr>
            </w:pPr>
            <w:r w:rsidRPr="006B142F">
              <w:rPr>
                <w:rFonts w:asciiTheme="minorHAnsi" w:hAnsiTheme="minorHAnsi" w:cs="Arial"/>
                <w:lang w:eastAsia="en-NZ"/>
              </w:rPr>
              <w:t>means the highest rate of finance used as the cost of financing capitalised in works under construction</w:t>
            </w:r>
          </w:p>
        </w:tc>
      </w:tr>
      <w:tr w:rsidR="0089227F" w:rsidRPr="006B142F" w:rsidTr="00B20AEC">
        <w:trPr>
          <w:cantSplit/>
        </w:trPr>
        <w:tc>
          <w:tcPr>
            <w:tcW w:w="4621" w:type="dxa"/>
          </w:tcPr>
          <w:p w:rsidR="0089227F" w:rsidRPr="006B142F" w:rsidRDefault="0089227F" w:rsidP="0089227F">
            <w:pPr>
              <w:pStyle w:val="BodyText"/>
              <w:spacing w:line="264" w:lineRule="auto"/>
              <w:rPr>
                <w:rFonts w:asciiTheme="minorHAnsi" w:hAnsiTheme="minorHAnsi" w:cs="Arial"/>
                <w:bCs/>
                <w:lang w:eastAsia="en-NZ"/>
              </w:rPr>
            </w:pPr>
            <w:r w:rsidRPr="006B142F">
              <w:rPr>
                <w:rFonts w:asciiTheme="minorHAnsi" w:hAnsiTheme="minorHAnsi" w:cs="Arial"/>
                <w:bCs/>
                <w:lang w:eastAsia="en-NZ"/>
              </w:rPr>
              <w:t>Income included in regulatory profit / (loss) before tax but not taxable</w:t>
            </w:r>
          </w:p>
        </w:tc>
        <w:tc>
          <w:tcPr>
            <w:tcW w:w="4622" w:type="dxa"/>
          </w:tcPr>
          <w:p w:rsidR="0089227F" w:rsidRPr="006B142F" w:rsidRDefault="0089227F" w:rsidP="0089227F">
            <w:pPr>
              <w:tabs>
                <w:tab w:val="left" w:pos="4045"/>
              </w:tabs>
              <w:spacing w:line="264" w:lineRule="auto"/>
              <w:rPr>
                <w:rFonts w:asciiTheme="minorHAnsi" w:hAnsiTheme="minorHAnsi" w:cs="Arial"/>
                <w:lang w:eastAsia="en-NZ"/>
              </w:rPr>
            </w:pPr>
            <w:r w:rsidRPr="006B142F">
              <w:rPr>
                <w:rFonts w:asciiTheme="minorHAnsi" w:hAnsiTheme="minorHAnsi" w:cs="Arial"/>
                <w:lang w:eastAsia="en-NZ"/>
              </w:rPr>
              <w:t xml:space="preserve">means income included in regulatory profit / (loss) before tax but not taxable as determined in accordance with clause 2.3.3(4)(a) of the </w:t>
            </w:r>
            <w:r w:rsidRPr="006B142F">
              <w:rPr>
                <w:rFonts w:asciiTheme="minorHAnsi" w:hAnsiTheme="minorHAnsi" w:cs="Arial"/>
                <w:bCs/>
                <w:lang w:eastAsia="en-NZ"/>
              </w:rPr>
              <w:t>IM determination</w:t>
            </w:r>
          </w:p>
        </w:tc>
      </w:tr>
      <w:tr w:rsidR="0089227F" w:rsidRPr="006B142F" w:rsidTr="00B20AEC">
        <w:trPr>
          <w:cantSplit/>
        </w:trPr>
        <w:tc>
          <w:tcPr>
            <w:tcW w:w="4621" w:type="dxa"/>
          </w:tcPr>
          <w:p w:rsidR="0089227F" w:rsidRPr="006B142F" w:rsidRDefault="0089227F" w:rsidP="0089227F">
            <w:pPr>
              <w:pStyle w:val="BodyText"/>
              <w:spacing w:line="264" w:lineRule="auto"/>
              <w:rPr>
                <w:rFonts w:asciiTheme="minorHAnsi" w:hAnsiTheme="minorHAnsi" w:cs="Arial"/>
                <w:bCs/>
                <w:lang w:eastAsia="en-NZ"/>
              </w:rPr>
            </w:pPr>
            <w:r w:rsidRPr="006B142F">
              <w:rPr>
                <w:rFonts w:asciiTheme="minorHAnsi" w:hAnsiTheme="minorHAnsi" w:cs="Arial"/>
                <w:bCs/>
                <w:lang w:eastAsia="en-NZ"/>
              </w:rPr>
              <w:t>Income not included in regulatory profit / (loss) before tax but taxable</w:t>
            </w:r>
          </w:p>
        </w:tc>
        <w:tc>
          <w:tcPr>
            <w:tcW w:w="4622" w:type="dxa"/>
          </w:tcPr>
          <w:p w:rsidR="0089227F" w:rsidRPr="006B142F" w:rsidRDefault="0089227F" w:rsidP="0089227F">
            <w:pPr>
              <w:tabs>
                <w:tab w:val="left" w:pos="4045"/>
              </w:tabs>
              <w:spacing w:line="264" w:lineRule="auto"/>
              <w:rPr>
                <w:rFonts w:asciiTheme="minorHAnsi" w:hAnsiTheme="minorHAnsi" w:cs="Arial"/>
                <w:lang w:eastAsia="en-NZ"/>
              </w:rPr>
            </w:pPr>
            <w:r w:rsidRPr="006B142F">
              <w:rPr>
                <w:rFonts w:asciiTheme="minorHAnsi" w:hAnsiTheme="minorHAnsi" w:cs="Arial"/>
                <w:lang w:eastAsia="en-NZ"/>
              </w:rPr>
              <w:t>means income not included in regulatory profit / (loss) before tax that is taxable as determined in accordance with clause 2.3.3(2)(a) of the</w:t>
            </w:r>
            <w:r w:rsidRPr="006B142F">
              <w:rPr>
                <w:rFonts w:asciiTheme="minorHAnsi" w:hAnsiTheme="minorHAnsi" w:cs="Arial"/>
                <w:bCs/>
                <w:lang w:eastAsia="en-NZ"/>
              </w:rPr>
              <w:t xml:space="preserve"> IM determination</w:t>
            </w:r>
          </w:p>
        </w:tc>
      </w:tr>
      <w:tr w:rsidR="0089227F" w:rsidRPr="006B142F" w:rsidTr="00B20AEC">
        <w:trPr>
          <w:cantSplit/>
        </w:trPr>
        <w:tc>
          <w:tcPr>
            <w:tcW w:w="4621" w:type="dxa"/>
          </w:tcPr>
          <w:p w:rsidR="0089227F" w:rsidRPr="006B142F" w:rsidRDefault="0089227F" w:rsidP="0089227F">
            <w:pPr>
              <w:pStyle w:val="BodyText"/>
              <w:spacing w:line="264" w:lineRule="auto"/>
              <w:rPr>
                <w:rFonts w:asciiTheme="minorHAnsi" w:hAnsiTheme="minorHAnsi" w:cs="Arial"/>
                <w:bCs/>
                <w:lang w:eastAsia="en-NZ"/>
              </w:rPr>
            </w:pPr>
            <w:r w:rsidRPr="006B142F">
              <w:rPr>
                <w:rFonts w:asciiTheme="minorHAnsi" w:hAnsiTheme="minorHAnsi" w:cs="Arial"/>
                <w:bCs/>
                <w:lang w:eastAsia="en-NZ"/>
              </w:rPr>
              <w:t>Increase in value resulting from revaluations in accordance with 2.2.1(3)(b)</w:t>
            </w:r>
          </w:p>
        </w:tc>
        <w:tc>
          <w:tcPr>
            <w:tcW w:w="4622" w:type="dxa"/>
          </w:tcPr>
          <w:p w:rsidR="0089227F" w:rsidRPr="006B142F" w:rsidRDefault="0089227F" w:rsidP="0089227F">
            <w:pPr>
              <w:tabs>
                <w:tab w:val="left" w:pos="4045"/>
              </w:tabs>
              <w:spacing w:line="264" w:lineRule="auto"/>
              <w:ind w:left="34"/>
              <w:rPr>
                <w:rFonts w:asciiTheme="minorHAnsi" w:hAnsiTheme="minorHAnsi" w:cs="Arial"/>
                <w:lang w:eastAsia="en-NZ"/>
              </w:rPr>
            </w:pPr>
            <w:r w:rsidRPr="006B142F">
              <w:rPr>
                <w:rFonts w:asciiTheme="minorHAnsi" w:hAnsiTheme="minorHAnsi" w:cs="Arial"/>
                <w:lang w:eastAsia="en-NZ"/>
              </w:rPr>
              <w:t>means the value of revaluations as determined in accordance with clause 2.2.1(3)(b) of the IM determination</w:t>
            </w:r>
          </w:p>
        </w:tc>
      </w:tr>
      <w:tr w:rsidR="0089227F" w:rsidRPr="006B142F" w:rsidTr="00B20AEC">
        <w:trPr>
          <w:cantSplit/>
        </w:trPr>
        <w:tc>
          <w:tcPr>
            <w:tcW w:w="4621" w:type="dxa"/>
          </w:tcPr>
          <w:p w:rsidR="0089227F" w:rsidRPr="006B142F" w:rsidRDefault="0089227F" w:rsidP="0089227F">
            <w:pPr>
              <w:pStyle w:val="BodyText"/>
              <w:spacing w:line="264" w:lineRule="auto"/>
              <w:rPr>
                <w:rFonts w:asciiTheme="minorHAnsi" w:hAnsiTheme="minorHAnsi" w:cs="Arial"/>
                <w:bCs/>
                <w:lang w:eastAsia="en-NZ"/>
              </w:rPr>
            </w:pPr>
            <w:r w:rsidRPr="006B142F">
              <w:rPr>
                <w:rFonts w:asciiTheme="minorHAnsi" w:hAnsiTheme="minorHAnsi" w:cs="Arial"/>
                <w:bCs/>
                <w:lang w:eastAsia="en-NZ"/>
              </w:rPr>
              <w:t>Increase/(decrease) in value resulting from rolling forward the asset adjustment process adjustments</w:t>
            </w:r>
          </w:p>
        </w:tc>
        <w:tc>
          <w:tcPr>
            <w:tcW w:w="4622" w:type="dxa"/>
          </w:tcPr>
          <w:p w:rsidR="0089227F" w:rsidRPr="006B142F" w:rsidRDefault="0089227F" w:rsidP="0089227F">
            <w:pPr>
              <w:tabs>
                <w:tab w:val="left" w:pos="4045"/>
              </w:tabs>
              <w:spacing w:line="264" w:lineRule="auto"/>
              <w:ind w:left="34"/>
              <w:rPr>
                <w:rFonts w:asciiTheme="minorHAnsi" w:hAnsiTheme="minorHAnsi" w:cs="Arial"/>
                <w:lang w:eastAsia="en-NZ"/>
              </w:rPr>
            </w:pPr>
            <w:proofErr w:type="gramStart"/>
            <w:r w:rsidRPr="006B142F">
              <w:rPr>
                <w:rFonts w:asciiTheme="minorHAnsi" w:hAnsiTheme="minorHAnsi" w:cs="Arial"/>
                <w:lang w:eastAsia="en-NZ"/>
              </w:rPr>
              <w:t>means</w:t>
            </w:r>
            <w:proofErr w:type="gramEnd"/>
            <w:r w:rsidRPr="006B142F">
              <w:rPr>
                <w:rFonts w:asciiTheme="minorHAnsi" w:hAnsiTheme="minorHAnsi" w:cs="Arial"/>
                <w:lang w:eastAsia="en-NZ"/>
              </w:rPr>
              <w:t xml:space="preserve"> the adjustment to the value of included or value modified assets resulting from applying clause 2.2.1(6)(c) of the </w:t>
            </w:r>
            <w:r w:rsidRPr="006B142F">
              <w:rPr>
                <w:rFonts w:asciiTheme="minorHAnsi" w:hAnsiTheme="minorHAnsi" w:cs="Arial"/>
                <w:bCs/>
                <w:lang w:eastAsia="en-NZ"/>
              </w:rPr>
              <w:t>IM determination.  Included and value modified have the meanings as set out in clause 2.2.1 of the IM determination</w:t>
            </w:r>
          </w:p>
        </w:tc>
      </w:tr>
      <w:tr w:rsidR="0089227F" w:rsidRPr="006B142F" w:rsidTr="00B20AEC">
        <w:trPr>
          <w:cantSplit/>
        </w:trPr>
        <w:tc>
          <w:tcPr>
            <w:tcW w:w="4621" w:type="dxa"/>
          </w:tcPr>
          <w:p w:rsidR="0089227F" w:rsidRPr="006B142F" w:rsidRDefault="0089227F" w:rsidP="0089227F">
            <w:pPr>
              <w:pStyle w:val="BodyText"/>
              <w:spacing w:line="264" w:lineRule="auto"/>
              <w:rPr>
                <w:rFonts w:asciiTheme="minorHAnsi" w:hAnsiTheme="minorHAnsi" w:cs="Arial"/>
                <w:bCs/>
                <w:lang w:eastAsia="en-NZ"/>
              </w:rPr>
            </w:pPr>
            <w:r w:rsidRPr="006B142F">
              <w:rPr>
                <w:rFonts w:asciiTheme="minorHAnsi" w:hAnsiTheme="minorHAnsi" w:cs="Arial"/>
                <w:bCs/>
                <w:lang w:eastAsia="en-NZ"/>
              </w:rPr>
              <w:t>Incremental gain/(loss) in year</w:t>
            </w:r>
          </w:p>
        </w:tc>
        <w:tc>
          <w:tcPr>
            <w:tcW w:w="4622" w:type="dxa"/>
          </w:tcPr>
          <w:p w:rsidR="0089227F" w:rsidRPr="006B142F" w:rsidRDefault="0089227F" w:rsidP="0089227F">
            <w:pPr>
              <w:tabs>
                <w:tab w:val="left" w:pos="4045"/>
              </w:tabs>
              <w:spacing w:line="264" w:lineRule="auto"/>
              <w:ind w:left="34"/>
              <w:rPr>
                <w:rFonts w:asciiTheme="minorHAnsi" w:hAnsiTheme="minorHAnsi" w:cs="Arial"/>
                <w:lang w:eastAsia="en-NZ"/>
              </w:rPr>
            </w:pPr>
            <w:r w:rsidRPr="006B142F">
              <w:rPr>
                <w:rFonts w:asciiTheme="minorHAnsi" w:hAnsiTheme="minorHAnsi" w:cs="Arial"/>
                <w:lang w:eastAsia="en-NZ"/>
              </w:rPr>
              <w:t>means the incremental change or incremental adjustment term for the disclosure year determined in accordance with clause 3.3.1 of the IM determination</w:t>
            </w:r>
          </w:p>
        </w:tc>
      </w:tr>
      <w:tr w:rsidR="0089227F" w:rsidRPr="006B142F" w:rsidTr="00B20AEC">
        <w:trPr>
          <w:cantSplit/>
        </w:trPr>
        <w:tc>
          <w:tcPr>
            <w:tcW w:w="4621" w:type="dxa"/>
          </w:tcPr>
          <w:p w:rsidR="0089227F" w:rsidRPr="006B142F" w:rsidRDefault="0089227F" w:rsidP="0089227F">
            <w:pPr>
              <w:pStyle w:val="BodyText"/>
              <w:spacing w:line="264" w:lineRule="auto"/>
              <w:rPr>
                <w:rFonts w:asciiTheme="minorHAnsi" w:hAnsiTheme="minorHAnsi" w:cs="Arial"/>
                <w:bCs/>
                <w:lang w:eastAsia="en-NZ"/>
              </w:rPr>
            </w:pPr>
            <w:r w:rsidRPr="006B142F">
              <w:rPr>
                <w:rFonts w:asciiTheme="minorHAnsi" w:hAnsiTheme="minorHAnsi"/>
              </w:rPr>
              <w:t>Initial disclosure year</w:t>
            </w:r>
          </w:p>
        </w:tc>
        <w:tc>
          <w:tcPr>
            <w:tcW w:w="4622" w:type="dxa"/>
          </w:tcPr>
          <w:p w:rsidR="0089227F" w:rsidRPr="006B142F" w:rsidRDefault="0089227F" w:rsidP="0089227F">
            <w:pPr>
              <w:spacing w:line="264" w:lineRule="auto"/>
              <w:rPr>
                <w:rFonts w:asciiTheme="minorHAnsi" w:hAnsiTheme="minorHAnsi" w:cs="Arial"/>
                <w:lang w:eastAsia="en-NZ"/>
              </w:rPr>
            </w:pPr>
            <w:r w:rsidRPr="006B142F">
              <w:rPr>
                <w:rFonts w:asciiTheme="minorHAnsi" w:hAnsiTheme="minorHAnsi"/>
              </w:rPr>
              <w:t>means the disclosure year 2012</w:t>
            </w:r>
          </w:p>
        </w:tc>
      </w:tr>
      <w:tr w:rsidR="0089227F" w:rsidRPr="006B142F" w:rsidTr="00B20AEC">
        <w:trPr>
          <w:cantSplit/>
        </w:trPr>
        <w:tc>
          <w:tcPr>
            <w:tcW w:w="4621" w:type="dxa"/>
          </w:tcPr>
          <w:p w:rsidR="0089227F" w:rsidRPr="006B142F" w:rsidRDefault="0089227F" w:rsidP="0089227F">
            <w:pPr>
              <w:pStyle w:val="BodyText"/>
              <w:spacing w:line="264" w:lineRule="auto"/>
              <w:rPr>
                <w:rFonts w:asciiTheme="minorHAnsi" w:hAnsiTheme="minorHAnsi" w:cs="Arial"/>
                <w:bCs/>
                <w:lang w:eastAsia="en-NZ"/>
              </w:rPr>
            </w:pPr>
            <w:r w:rsidRPr="006B142F">
              <w:rPr>
                <w:rFonts w:asciiTheme="minorHAnsi" w:hAnsiTheme="minorHAnsi" w:cs="Arial"/>
                <w:bCs/>
                <w:lang w:eastAsia="en-NZ"/>
              </w:rPr>
              <w:t>Input methodology claw-back</w:t>
            </w:r>
          </w:p>
        </w:tc>
        <w:tc>
          <w:tcPr>
            <w:tcW w:w="4622" w:type="dxa"/>
          </w:tcPr>
          <w:p w:rsidR="0089227F" w:rsidRPr="006B142F" w:rsidRDefault="0089227F" w:rsidP="0089227F">
            <w:pPr>
              <w:tabs>
                <w:tab w:val="left" w:pos="4045"/>
              </w:tabs>
              <w:spacing w:line="264" w:lineRule="auto"/>
              <w:rPr>
                <w:rFonts w:asciiTheme="minorHAnsi" w:hAnsiTheme="minorHAnsi" w:cs="Arial"/>
                <w:lang w:eastAsia="en-NZ"/>
              </w:rPr>
            </w:pPr>
            <w:r w:rsidRPr="006B142F">
              <w:rPr>
                <w:rFonts w:asciiTheme="minorHAnsi" w:hAnsiTheme="minorHAnsi" w:cs="Arial"/>
                <w:lang w:eastAsia="en-NZ"/>
              </w:rPr>
              <w:t>means a cost specified in clause 3.1.3(1)(b) of the IM determination</w:t>
            </w:r>
          </w:p>
        </w:tc>
      </w:tr>
      <w:tr w:rsidR="0089227F" w:rsidRPr="006B142F" w:rsidTr="00B20AEC">
        <w:trPr>
          <w:cantSplit/>
        </w:trPr>
        <w:tc>
          <w:tcPr>
            <w:tcW w:w="4621" w:type="dxa"/>
          </w:tcPr>
          <w:p w:rsidR="0089227F" w:rsidRPr="006B142F" w:rsidRDefault="0089227F" w:rsidP="0089227F">
            <w:pPr>
              <w:pStyle w:val="Tablebodytext"/>
              <w:rPr>
                <w:rFonts w:asciiTheme="minorHAnsi" w:hAnsiTheme="minorHAnsi"/>
                <w:szCs w:val="24"/>
              </w:rPr>
            </w:pPr>
            <w:r w:rsidRPr="006B142F">
              <w:rPr>
                <w:rFonts w:asciiTheme="minorHAnsi" w:hAnsiTheme="minorHAnsi"/>
                <w:szCs w:val="24"/>
              </w:rPr>
              <w:t>Intermediate pressure (IP)</w:t>
            </w:r>
          </w:p>
        </w:tc>
        <w:tc>
          <w:tcPr>
            <w:tcW w:w="4622" w:type="dxa"/>
          </w:tcPr>
          <w:p w:rsidR="0089227F" w:rsidRPr="006B142F" w:rsidRDefault="0089227F" w:rsidP="0089227F">
            <w:pPr>
              <w:pStyle w:val="Tablebodytext"/>
              <w:rPr>
                <w:rFonts w:asciiTheme="minorHAnsi" w:hAnsiTheme="minorHAnsi"/>
                <w:szCs w:val="24"/>
              </w:rPr>
            </w:pPr>
            <w:proofErr w:type="gramStart"/>
            <w:r w:rsidRPr="006B142F">
              <w:rPr>
                <w:rFonts w:asciiTheme="minorHAnsi" w:hAnsiTheme="minorHAnsi"/>
                <w:szCs w:val="24"/>
                <w:lang w:eastAsia="en-NZ"/>
              </w:rPr>
              <w:t>means</w:t>
            </w:r>
            <w:proofErr w:type="gramEnd"/>
            <w:r w:rsidRPr="006B142F">
              <w:rPr>
                <w:rFonts w:asciiTheme="minorHAnsi" w:hAnsiTheme="minorHAnsi"/>
                <w:szCs w:val="24"/>
                <w:lang w:eastAsia="en-NZ"/>
              </w:rPr>
              <w:t xml:space="preserve"> an operating pressure greater than 700 kPa but not exceeding 2,000 kPa.</w:t>
            </w:r>
          </w:p>
        </w:tc>
      </w:tr>
      <w:tr w:rsidR="0089227F" w:rsidRPr="006B142F" w:rsidTr="00B20AEC">
        <w:trPr>
          <w:cantSplit/>
        </w:trPr>
        <w:tc>
          <w:tcPr>
            <w:tcW w:w="4621" w:type="dxa"/>
          </w:tcPr>
          <w:p w:rsidR="0089227F" w:rsidRPr="006B142F" w:rsidRDefault="0089227F" w:rsidP="0089227F">
            <w:pPr>
              <w:pStyle w:val="Tablebodytext"/>
              <w:rPr>
                <w:rFonts w:asciiTheme="minorHAnsi" w:hAnsiTheme="minorHAnsi"/>
                <w:szCs w:val="24"/>
              </w:rPr>
            </w:pPr>
            <w:r w:rsidRPr="006B142F">
              <w:rPr>
                <w:rFonts w:asciiTheme="minorHAnsi" w:hAnsiTheme="minorHAnsi"/>
                <w:szCs w:val="24"/>
              </w:rPr>
              <w:t>Interruption</w:t>
            </w:r>
          </w:p>
        </w:tc>
        <w:tc>
          <w:tcPr>
            <w:tcW w:w="4622" w:type="dxa"/>
          </w:tcPr>
          <w:p w:rsidR="0089227F" w:rsidRPr="006B142F" w:rsidRDefault="0089227F" w:rsidP="0089227F">
            <w:pPr>
              <w:pStyle w:val="Tablebodytext"/>
              <w:rPr>
                <w:rFonts w:asciiTheme="minorHAnsi" w:hAnsiTheme="minorHAnsi"/>
                <w:szCs w:val="24"/>
              </w:rPr>
            </w:pPr>
            <w:r w:rsidRPr="006B142F">
              <w:rPr>
                <w:rFonts w:asciiTheme="minorHAnsi" w:hAnsiTheme="minorHAnsi"/>
                <w:szCs w:val="24"/>
              </w:rPr>
              <w:t>A loss of gas supply upstream at the Customer Isolation Value (CIV) to a customer.</w:t>
            </w:r>
          </w:p>
        </w:tc>
      </w:tr>
      <w:tr w:rsidR="0089227F" w:rsidRPr="006B142F" w:rsidTr="00B20AEC">
        <w:trPr>
          <w:cantSplit/>
        </w:trPr>
        <w:tc>
          <w:tcPr>
            <w:tcW w:w="4621" w:type="dxa"/>
          </w:tcPr>
          <w:p w:rsidR="0089227F" w:rsidRPr="006B142F" w:rsidRDefault="0089227F" w:rsidP="0089227F">
            <w:pPr>
              <w:pStyle w:val="BodyText"/>
              <w:spacing w:line="264" w:lineRule="auto"/>
              <w:rPr>
                <w:rFonts w:asciiTheme="minorHAnsi" w:hAnsiTheme="minorHAnsi" w:cs="Arial"/>
                <w:bCs/>
                <w:lang w:eastAsia="en-NZ"/>
              </w:rPr>
            </w:pPr>
            <w:r w:rsidRPr="006B142F">
              <w:rPr>
                <w:rFonts w:asciiTheme="minorHAnsi" w:hAnsiTheme="minorHAnsi" w:cs="Arial"/>
                <w:bCs/>
                <w:lang w:eastAsia="en-NZ"/>
              </w:rPr>
              <w:t>IRR</w:t>
            </w:r>
          </w:p>
        </w:tc>
        <w:tc>
          <w:tcPr>
            <w:tcW w:w="4622" w:type="dxa"/>
          </w:tcPr>
          <w:p w:rsidR="0089227F" w:rsidRPr="006B142F" w:rsidRDefault="0089227F" w:rsidP="0089227F">
            <w:pPr>
              <w:pStyle w:val="BodyText"/>
              <w:spacing w:line="264" w:lineRule="auto"/>
              <w:rPr>
                <w:rFonts w:asciiTheme="minorHAnsi" w:hAnsiTheme="minorHAnsi" w:cs="Arial"/>
                <w:bCs/>
                <w:lang w:eastAsia="en-NZ"/>
              </w:rPr>
            </w:pPr>
            <w:r w:rsidRPr="006B142F">
              <w:rPr>
                <w:rFonts w:asciiTheme="minorHAnsi" w:hAnsiTheme="minorHAnsi" w:cs="Arial"/>
                <w:bCs/>
                <w:lang w:eastAsia="en-NZ"/>
              </w:rPr>
              <w:t>means internal rate of return</w:t>
            </w:r>
          </w:p>
        </w:tc>
      </w:tr>
      <w:tr w:rsidR="0089227F" w:rsidRPr="006B142F" w:rsidTr="00B20AEC">
        <w:trPr>
          <w:cantSplit/>
        </w:trPr>
        <w:tc>
          <w:tcPr>
            <w:tcW w:w="4621" w:type="dxa"/>
          </w:tcPr>
          <w:p w:rsidR="0089227F" w:rsidRPr="006B142F" w:rsidRDefault="0089227F" w:rsidP="0089227F">
            <w:pPr>
              <w:pStyle w:val="BodyText"/>
              <w:spacing w:line="264" w:lineRule="auto"/>
              <w:rPr>
                <w:rFonts w:asciiTheme="minorHAnsi" w:hAnsiTheme="minorHAnsi" w:cs="Arial"/>
                <w:bCs/>
                <w:lang w:eastAsia="en-NZ"/>
              </w:rPr>
            </w:pPr>
            <w:r w:rsidRPr="006B142F">
              <w:rPr>
                <w:rFonts w:asciiTheme="minorHAnsi" w:hAnsiTheme="minorHAnsi" w:cs="Arial"/>
                <w:bCs/>
                <w:lang w:eastAsia="en-NZ"/>
              </w:rPr>
              <w:t>Issue date</w:t>
            </w:r>
          </w:p>
        </w:tc>
        <w:tc>
          <w:tcPr>
            <w:tcW w:w="4622" w:type="dxa"/>
          </w:tcPr>
          <w:p w:rsidR="0089227F" w:rsidRPr="006B142F" w:rsidRDefault="0089227F" w:rsidP="0089227F">
            <w:pPr>
              <w:pStyle w:val="BodyText"/>
              <w:spacing w:line="264" w:lineRule="auto"/>
              <w:rPr>
                <w:rFonts w:asciiTheme="minorHAnsi" w:hAnsiTheme="minorHAnsi" w:cs="Arial"/>
                <w:bCs/>
                <w:lang w:eastAsia="en-NZ"/>
              </w:rPr>
            </w:pPr>
            <w:r w:rsidRPr="006B142F">
              <w:rPr>
                <w:rFonts w:asciiTheme="minorHAnsi" w:hAnsiTheme="minorHAnsi" w:cs="Arial"/>
                <w:bCs/>
                <w:lang w:eastAsia="en-NZ"/>
              </w:rPr>
              <w:t>means the day on which a qualifying debt or non-qualifying debt is issued</w:t>
            </w:r>
          </w:p>
        </w:tc>
      </w:tr>
      <w:tr w:rsidR="0089227F" w:rsidRPr="006B142F" w:rsidTr="00B20AEC">
        <w:trPr>
          <w:cantSplit/>
        </w:trPr>
        <w:tc>
          <w:tcPr>
            <w:tcW w:w="4621" w:type="dxa"/>
          </w:tcPr>
          <w:p w:rsidR="0089227F" w:rsidRPr="006B142F" w:rsidRDefault="0089227F" w:rsidP="0089227F">
            <w:pPr>
              <w:rPr>
                <w:rFonts w:asciiTheme="minorHAnsi" w:hAnsiTheme="minorHAnsi"/>
                <w:color w:val="000000"/>
              </w:rPr>
            </w:pPr>
            <w:r w:rsidRPr="006B142F">
              <w:rPr>
                <w:rFonts w:asciiTheme="minorHAnsi" w:hAnsiTheme="minorHAnsi"/>
                <w:color w:val="000000"/>
              </w:rPr>
              <w:t>Items at end of year (quantity)</w:t>
            </w:r>
          </w:p>
        </w:tc>
        <w:tc>
          <w:tcPr>
            <w:tcW w:w="4622" w:type="dxa"/>
          </w:tcPr>
          <w:p w:rsidR="0089227F" w:rsidRPr="006B142F" w:rsidRDefault="0089227F" w:rsidP="0089227F">
            <w:pPr>
              <w:pStyle w:val="BodyText"/>
              <w:rPr>
                <w:rFonts w:asciiTheme="minorHAnsi" w:hAnsiTheme="minorHAnsi"/>
              </w:rPr>
            </w:pPr>
            <w:r w:rsidRPr="006B142F">
              <w:rPr>
                <w:rFonts w:asciiTheme="minorHAnsi" w:hAnsiTheme="minorHAnsi"/>
              </w:rPr>
              <w:t>means the total quantity of assets in the prescribed asset category and asset class installed in the network at the start of the disclosure year, expressed in the prescribed unit</w:t>
            </w:r>
          </w:p>
        </w:tc>
      </w:tr>
      <w:tr w:rsidR="0089227F" w:rsidRPr="006B142F" w:rsidTr="00B20AEC">
        <w:trPr>
          <w:cantSplit/>
        </w:trPr>
        <w:tc>
          <w:tcPr>
            <w:tcW w:w="4621" w:type="dxa"/>
          </w:tcPr>
          <w:p w:rsidR="0089227F" w:rsidRPr="006B142F" w:rsidRDefault="0089227F" w:rsidP="0089227F">
            <w:pPr>
              <w:rPr>
                <w:rFonts w:asciiTheme="minorHAnsi" w:hAnsiTheme="minorHAnsi"/>
                <w:color w:val="000000"/>
              </w:rPr>
            </w:pPr>
            <w:r w:rsidRPr="006B142F">
              <w:rPr>
                <w:rFonts w:asciiTheme="minorHAnsi" w:hAnsiTheme="minorHAnsi"/>
                <w:color w:val="000000"/>
              </w:rPr>
              <w:t xml:space="preserve">Items at start of year (quantity) </w:t>
            </w:r>
          </w:p>
        </w:tc>
        <w:tc>
          <w:tcPr>
            <w:tcW w:w="4622" w:type="dxa"/>
          </w:tcPr>
          <w:p w:rsidR="0089227F" w:rsidRPr="006B142F" w:rsidRDefault="0089227F" w:rsidP="0089227F">
            <w:pPr>
              <w:pStyle w:val="BodyText"/>
              <w:rPr>
                <w:rFonts w:asciiTheme="minorHAnsi" w:hAnsiTheme="minorHAnsi"/>
              </w:rPr>
            </w:pPr>
            <w:r w:rsidRPr="006B142F">
              <w:rPr>
                <w:rFonts w:asciiTheme="minorHAnsi" w:hAnsiTheme="minorHAnsi"/>
              </w:rPr>
              <w:t xml:space="preserve">means the total quantity of assets in the prescribed asset category and asset class installed in the network at the start of the disclosure year, expressed in the prescribed unit </w:t>
            </w:r>
          </w:p>
        </w:tc>
      </w:tr>
      <w:tr w:rsidR="0089227F" w:rsidRPr="006B142F" w:rsidTr="00B20AEC">
        <w:trPr>
          <w:cantSplit/>
        </w:trPr>
        <w:tc>
          <w:tcPr>
            <w:tcW w:w="4621" w:type="dxa"/>
          </w:tcPr>
          <w:p w:rsidR="0089227F" w:rsidRPr="006B142F" w:rsidRDefault="0089227F" w:rsidP="0089227F">
            <w:pPr>
              <w:pStyle w:val="BodyText"/>
              <w:spacing w:line="264" w:lineRule="auto"/>
              <w:rPr>
                <w:rFonts w:asciiTheme="minorHAnsi" w:hAnsiTheme="minorHAnsi"/>
              </w:rPr>
            </w:pPr>
            <w:r w:rsidRPr="006B142F">
              <w:rPr>
                <w:rFonts w:asciiTheme="minorHAnsi" w:hAnsiTheme="minorHAnsi" w:cs="Arial"/>
                <w:bCs/>
                <w:lang w:eastAsia="en-NZ"/>
              </w:rPr>
              <w:t>Leverage</w:t>
            </w:r>
          </w:p>
        </w:tc>
        <w:tc>
          <w:tcPr>
            <w:tcW w:w="4622" w:type="dxa"/>
          </w:tcPr>
          <w:p w:rsidR="0089227F" w:rsidRPr="006B142F" w:rsidRDefault="0089227F" w:rsidP="0089227F">
            <w:pPr>
              <w:tabs>
                <w:tab w:val="left" w:pos="4045"/>
              </w:tabs>
              <w:spacing w:line="264" w:lineRule="auto"/>
              <w:ind w:left="34"/>
              <w:rPr>
                <w:rFonts w:asciiTheme="minorHAnsi" w:hAnsiTheme="minorHAnsi"/>
              </w:rPr>
            </w:pPr>
            <w:r w:rsidRPr="006B142F">
              <w:rPr>
                <w:rFonts w:asciiTheme="minorHAnsi" w:hAnsiTheme="minorHAnsi" w:cs="Arial"/>
                <w:lang w:eastAsia="en-NZ"/>
              </w:rPr>
              <w:t>has the meaning set out in the</w:t>
            </w:r>
            <w:r w:rsidRPr="006B142F">
              <w:rPr>
                <w:rFonts w:asciiTheme="minorHAnsi" w:hAnsiTheme="minorHAnsi" w:cs="Arial"/>
                <w:bCs/>
                <w:lang w:eastAsia="en-NZ"/>
              </w:rPr>
              <w:t xml:space="preserve"> IM determination</w:t>
            </w:r>
          </w:p>
        </w:tc>
      </w:tr>
      <w:tr w:rsidR="0089227F" w:rsidRPr="006B142F" w:rsidTr="00B20AEC">
        <w:trPr>
          <w:cantSplit/>
        </w:trPr>
        <w:tc>
          <w:tcPr>
            <w:tcW w:w="4621" w:type="dxa"/>
          </w:tcPr>
          <w:p w:rsidR="0089227F" w:rsidRPr="006B142F" w:rsidRDefault="0089227F" w:rsidP="0089227F">
            <w:pPr>
              <w:pStyle w:val="BodyText"/>
              <w:spacing w:line="264" w:lineRule="auto"/>
              <w:rPr>
                <w:rFonts w:asciiTheme="minorHAnsi" w:hAnsiTheme="minorHAnsi" w:cs="Arial"/>
                <w:bCs/>
                <w:lang w:eastAsia="en-NZ"/>
              </w:rPr>
            </w:pPr>
            <w:r w:rsidRPr="006B142F">
              <w:rPr>
                <w:rFonts w:asciiTheme="minorHAnsi" w:hAnsiTheme="minorHAnsi" w:cs="Arial"/>
                <w:bCs/>
                <w:lang w:eastAsia="en-NZ"/>
              </w:rPr>
              <w:t>Levies</w:t>
            </w:r>
          </w:p>
        </w:tc>
        <w:tc>
          <w:tcPr>
            <w:tcW w:w="4622" w:type="dxa"/>
          </w:tcPr>
          <w:p w:rsidR="0089227F" w:rsidRPr="006B142F" w:rsidRDefault="0089227F" w:rsidP="0089227F">
            <w:pPr>
              <w:tabs>
                <w:tab w:val="left" w:pos="4045"/>
              </w:tabs>
              <w:spacing w:line="264" w:lineRule="auto"/>
              <w:ind w:left="34"/>
              <w:rPr>
                <w:rFonts w:asciiTheme="minorHAnsi" w:hAnsiTheme="minorHAnsi" w:cs="Arial"/>
                <w:lang w:eastAsia="en-NZ"/>
              </w:rPr>
            </w:pPr>
            <w:r w:rsidRPr="006B142F">
              <w:rPr>
                <w:rFonts w:asciiTheme="minorHAnsi" w:hAnsiTheme="minorHAnsi" w:cs="Arial"/>
                <w:lang w:eastAsia="en-NZ"/>
              </w:rPr>
              <w:t>means a cost specified in clause 3.1.2(2)(b) of the IM determination</w:t>
            </w:r>
          </w:p>
        </w:tc>
      </w:tr>
      <w:tr w:rsidR="0089227F" w:rsidRPr="006B142F" w:rsidTr="00B20AEC">
        <w:trPr>
          <w:cantSplit/>
        </w:trPr>
        <w:tc>
          <w:tcPr>
            <w:tcW w:w="4621" w:type="dxa"/>
          </w:tcPr>
          <w:p w:rsidR="0089227F" w:rsidRPr="006B142F" w:rsidRDefault="0089227F" w:rsidP="0089227F">
            <w:pPr>
              <w:pStyle w:val="Tablebodytext"/>
              <w:rPr>
                <w:rFonts w:asciiTheme="minorHAnsi" w:hAnsiTheme="minorHAnsi"/>
                <w:szCs w:val="24"/>
              </w:rPr>
            </w:pPr>
            <w:r w:rsidRPr="006B142F">
              <w:rPr>
                <w:rFonts w:asciiTheme="minorHAnsi" w:hAnsiTheme="minorHAnsi"/>
                <w:szCs w:val="24"/>
              </w:rPr>
              <w:t>Line charge revenue</w:t>
            </w:r>
          </w:p>
        </w:tc>
        <w:tc>
          <w:tcPr>
            <w:tcW w:w="4622" w:type="dxa"/>
          </w:tcPr>
          <w:p w:rsidR="0089227F" w:rsidRPr="006B142F" w:rsidRDefault="0089227F" w:rsidP="0089227F">
            <w:pPr>
              <w:pStyle w:val="BodyText"/>
              <w:rPr>
                <w:rFonts w:asciiTheme="minorHAnsi" w:hAnsiTheme="minorHAnsi"/>
              </w:rPr>
            </w:pPr>
            <w:r w:rsidRPr="006B142F">
              <w:rPr>
                <w:rFonts w:asciiTheme="minorHAnsi" w:hAnsiTheme="minorHAnsi"/>
              </w:rPr>
              <w:t>Means revenue from prices</w:t>
            </w:r>
          </w:p>
        </w:tc>
      </w:tr>
      <w:tr w:rsidR="0089227F" w:rsidRPr="006B142F" w:rsidTr="00B20AEC">
        <w:trPr>
          <w:cantSplit/>
        </w:trPr>
        <w:tc>
          <w:tcPr>
            <w:tcW w:w="4621" w:type="dxa"/>
          </w:tcPr>
          <w:p w:rsidR="0089227F" w:rsidRPr="006B142F" w:rsidRDefault="0089227F" w:rsidP="0089227F">
            <w:pPr>
              <w:pStyle w:val="BodyText"/>
              <w:spacing w:line="264" w:lineRule="auto"/>
              <w:rPr>
                <w:rFonts w:asciiTheme="minorHAnsi" w:hAnsiTheme="minorHAnsi" w:cs="Arial"/>
                <w:bCs/>
                <w:lang w:eastAsia="en-NZ"/>
              </w:rPr>
            </w:pPr>
            <w:r w:rsidRPr="006B142F">
              <w:rPr>
                <w:rFonts w:asciiTheme="minorHAnsi" w:hAnsiTheme="minorHAnsi" w:cs="Arial"/>
                <w:bCs/>
                <w:lang w:eastAsia="en-NZ"/>
              </w:rPr>
              <w:t>Line item</w:t>
            </w:r>
          </w:p>
        </w:tc>
        <w:tc>
          <w:tcPr>
            <w:tcW w:w="4622" w:type="dxa"/>
          </w:tcPr>
          <w:p w:rsidR="0089227F" w:rsidRPr="006B142F" w:rsidRDefault="0089227F" w:rsidP="0089227F">
            <w:pPr>
              <w:tabs>
                <w:tab w:val="left" w:pos="4045"/>
              </w:tabs>
              <w:spacing w:line="264" w:lineRule="auto"/>
              <w:ind w:left="34"/>
              <w:rPr>
                <w:rFonts w:asciiTheme="minorHAnsi" w:hAnsiTheme="minorHAnsi" w:cs="Arial"/>
                <w:lang w:eastAsia="en-NZ"/>
              </w:rPr>
            </w:pPr>
            <w:r w:rsidRPr="006B142F">
              <w:rPr>
                <w:rFonts w:asciiTheme="minorHAnsi" w:hAnsiTheme="minorHAnsi" w:cs="Arial"/>
                <w:lang w:eastAsia="en-NZ"/>
              </w:rPr>
              <w:t>has the meaning set out in the</w:t>
            </w:r>
            <w:r w:rsidRPr="006B142F">
              <w:rPr>
                <w:rFonts w:asciiTheme="minorHAnsi" w:hAnsiTheme="minorHAnsi" w:cs="Arial"/>
                <w:bCs/>
                <w:lang w:eastAsia="en-NZ"/>
              </w:rPr>
              <w:t xml:space="preserve"> IM determination</w:t>
            </w:r>
          </w:p>
        </w:tc>
      </w:tr>
      <w:tr w:rsidR="0089227F" w:rsidRPr="006B142F" w:rsidTr="00B20AEC">
        <w:trPr>
          <w:cantSplit/>
        </w:trPr>
        <w:tc>
          <w:tcPr>
            <w:tcW w:w="4621" w:type="dxa"/>
          </w:tcPr>
          <w:p w:rsidR="0089227F" w:rsidRPr="006B142F" w:rsidRDefault="0089227F" w:rsidP="0089227F">
            <w:pPr>
              <w:pStyle w:val="Tablebodytext"/>
              <w:rPr>
                <w:rFonts w:asciiTheme="minorHAnsi" w:hAnsiTheme="minorHAnsi"/>
                <w:szCs w:val="24"/>
              </w:rPr>
            </w:pPr>
            <w:r w:rsidRPr="006B142F">
              <w:rPr>
                <w:rFonts w:asciiTheme="minorHAnsi" w:hAnsiTheme="minorHAnsi"/>
                <w:szCs w:val="24"/>
              </w:rPr>
              <w:t>Line valve</w:t>
            </w:r>
          </w:p>
        </w:tc>
        <w:tc>
          <w:tcPr>
            <w:tcW w:w="4622" w:type="dxa"/>
          </w:tcPr>
          <w:p w:rsidR="0089227F" w:rsidRPr="006B142F" w:rsidRDefault="0089227F" w:rsidP="0089227F">
            <w:pPr>
              <w:pStyle w:val="BodyText"/>
              <w:rPr>
                <w:rFonts w:asciiTheme="minorHAnsi" w:hAnsiTheme="minorHAnsi"/>
                <w:lang w:val="en-AU"/>
              </w:rPr>
            </w:pPr>
            <w:proofErr w:type="gramStart"/>
            <w:r w:rsidRPr="006B142F">
              <w:rPr>
                <w:rFonts w:asciiTheme="minorHAnsi" w:hAnsiTheme="minorHAnsi"/>
                <w:lang w:val="en-AU"/>
              </w:rPr>
              <w:t>means</w:t>
            </w:r>
            <w:proofErr w:type="gramEnd"/>
            <w:r w:rsidRPr="006B142F">
              <w:rPr>
                <w:rFonts w:asciiTheme="minorHAnsi" w:hAnsiTheme="minorHAnsi"/>
                <w:lang w:val="en-AU"/>
              </w:rPr>
              <w:t xml:space="preserve"> a valve for stopping the flow of gas within a main pipe.</w:t>
            </w:r>
          </w:p>
        </w:tc>
      </w:tr>
      <w:tr w:rsidR="0089227F" w:rsidRPr="006B142F" w:rsidTr="00B20AEC">
        <w:trPr>
          <w:cantSplit/>
        </w:trPr>
        <w:tc>
          <w:tcPr>
            <w:tcW w:w="4621" w:type="dxa"/>
          </w:tcPr>
          <w:p w:rsidR="0089227F" w:rsidRPr="006B142F" w:rsidRDefault="0089227F" w:rsidP="0089227F">
            <w:pPr>
              <w:pStyle w:val="Clausetextunnumbered"/>
              <w:rPr>
                <w:rFonts w:asciiTheme="minorHAnsi" w:hAnsiTheme="minorHAnsi"/>
              </w:rPr>
            </w:pPr>
            <w:r w:rsidRPr="006B142F">
              <w:rPr>
                <w:rStyle w:val="Emphasis-Bold"/>
                <w:rFonts w:asciiTheme="minorHAnsi" w:hAnsiTheme="minorHAnsi"/>
                <w:b w:val="0"/>
              </w:rPr>
              <w:t>Load factor</w:t>
            </w:r>
            <w:r w:rsidRPr="006B142F">
              <w:rPr>
                <w:rFonts w:asciiTheme="minorHAnsi" w:hAnsiTheme="minorHAnsi"/>
              </w:rPr>
              <w:t xml:space="preserve"> </w:t>
            </w:r>
          </w:p>
        </w:tc>
        <w:tc>
          <w:tcPr>
            <w:tcW w:w="4622" w:type="dxa"/>
          </w:tcPr>
          <w:p w:rsidR="0089227F" w:rsidRPr="006B142F" w:rsidRDefault="0089227F" w:rsidP="0089227F">
            <w:pPr>
              <w:tabs>
                <w:tab w:val="left" w:pos="4045"/>
              </w:tabs>
              <w:spacing w:line="264" w:lineRule="auto"/>
              <w:ind w:left="34"/>
              <w:rPr>
                <w:rFonts w:asciiTheme="minorHAnsi" w:hAnsiTheme="minorHAnsi" w:cs="Arial"/>
                <w:lang w:eastAsia="en-NZ"/>
              </w:rPr>
            </w:pPr>
            <w:r w:rsidRPr="006B142F">
              <w:rPr>
                <w:rFonts w:asciiTheme="minorHAnsi" w:hAnsiTheme="minorHAnsi" w:cs="Arial"/>
                <w:lang w:eastAsia="en-NZ"/>
              </w:rPr>
              <w:t>means</w:t>
            </w:r>
          </w:p>
          <w:p w:rsidR="0089227F" w:rsidRPr="006B142F" w:rsidRDefault="0089227F" w:rsidP="0089227F">
            <w:pPr>
              <w:tabs>
                <w:tab w:val="center" w:pos="1009"/>
                <w:tab w:val="center" w:pos="1879"/>
                <w:tab w:val="center" w:pos="2719"/>
                <w:tab w:val="left" w:pos="4045"/>
              </w:tabs>
              <w:spacing w:line="264" w:lineRule="auto"/>
              <w:ind w:left="34"/>
              <w:rPr>
                <w:rFonts w:asciiTheme="minorHAnsi" w:hAnsiTheme="minorHAnsi" w:cs="Arial"/>
                <w:i/>
                <w:lang w:eastAsia="en-NZ"/>
              </w:rPr>
            </w:pPr>
            <w:r w:rsidRPr="006B142F">
              <w:rPr>
                <w:rFonts w:asciiTheme="minorHAnsi" w:hAnsiTheme="minorHAnsi" w:cs="Arial"/>
                <w:lang w:eastAsia="en-NZ"/>
              </w:rPr>
              <w:tab/>
            </w:r>
            <w:r w:rsidRPr="006B142F">
              <w:rPr>
                <w:rFonts w:asciiTheme="minorHAnsi" w:hAnsiTheme="minorHAnsi" w:cs="Arial"/>
                <w:i/>
                <w:lang w:eastAsia="en-NZ"/>
              </w:rPr>
              <w:t>a</w:t>
            </w:r>
            <w:r w:rsidRPr="006B142F">
              <w:rPr>
                <w:rFonts w:asciiTheme="minorHAnsi" w:hAnsiTheme="minorHAnsi" w:cs="Arial"/>
                <w:i/>
                <w:lang w:eastAsia="en-NZ"/>
              </w:rPr>
              <w:tab/>
            </w:r>
          </w:p>
          <w:p w:rsidR="0089227F" w:rsidRPr="006B142F" w:rsidRDefault="0089227F" w:rsidP="0089227F">
            <w:pPr>
              <w:tabs>
                <w:tab w:val="center" w:pos="1009"/>
                <w:tab w:val="center" w:pos="1879"/>
                <w:tab w:val="center" w:pos="2719"/>
                <w:tab w:val="left" w:pos="4045"/>
              </w:tabs>
              <w:spacing w:line="264" w:lineRule="auto"/>
              <w:ind w:left="34"/>
              <w:rPr>
                <w:rFonts w:asciiTheme="minorHAnsi" w:hAnsiTheme="minorHAnsi" w:cs="Arial"/>
                <w:i/>
                <w:lang w:eastAsia="en-NZ"/>
              </w:rPr>
            </w:pPr>
            <w:r w:rsidRPr="006B142F">
              <w:rPr>
                <w:rFonts w:asciiTheme="minorHAnsi" w:hAnsiTheme="minorHAnsi" w:cs="Arial"/>
                <w:i/>
                <w:lang w:eastAsia="en-NZ"/>
              </w:rPr>
              <w:tab/>
            </w:r>
            <w:r w:rsidRPr="006B142F">
              <w:rPr>
                <w:rFonts w:asciiTheme="minorHAnsi" w:hAnsiTheme="minorHAnsi" w:cs="Arial"/>
                <w:i/>
                <w:vertAlign w:val="superscript"/>
                <w:lang w:eastAsia="en-NZ"/>
              </w:rPr>
              <w:t>________</w:t>
            </w:r>
            <w:r w:rsidRPr="006B142F">
              <w:rPr>
                <w:rFonts w:asciiTheme="minorHAnsi" w:hAnsiTheme="minorHAnsi" w:cs="Arial"/>
                <w:i/>
                <w:lang w:eastAsia="en-NZ"/>
              </w:rPr>
              <w:tab/>
              <w:t>x</w:t>
            </w:r>
            <w:r w:rsidRPr="006B142F">
              <w:rPr>
                <w:rFonts w:asciiTheme="minorHAnsi" w:hAnsiTheme="minorHAnsi" w:cs="Arial"/>
                <w:i/>
                <w:lang w:eastAsia="en-NZ"/>
              </w:rPr>
              <w:tab/>
            </w:r>
          </w:p>
          <w:p w:rsidR="0089227F" w:rsidRPr="006B142F" w:rsidRDefault="0089227F" w:rsidP="0089227F">
            <w:pPr>
              <w:tabs>
                <w:tab w:val="center" w:pos="1009"/>
                <w:tab w:val="center" w:pos="1879"/>
                <w:tab w:val="center" w:pos="2719"/>
                <w:tab w:val="left" w:pos="4045"/>
              </w:tabs>
              <w:spacing w:line="264" w:lineRule="auto"/>
              <w:ind w:left="34"/>
              <w:rPr>
                <w:rFonts w:asciiTheme="minorHAnsi" w:hAnsiTheme="minorHAnsi" w:cs="Arial"/>
                <w:i/>
                <w:lang w:eastAsia="en-NZ"/>
              </w:rPr>
            </w:pPr>
            <w:r w:rsidRPr="006B142F">
              <w:rPr>
                <w:rFonts w:asciiTheme="minorHAnsi" w:hAnsiTheme="minorHAnsi" w:cs="Arial"/>
                <w:i/>
                <w:lang w:eastAsia="en-NZ"/>
              </w:rPr>
              <w:tab/>
              <w:t>12 x b</w:t>
            </w:r>
            <w:r w:rsidRPr="006B142F">
              <w:rPr>
                <w:rFonts w:asciiTheme="minorHAnsi" w:hAnsiTheme="minorHAnsi" w:cs="Arial"/>
                <w:i/>
                <w:lang w:eastAsia="en-NZ"/>
              </w:rPr>
              <w:tab/>
            </w:r>
          </w:p>
          <w:p w:rsidR="0089227F" w:rsidRPr="006B142F" w:rsidRDefault="0089227F" w:rsidP="0089227F">
            <w:pPr>
              <w:tabs>
                <w:tab w:val="center" w:pos="1009"/>
                <w:tab w:val="center" w:pos="1879"/>
                <w:tab w:val="center" w:pos="2719"/>
                <w:tab w:val="left" w:pos="4045"/>
              </w:tabs>
              <w:spacing w:line="264" w:lineRule="auto"/>
              <w:ind w:left="34"/>
              <w:rPr>
                <w:rFonts w:asciiTheme="minorHAnsi" w:hAnsiTheme="minorHAnsi" w:cs="Arial"/>
                <w:i/>
                <w:lang w:eastAsia="en-NZ"/>
              </w:rPr>
            </w:pPr>
          </w:p>
          <w:p w:rsidR="0089227F" w:rsidRPr="006B142F" w:rsidRDefault="0089227F" w:rsidP="0089227F">
            <w:pPr>
              <w:tabs>
                <w:tab w:val="center" w:pos="1009"/>
                <w:tab w:val="center" w:pos="1879"/>
                <w:tab w:val="center" w:pos="2719"/>
                <w:tab w:val="left" w:pos="4045"/>
              </w:tabs>
              <w:spacing w:line="264" w:lineRule="auto"/>
              <w:ind w:left="34"/>
              <w:rPr>
                <w:rFonts w:asciiTheme="minorHAnsi" w:hAnsiTheme="minorHAnsi" w:cs="Arial"/>
                <w:lang w:eastAsia="en-NZ"/>
              </w:rPr>
            </w:pPr>
            <w:r w:rsidRPr="006B142F">
              <w:rPr>
                <w:rFonts w:asciiTheme="minorHAnsi" w:hAnsiTheme="minorHAnsi" w:cs="Arial"/>
                <w:lang w:eastAsia="en-NZ"/>
              </w:rPr>
              <w:t>where</w:t>
            </w:r>
          </w:p>
          <w:p w:rsidR="0089227F" w:rsidRPr="006B142F" w:rsidRDefault="0089227F" w:rsidP="0089227F">
            <w:pPr>
              <w:spacing w:line="264" w:lineRule="auto"/>
              <w:ind w:left="601" w:hanging="567"/>
              <w:rPr>
                <w:rFonts w:asciiTheme="minorHAnsi" w:hAnsiTheme="minorHAnsi" w:cs="Arial"/>
                <w:lang w:eastAsia="en-NZ"/>
              </w:rPr>
            </w:pPr>
            <w:r w:rsidRPr="006B142F">
              <w:rPr>
                <w:rFonts w:asciiTheme="minorHAnsi" w:hAnsiTheme="minorHAnsi" w:cs="Arial"/>
                <w:i/>
                <w:lang w:eastAsia="en-NZ"/>
              </w:rPr>
              <w:t>a =</w:t>
            </w:r>
            <w:r w:rsidRPr="006B142F">
              <w:rPr>
                <w:rFonts w:asciiTheme="minorHAnsi" w:hAnsiTheme="minorHAnsi" w:cs="Arial"/>
                <w:lang w:eastAsia="en-NZ"/>
              </w:rPr>
              <w:tab/>
              <w:t xml:space="preserve">the amount of gas (in </w:t>
            </w:r>
            <w:proofErr w:type="spellStart"/>
            <w:r w:rsidRPr="006B142F">
              <w:rPr>
                <w:rFonts w:asciiTheme="minorHAnsi" w:hAnsiTheme="minorHAnsi" w:cs="Arial"/>
                <w:lang w:eastAsia="en-NZ"/>
              </w:rPr>
              <w:t>gigajoules</w:t>
            </w:r>
            <w:proofErr w:type="spellEnd"/>
            <w:r w:rsidRPr="006B142F">
              <w:rPr>
                <w:rFonts w:asciiTheme="minorHAnsi" w:hAnsiTheme="minorHAnsi" w:cs="Arial"/>
                <w:lang w:eastAsia="en-NZ"/>
              </w:rPr>
              <w:t>) entering the system or systems</w:t>
            </w:r>
          </w:p>
          <w:p w:rsidR="0089227F" w:rsidRPr="006B142F" w:rsidRDefault="0089227F" w:rsidP="0089227F">
            <w:pPr>
              <w:spacing w:line="264" w:lineRule="auto"/>
              <w:ind w:left="601" w:hanging="567"/>
              <w:rPr>
                <w:rFonts w:asciiTheme="minorHAnsi" w:hAnsiTheme="minorHAnsi" w:cs="Arial"/>
                <w:lang w:eastAsia="en-NZ"/>
              </w:rPr>
            </w:pPr>
            <w:r w:rsidRPr="006B142F">
              <w:rPr>
                <w:rFonts w:asciiTheme="minorHAnsi" w:hAnsiTheme="minorHAnsi" w:cs="Arial"/>
                <w:i/>
                <w:lang w:eastAsia="en-NZ"/>
              </w:rPr>
              <w:t>b =</w:t>
            </w:r>
            <w:r w:rsidRPr="006B142F">
              <w:rPr>
                <w:rFonts w:asciiTheme="minorHAnsi" w:hAnsiTheme="minorHAnsi" w:cs="Arial"/>
                <w:i/>
                <w:lang w:eastAsia="en-NZ"/>
              </w:rPr>
              <w:tab/>
            </w:r>
            <w:r w:rsidRPr="006B142F">
              <w:rPr>
                <w:rFonts w:asciiTheme="minorHAnsi" w:hAnsiTheme="minorHAnsi" w:cs="Arial"/>
                <w:lang w:eastAsia="en-NZ"/>
              </w:rPr>
              <w:t xml:space="preserve">the maximum monthly amount of gas (in </w:t>
            </w:r>
            <w:proofErr w:type="spellStart"/>
            <w:r w:rsidRPr="006B142F">
              <w:rPr>
                <w:rFonts w:asciiTheme="minorHAnsi" w:hAnsiTheme="minorHAnsi" w:cs="Arial"/>
                <w:lang w:eastAsia="en-NZ"/>
              </w:rPr>
              <w:t>gigajoules</w:t>
            </w:r>
            <w:proofErr w:type="spellEnd"/>
            <w:r w:rsidRPr="006B142F">
              <w:rPr>
                <w:rFonts w:asciiTheme="minorHAnsi" w:hAnsiTheme="minorHAnsi" w:cs="Arial"/>
                <w:lang w:eastAsia="en-NZ"/>
              </w:rPr>
              <w:t>) entering the system or systems</w:t>
            </w:r>
          </w:p>
        </w:tc>
      </w:tr>
      <w:tr w:rsidR="0089227F" w:rsidRPr="006B142F" w:rsidTr="00B20AEC">
        <w:trPr>
          <w:cantSplit/>
        </w:trPr>
        <w:tc>
          <w:tcPr>
            <w:tcW w:w="4621" w:type="dxa"/>
          </w:tcPr>
          <w:p w:rsidR="0089227F" w:rsidRPr="006B142F" w:rsidRDefault="0089227F" w:rsidP="0089227F">
            <w:pPr>
              <w:pStyle w:val="BodyText"/>
              <w:spacing w:line="264" w:lineRule="auto"/>
              <w:rPr>
                <w:rFonts w:asciiTheme="minorHAnsi" w:hAnsiTheme="minorHAnsi" w:cs="Arial"/>
                <w:bCs/>
                <w:lang w:eastAsia="en-NZ"/>
              </w:rPr>
            </w:pPr>
            <w:r w:rsidRPr="006B142F">
              <w:rPr>
                <w:rFonts w:asciiTheme="minorHAnsi" w:hAnsiTheme="minorHAnsi" w:cs="Arial"/>
                <w:bCs/>
                <w:lang w:eastAsia="en-NZ"/>
              </w:rPr>
              <w:t>Lost and found assets adjustment</w:t>
            </w:r>
          </w:p>
        </w:tc>
        <w:tc>
          <w:tcPr>
            <w:tcW w:w="4622" w:type="dxa"/>
          </w:tcPr>
          <w:p w:rsidR="0089227F" w:rsidRPr="006B142F" w:rsidRDefault="0089227F" w:rsidP="0089227F">
            <w:pPr>
              <w:tabs>
                <w:tab w:val="left" w:pos="4045"/>
              </w:tabs>
              <w:spacing w:line="264" w:lineRule="auto"/>
              <w:ind w:left="34"/>
              <w:rPr>
                <w:rFonts w:asciiTheme="minorHAnsi" w:hAnsiTheme="minorHAnsi" w:cs="Arial"/>
                <w:lang w:eastAsia="en-NZ"/>
              </w:rPr>
            </w:pPr>
            <w:r w:rsidRPr="006B142F">
              <w:rPr>
                <w:rFonts w:asciiTheme="minorHAnsi" w:hAnsiTheme="minorHAnsi" w:cs="Arial"/>
                <w:lang w:eastAsia="en-NZ"/>
              </w:rPr>
              <w:t>means:</w:t>
            </w:r>
          </w:p>
          <w:p w:rsidR="0089227F" w:rsidRPr="006B142F" w:rsidRDefault="0089227F" w:rsidP="0089227F">
            <w:pPr>
              <w:pStyle w:val="ListParagraph"/>
              <w:numPr>
                <w:ilvl w:val="0"/>
                <w:numId w:val="29"/>
              </w:numPr>
              <w:tabs>
                <w:tab w:val="left" w:pos="4045"/>
              </w:tabs>
              <w:spacing w:line="264" w:lineRule="auto"/>
              <w:ind w:hanging="434"/>
              <w:rPr>
                <w:rFonts w:asciiTheme="minorHAnsi" w:hAnsiTheme="minorHAnsi" w:cs="Arial"/>
                <w:lang w:eastAsia="en-NZ"/>
              </w:rPr>
            </w:pPr>
            <w:proofErr w:type="gramStart"/>
            <w:r w:rsidRPr="006B142F">
              <w:rPr>
                <w:rFonts w:asciiTheme="minorHAnsi" w:hAnsiTheme="minorHAnsi" w:cs="Arial"/>
                <w:lang w:eastAsia="en-NZ"/>
              </w:rPr>
              <w:t>in</w:t>
            </w:r>
            <w:proofErr w:type="gramEnd"/>
            <w:r w:rsidRPr="006B142F">
              <w:rPr>
                <w:rFonts w:asciiTheme="minorHAnsi" w:hAnsiTheme="minorHAnsi" w:cs="Arial"/>
                <w:lang w:eastAsia="en-NZ"/>
              </w:rPr>
              <w:t xml:space="preserve"> relation to the</w:t>
            </w:r>
            <w:r w:rsidRPr="006B142F">
              <w:rPr>
                <w:rFonts w:asciiTheme="minorHAnsi" w:hAnsiTheme="minorHAnsi" w:cs="Arial"/>
                <w:bCs/>
                <w:lang w:eastAsia="en-NZ"/>
              </w:rPr>
              <w:t xml:space="preserve"> unallocated RAB</w:t>
            </w:r>
            <w:r w:rsidRPr="006B142F">
              <w:rPr>
                <w:rFonts w:asciiTheme="minorHAnsi" w:hAnsiTheme="minorHAnsi" w:cs="Arial"/>
                <w:lang w:eastAsia="en-NZ"/>
              </w:rPr>
              <w:t xml:space="preserve">, the value of found assets as determined in accordance with clause 2.2.12 of the </w:t>
            </w:r>
            <w:r w:rsidRPr="006B142F">
              <w:rPr>
                <w:rFonts w:asciiTheme="minorHAnsi" w:hAnsiTheme="minorHAnsi" w:cs="Arial"/>
                <w:bCs/>
                <w:lang w:eastAsia="en-NZ"/>
              </w:rPr>
              <w:t>IM determination</w:t>
            </w:r>
            <w:r w:rsidRPr="006B142F">
              <w:rPr>
                <w:rFonts w:asciiTheme="minorHAnsi" w:hAnsiTheme="minorHAnsi" w:cs="Arial"/>
                <w:lang w:eastAsia="en-NZ"/>
              </w:rPr>
              <w:t xml:space="preserve">, less the value of lost assets.  The value of a lost asset is the unallocated opening RAB value of the asset less regulatory depreciation as determined in accordance with the  </w:t>
            </w:r>
            <w:r w:rsidRPr="006B142F">
              <w:rPr>
                <w:rFonts w:asciiTheme="minorHAnsi" w:hAnsiTheme="minorHAnsi" w:cs="Arial"/>
                <w:bCs/>
                <w:lang w:eastAsia="en-NZ"/>
              </w:rPr>
              <w:t>IM determination</w:t>
            </w:r>
            <w:r w:rsidRPr="006B142F">
              <w:rPr>
                <w:rFonts w:asciiTheme="minorHAnsi" w:hAnsiTheme="minorHAnsi" w:cs="Arial"/>
                <w:lang w:eastAsia="en-NZ"/>
              </w:rPr>
              <w:t>;</w:t>
            </w:r>
          </w:p>
          <w:p w:rsidR="0089227F" w:rsidRPr="006B142F" w:rsidRDefault="0089227F" w:rsidP="0089227F">
            <w:pPr>
              <w:pStyle w:val="ListParagraph"/>
              <w:numPr>
                <w:ilvl w:val="0"/>
                <w:numId w:val="29"/>
              </w:numPr>
              <w:tabs>
                <w:tab w:val="left" w:pos="4045"/>
              </w:tabs>
              <w:spacing w:line="264" w:lineRule="auto"/>
              <w:ind w:hanging="434"/>
              <w:rPr>
                <w:rFonts w:asciiTheme="minorHAnsi" w:hAnsiTheme="minorHAnsi" w:cs="Arial"/>
                <w:lang w:eastAsia="en-NZ"/>
              </w:rPr>
            </w:pPr>
            <w:r w:rsidRPr="006B142F">
              <w:rPr>
                <w:rFonts w:asciiTheme="minorHAnsi" w:hAnsiTheme="minorHAnsi" w:cs="Arial"/>
                <w:lang w:eastAsia="en-NZ"/>
              </w:rPr>
              <w:t xml:space="preserve">in relation to the </w:t>
            </w:r>
            <w:r w:rsidRPr="006B142F">
              <w:rPr>
                <w:rFonts w:asciiTheme="minorHAnsi" w:hAnsiTheme="minorHAnsi" w:cs="Arial"/>
                <w:bCs/>
                <w:lang w:eastAsia="en-NZ"/>
              </w:rPr>
              <w:t>RAB,</w:t>
            </w:r>
            <w:r w:rsidRPr="006B142F">
              <w:rPr>
                <w:rFonts w:asciiTheme="minorHAnsi" w:hAnsiTheme="minorHAnsi" w:cs="Arial"/>
                <w:lang w:eastAsia="en-NZ"/>
              </w:rPr>
              <w:t xml:space="preserve"> the value of the asset (as determined in accordance with paragraph (a)) which is allocated to gas distribution services</w:t>
            </w:r>
            <w:r w:rsidRPr="006B142F">
              <w:rPr>
                <w:rFonts w:asciiTheme="minorHAnsi" w:hAnsiTheme="minorHAnsi" w:cs="Arial"/>
                <w:bCs/>
                <w:lang w:eastAsia="en-NZ"/>
              </w:rPr>
              <w:t xml:space="preserve"> </w:t>
            </w:r>
            <w:r w:rsidRPr="006B142F">
              <w:rPr>
                <w:rFonts w:asciiTheme="minorHAnsi" w:hAnsiTheme="minorHAnsi" w:cs="Arial"/>
                <w:lang w:eastAsia="en-NZ"/>
              </w:rPr>
              <w:t xml:space="preserve">in accordance with clause 2.1.1 of the </w:t>
            </w:r>
            <w:r w:rsidRPr="006B142F">
              <w:rPr>
                <w:rFonts w:asciiTheme="minorHAnsi" w:hAnsiTheme="minorHAnsi" w:cs="Arial"/>
                <w:bCs/>
                <w:lang w:eastAsia="en-NZ"/>
              </w:rPr>
              <w:t>IM determination</w:t>
            </w:r>
          </w:p>
        </w:tc>
      </w:tr>
      <w:tr w:rsidR="0089227F" w:rsidRPr="006B142F" w:rsidTr="00B20AEC">
        <w:trPr>
          <w:cantSplit/>
        </w:trPr>
        <w:tc>
          <w:tcPr>
            <w:tcW w:w="4621" w:type="dxa"/>
          </w:tcPr>
          <w:p w:rsidR="0089227F" w:rsidRPr="006B142F" w:rsidRDefault="0089227F" w:rsidP="0089227F">
            <w:pPr>
              <w:pStyle w:val="Tablebodytext"/>
              <w:rPr>
                <w:rFonts w:asciiTheme="minorHAnsi" w:hAnsiTheme="minorHAnsi"/>
                <w:szCs w:val="24"/>
              </w:rPr>
            </w:pPr>
            <w:r w:rsidRPr="006B142F">
              <w:rPr>
                <w:rFonts w:asciiTheme="minorHAnsi" w:hAnsiTheme="minorHAnsi"/>
                <w:szCs w:val="24"/>
              </w:rPr>
              <w:t>Low Pressure (LP)</w:t>
            </w:r>
          </w:p>
        </w:tc>
        <w:tc>
          <w:tcPr>
            <w:tcW w:w="4622" w:type="dxa"/>
          </w:tcPr>
          <w:p w:rsidR="0089227F" w:rsidRPr="006B142F" w:rsidRDefault="0089227F" w:rsidP="0089227F">
            <w:pPr>
              <w:pStyle w:val="BodyText"/>
              <w:rPr>
                <w:rFonts w:asciiTheme="minorHAnsi" w:hAnsiTheme="minorHAnsi"/>
                <w:lang w:val="en-AU"/>
              </w:rPr>
            </w:pPr>
            <w:proofErr w:type="gramStart"/>
            <w:r w:rsidRPr="006B142F">
              <w:rPr>
                <w:rFonts w:asciiTheme="minorHAnsi" w:hAnsiTheme="minorHAnsi"/>
                <w:lang w:eastAsia="en-NZ"/>
              </w:rPr>
              <w:t>means</w:t>
            </w:r>
            <w:proofErr w:type="gramEnd"/>
            <w:r w:rsidRPr="006B142F">
              <w:rPr>
                <w:rFonts w:asciiTheme="minorHAnsi" w:hAnsiTheme="minorHAnsi"/>
                <w:lang w:eastAsia="en-NZ"/>
              </w:rPr>
              <w:t xml:space="preserve"> an operating pressure at, or below, 7 kPa.</w:t>
            </w:r>
          </w:p>
        </w:tc>
      </w:tr>
      <w:tr w:rsidR="0089227F" w:rsidRPr="006B142F" w:rsidTr="00B20AEC">
        <w:trPr>
          <w:cantSplit/>
        </w:trPr>
        <w:tc>
          <w:tcPr>
            <w:tcW w:w="4621" w:type="dxa"/>
          </w:tcPr>
          <w:p w:rsidR="0089227F" w:rsidRPr="006B142F" w:rsidRDefault="0089227F" w:rsidP="0089227F">
            <w:pPr>
              <w:pStyle w:val="BodyText"/>
              <w:spacing w:line="264" w:lineRule="auto"/>
              <w:rPr>
                <w:rFonts w:asciiTheme="minorHAnsi" w:hAnsiTheme="minorHAnsi" w:cs="Arial"/>
                <w:bCs/>
                <w:lang w:eastAsia="en-NZ"/>
              </w:rPr>
            </w:pPr>
            <w:r w:rsidRPr="006B142F">
              <w:rPr>
                <w:rFonts w:asciiTheme="minorHAnsi" w:hAnsiTheme="minorHAnsi" w:cs="Arial"/>
                <w:bCs/>
                <w:lang w:eastAsia="en-NZ"/>
              </w:rPr>
              <w:t>Market value of asset disposals</w:t>
            </w:r>
          </w:p>
        </w:tc>
        <w:tc>
          <w:tcPr>
            <w:tcW w:w="4622" w:type="dxa"/>
          </w:tcPr>
          <w:p w:rsidR="0089227F" w:rsidRPr="006B142F" w:rsidRDefault="0089227F" w:rsidP="0089227F">
            <w:pPr>
              <w:tabs>
                <w:tab w:val="left" w:pos="4045"/>
              </w:tabs>
              <w:spacing w:line="264" w:lineRule="auto"/>
              <w:rPr>
                <w:rFonts w:asciiTheme="minorHAnsi" w:hAnsiTheme="minorHAnsi" w:cs="Arial"/>
                <w:lang w:eastAsia="en-NZ"/>
              </w:rPr>
            </w:pPr>
            <w:r w:rsidRPr="006B142F">
              <w:rPr>
                <w:rFonts w:asciiTheme="minorHAnsi" w:hAnsiTheme="minorHAnsi" w:cs="Arial"/>
                <w:lang w:eastAsia="en-NZ"/>
              </w:rPr>
              <w:t xml:space="preserve">means the market value of </w:t>
            </w:r>
            <w:r w:rsidRPr="006B142F">
              <w:rPr>
                <w:rFonts w:asciiTheme="minorHAnsi" w:hAnsiTheme="minorHAnsi" w:cs="Arial"/>
                <w:bCs/>
                <w:lang w:eastAsia="en-NZ"/>
              </w:rPr>
              <w:t>disposed assets</w:t>
            </w:r>
            <w:r w:rsidRPr="006B142F">
              <w:rPr>
                <w:rFonts w:asciiTheme="minorHAnsi" w:hAnsiTheme="minorHAnsi" w:cs="Arial"/>
                <w:lang w:eastAsia="en-NZ"/>
              </w:rPr>
              <w:t xml:space="preserve"> sold or transferred to a </w:t>
            </w:r>
            <w:r w:rsidRPr="006B142F">
              <w:rPr>
                <w:rFonts w:asciiTheme="minorHAnsi" w:hAnsiTheme="minorHAnsi" w:cs="Arial"/>
                <w:bCs/>
                <w:lang w:eastAsia="en-NZ"/>
              </w:rPr>
              <w:t>related party</w:t>
            </w:r>
          </w:p>
        </w:tc>
      </w:tr>
      <w:tr w:rsidR="0089227F" w:rsidRPr="006B142F" w:rsidTr="00B20AEC">
        <w:trPr>
          <w:cantSplit/>
        </w:trPr>
        <w:tc>
          <w:tcPr>
            <w:tcW w:w="4621" w:type="dxa"/>
          </w:tcPr>
          <w:p w:rsidR="0089227F" w:rsidRPr="006B142F" w:rsidRDefault="0089227F" w:rsidP="0089227F">
            <w:pPr>
              <w:rPr>
                <w:rFonts w:asciiTheme="minorHAnsi" w:hAnsiTheme="minorHAnsi"/>
                <w:color w:val="000000"/>
                <w:lang w:val="en-AU"/>
              </w:rPr>
            </w:pPr>
            <w:r w:rsidRPr="006B142F">
              <w:rPr>
                <w:rFonts w:asciiTheme="minorHAnsi" w:hAnsiTheme="minorHAnsi"/>
                <w:lang w:val="en-AU"/>
              </w:rPr>
              <w:t>Material projects and programmes</w:t>
            </w:r>
          </w:p>
        </w:tc>
        <w:tc>
          <w:tcPr>
            <w:tcW w:w="4622" w:type="dxa"/>
          </w:tcPr>
          <w:p w:rsidR="0089227F" w:rsidRPr="006B142F" w:rsidRDefault="0089227F" w:rsidP="0089227F">
            <w:pPr>
              <w:pStyle w:val="BodyText"/>
              <w:rPr>
                <w:rFonts w:asciiTheme="minorHAnsi" w:hAnsiTheme="minorHAnsi"/>
                <w:lang w:val="en-AU"/>
              </w:rPr>
            </w:pPr>
            <w:r w:rsidRPr="006B142F">
              <w:rPr>
                <w:rFonts w:asciiTheme="minorHAnsi" w:hAnsiTheme="minorHAnsi"/>
                <w:lang w:val="en-AU"/>
              </w:rPr>
              <w:t>Projects or programmes with actual or forecast total expenditure greater than the materiality threshold that is developed and applied by the GDB</w:t>
            </w:r>
          </w:p>
        </w:tc>
      </w:tr>
      <w:tr w:rsidR="0089227F" w:rsidRPr="006B142F" w:rsidTr="00B20AEC">
        <w:trPr>
          <w:cantSplit/>
        </w:trPr>
        <w:tc>
          <w:tcPr>
            <w:tcW w:w="4621" w:type="dxa"/>
          </w:tcPr>
          <w:p w:rsidR="0089227F" w:rsidRPr="006B142F" w:rsidRDefault="0089227F" w:rsidP="0089227F">
            <w:pPr>
              <w:pStyle w:val="Tablebodytext"/>
              <w:rPr>
                <w:rFonts w:asciiTheme="minorHAnsi" w:hAnsiTheme="minorHAnsi"/>
                <w:szCs w:val="24"/>
              </w:rPr>
            </w:pPr>
            <w:r w:rsidRPr="006B142F">
              <w:rPr>
                <w:rFonts w:asciiTheme="minorHAnsi" w:hAnsiTheme="minorHAnsi"/>
                <w:szCs w:val="24"/>
              </w:rPr>
              <w:t>Maximum daily load (GJ/day)</w:t>
            </w:r>
          </w:p>
        </w:tc>
        <w:tc>
          <w:tcPr>
            <w:tcW w:w="4622" w:type="dxa"/>
          </w:tcPr>
          <w:p w:rsidR="0089227F" w:rsidRPr="006B142F" w:rsidRDefault="0089227F" w:rsidP="0089227F">
            <w:pPr>
              <w:pStyle w:val="Tablebodytext"/>
              <w:rPr>
                <w:rFonts w:asciiTheme="minorHAnsi" w:hAnsiTheme="minorHAnsi"/>
                <w:szCs w:val="24"/>
              </w:rPr>
            </w:pPr>
            <w:r w:rsidRPr="006B142F">
              <w:rPr>
                <w:rFonts w:asciiTheme="minorHAnsi" w:hAnsiTheme="minorHAnsi"/>
                <w:szCs w:val="24"/>
              </w:rPr>
              <w:t>Means the maximum amount of gas entering a network, or sub-network in a day during the disclosure year, measured in GJ</w:t>
            </w:r>
          </w:p>
        </w:tc>
      </w:tr>
      <w:tr w:rsidR="0089227F" w:rsidRPr="006B142F" w:rsidTr="00B20AEC">
        <w:trPr>
          <w:cantSplit/>
        </w:trPr>
        <w:tc>
          <w:tcPr>
            <w:tcW w:w="4621" w:type="dxa"/>
          </w:tcPr>
          <w:p w:rsidR="0089227F" w:rsidRPr="006B142F" w:rsidRDefault="0089227F" w:rsidP="0089227F">
            <w:pPr>
              <w:pStyle w:val="Tablebodytext"/>
              <w:rPr>
                <w:rFonts w:asciiTheme="minorHAnsi" w:hAnsiTheme="minorHAnsi"/>
                <w:szCs w:val="24"/>
              </w:rPr>
            </w:pPr>
            <w:r w:rsidRPr="006B142F">
              <w:rPr>
                <w:rFonts w:asciiTheme="minorHAnsi" w:hAnsiTheme="minorHAnsi"/>
                <w:szCs w:val="24"/>
              </w:rPr>
              <w:t>Maximum monthly load (GJ/month)</w:t>
            </w:r>
          </w:p>
        </w:tc>
        <w:tc>
          <w:tcPr>
            <w:tcW w:w="4622" w:type="dxa"/>
          </w:tcPr>
          <w:p w:rsidR="0089227F" w:rsidRPr="006B142F" w:rsidRDefault="0089227F" w:rsidP="0089227F">
            <w:pPr>
              <w:pStyle w:val="Tablebodytext"/>
              <w:rPr>
                <w:rFonts w:asciiTheme="minorHAnsi" w:hAnsiTheme="minorHAnsi"/>
                <w:szCs w:val="24"/>
              </w:rPr>
            </w:pPr>
            <w:r w:rsidRPr="006B142F">
              <w:rPr>
                <w:rFonts w:asciiTheme="minorHAnsi" w:hAnsiTheme="minorHAnsi"/>
                <w:szCs w:val="24"/>
              </w:rPr>
              <w:t>Means the maximum amount  of gas entering a network, or sub-network, in a month during the disclosure year, measured in GJ</w:t>
            </w:r>
          </w:p>
        </w:tc>
      </w:tr>
      <w:tr w:rsidR="0089227F" w:rsidRPr="006B142F" w:rsidTr="00B20AEC">
        <w:trPr>
          <w:cantSplit/>
        </w:trPr>
        <w:tc>
          <w:tcPr>
            <w:tcW w:w="4621" w:type="dxa"/>
          </w:tcPr>
          <w:p w:rsidR="0089227F" w:rsidRPr="006B142F" w:rsidRDefault="0089227F" w:rsidP="0089227F">
            <w:pPr>
              <w:rPr>
                <w:rFonts w:asciiTheme="minorHAnsi" w:hAnsiTheme="minorHAnsi"/>
                <w:lang w:val="en-AU"/>
              </w:rPr>
            </w:pPr>
            <w:r w:rsidRPr="006B142F">
              <w:rPr>
                <w:rFonts w:asciiTheme="minorHAnsi" w:hAnsiTheme="minorHAnsi"/>
                <w:lang w:val="en-AU"/>
              </w:rPr>
              <w:t>Medium pressure (MP)</w:t>
            </w:r>
          </w:p>
        </w:tc>
        <w:tc>
          <w:tcPr>
            <w:tcW w:w="4622" w:type="dxa"/>
          </w:tcPr>
          <w:p w:rsidR="0089227F" w:rsidRPr="006B142F" w:rsidRDefault="0089227F" w:rsidP="0089227F">
            <w:pPr>
              <w:pStyle w:val="BodyText"/>
              <w:rPr>
                <w:rFonts w:asciiTheme="minorHAnsi" w:hAnsiTheme="minorHAnsi"/>
                <w:lang w:val="en-AU"/>
              </w:rPr>
            </w:pPr>
            <w:proofErr w:type="gramStart"/>
            <w:r w:rsidRPr="006B142F">
              <w:rPr>
                <w:rFonts w:asciiTheme="minorHAnsi" w:hAnsiTheme="minorHAnsi"/>
                <w:lang w:eastAsia="en-NZ"/>
              </w:rPr>
              <w:t>means</w:t>
            </w:r>
            <w:proofErr w:type="gramEnd"/>
            <w:r w:rsidRPr="006B142F">
              <w:rPr>
                <w:rFonts w:asciiTheme="minorHAnsi" w:hAnsiTheme="minorHAnsi"/>
                <w:lang w:eastAsia="en-NZ"/>
              </w:rPr>
              <w:t xml:space="preserve"> an operating pressure above 7 kPa but not exceeding 700 kPa.</w:t>
            </w:r>
          </w:p>
        </w:tc>
      </w:tr>
      <w:tr w:rsidR="0089227F" w:rsidRPr="006B142F" w:rsidTr="00B20AEC">
        <w:trPr>
          <w:cantSplit/>
        </w:trPr>
        <w:tc>
          <w:tcPr>
            <w:tcW w:w="4621" w:type="dxa"/>
          </w:tcPr>
          <w:p w:rsidR="0089227F" w:rsidRPr="006B142F" w:rsidRDefault="0089227F" w:rsidP="0089227F">
            <w:pPr>
              <w:pStyle w:val="BodyText"/>
              <w:spacing w:line="264" w:lineRule="auto"/>
              <w:rPr>
                <w:rFonts w:asciiTheme="minorHAnsi" w:hAnsiTheme="minorHAnsi" w:cs="Arial"/>
                <w:bCs/>
                <w:lang w:eastAsia="en-NZ"/>
              </w:rPr>
            </w:pPr>
            <w:r w:rsidRPr="006B142F">
              <w:rPr>
                <w:rFonts w:asciiTheme="minorHAnsi" w:hAnsiTheme="minorHAnsi" w:cs="Arial"/>
                <w:bCs/>
                <w:lang w:eastAsia="en-NZ"/>
              </w:rPr>
              <w:t>Merger and acquisition expenses</w:t>
            </w:r>
          </w:p>
        </w:tc>
        <w:tc>
          <w:tcPr>
            <w:tcW w:w="4622" w:type="dxa"/>
          </w:tcPr>
          <w:p w:rsidR="0089227F" w:rsidRPr="006B142F" w:rsidRDefault="0089227F" w:rsidP="0089227F">
            <w:pPr>
              <w:tabs>
                <w:tab w:val="left" w:pos="4045"/>
              </w:tabs>
              <w:spacing w:line="264" w:lineRule="auto"/>
              <w:rPr>
                <w:rFonts w:asciiTheme="minorHAnsi" w:hAnsiTheme="minorHAnsi" w:cs="Arial"/>
                <w:lang w:eastAsia="en-NZ"/>
              </w:rPr>
            </w:pPr>
            <w:r w:rsidRPr="006B142F">
              <w:rPr>
                <w:rFonts w:asciiTheme="minorHAnsi" w:hAnsiTheme="minorHAnsi" w:cs="Arial"/>
                <w:lang w:eastAsia="en-NZ"/>
              </w:rPr>
              <w:t>means expenditure related to merger and acquisition activities irrespective of the outcome of the merger or acquisition, but proportionate to the extent the benefits of the merger or acquisition would relate to gas distribution services where the expected benefits to gas distribution services from the merger or acquisition have been disclosed</w:t>
            </w:r>
          </w:p>
        </w:tc>
      </w:tr>
      <w:tr w:rsidR="0089227F" w:rsidRPr="006B142F" w:rsidTr="00B20AEC">
        <w:trPr>
          <w:cantSplit/>
        </w:trPr>
        <w:tc>
          <w:tcPr>
            <w:tcW w:w="4621" w:type="dxa"/>
          </w:tcPr>
          <w:p w:rsidR="0089227F" w:rsidRPr="006B142F" w:rsidRDefault="0089227F" w:rsidP="0089227F">
            <w:pPr>
              <w:pStyle w:val="BodyText"/>
              <w:spacing w:line="264" w:lineRule="auto"/>
              <w:rPr>
                <w:rFonts w:asciiTheme="minorHAnsi" w:hAnsiTheme="minorHAnsi" w:cs="Arial"/>
                <w:bCs/>
                <w:lang w:eastAsia="en-NZ"/>
              </w:rPr>
            </w:pPr>
            <w:r w:rsidRPr="006B142F">
              <w:rPr>
                <w:rFonts w:asciiTheme="minorHAnsi" w:hAnsiTheme="minorHAnsi" w:cs="Arial"/>
                <w:bCs/>
                <w:lang w:eastAsia="en-NZ"/>
              </w:rPr>
              <w:t>Mid-point estimate of post tax WACC</w:t>
            </w:r>
          </w:p>
        </w:tc>
        <w:tc>
          <w:tcPr>
            <w:tcW w:w="4622" w:type="dxa"/>
          </w:tcPr>
          <w:p w:rsidR="0089227F" w:rsidRPr="006B142F" w:rsidRDefault="0089227F" w:rsidP="0089227F">
            <w:pPr>
              <w:tabs>
                <w:tab w:val="left" w:pos="4045"/>
              </w:tabs>
              <w:spacing w:line="264" w:lineRule="auto"/>
              <w:rPr>
                <w:rFonts w:asciiTheme="minorHAnsi" w:hAnsiTheme="minorHAnsi" w:cs="Arial"/>
                <w:lang w:eastAsia="en-NZ"/>
              </w:rPr>
            </w:pPr>
            <w:r w:rsidRPr="006B142F">
              <w:rPr>
                <w:rFonts w:asciiTheme="minorHAnsi" w:hAnsiTheme="minorHAnsi" w:cs="Arial"/>
                <w:lang w:eastAsia="en-NZ"/>
              </w:rPr>
              <w:t xml:space="preserve">means the mid-point estimate of vanilla WACC for the 5 year period commencing on the first day of the disclosure year determined by the </w:t>
            </w:r>
            <w:r w:rsidRPr="006B142F">
              <w:rPr>
                <w:rFonts w:asciiTheme="minorHAnsi" w:hAnsiTheme="minorHAnsi" w:cs="Arial"/>
                <w:bCs/>
                <w:lang w:eastAsia="en-NZ"/>
              </w:rPr>
              <w:t>Commission</w:t>
            </w:r>
            <w:r w:rsidRPr="006B142F">
              <w:rPr>
                <w:rFonts w:asciiTheme="minorHAnsi" w:hAnsiTheme="minorHAnsi" w:cs="Arial"/>
                <w:lang w:eastAsia="en-NZ"/>
              </w:rPr>
              <w:t xml:space="preserve"> in accordance with subpart 4 of part 2 of the </w:t>
            </w:r>
            <w:r w:rsidRPr="006B142F">
              <w:rPr>
                <w:rFonts w:asciiTheme="minorHAnsi" w:hAnsiTheme="minorHAnsi" w:cs="Arial"/>
                <w:bCs/>
                <w:lang w:eastAsia="en-NZ"/>
              </w:rPr>
              <w:t>IM determination</w:t>
            </w:r>
          </w:p>
        </w:tc>
      </w:tr>
      <w:tr w:rsidR="0089227F" w:rsidRPr="006B142F" w:rsidTr="00B20AEC">
        <w:trPr>
          <w:cantSplit/>
        </w:trPr>
        <w:tc>
          <w:tcPr>
            <w:tcW w:w="4621" w:type="dxa"/>
          </w:tcPr>
          <w:p w:rsidR="0089227F" w:rsidRPr="006B142F" w:rsidRDefault="0089227F" w:rsidP="0089227F">
            <w:pPr>
              <w:pStyle w:val="BodyText"/>
              <w:spacing w:line="264" w:lineRule="auto"/>
              <w:rPr>
                <w:rFonts w:asciiTheme="minorHAnsi" w:hAnsiTheme="minorHAnsi" w:cs="Arial"/>
                <w:bCs/>
                <w:lang w:eastAsia="en-NZ"/>
              </w:rPr>
            </w:pPr>
            <w:r w:rsidRPr="006B142F">
              <w:rPr>
                <w:rFonts w:asciiTheme="minorHAnsi" w:hAnsiTheme="minorHAnsi" w:cs="Arial"/>
                <w:bCs/>
                <w:lang w:eastAsia="en-NZ"/>
              </w:rPr>
              <w:t>Mid-point estimate of post tax WACC</w:t>
            </w:r>
          </w:p>
        </w:tc>
        <w:tc>
          <w:tcPr>
            <w:tcW w:w="4622" w:type="dxa"/>
          </w:tcPr>
          <w:p w:rsidR="0089227F" w:rsidRPr="006B142F" w:rsidRDefault="0089227F" w:rsidP="0089227F">
            <w:pPr>
              <w:tabs>
                <w:tab w:val="left" w:pos="4045"/>
              </w:tabs>
              <w:spacing w:line="264" w:lineRule="auto"/>
              <w:rPr>
                <w:rFonts w:asciiTheme="minorHAnsi" w:hAnsiTheme="minorHAnsi" w:cs="Arial"/>
                <w:lang w:eastAsia="en-NZ"/>
              </w:rPr>
            </w:pPr>
            <w:r w:rsidRPr="006B142F">
              <w:rPr>
                <w:rFonts w:asciiTheme="minorHAnsi" w:hAnsiTheme="minorHAnsi" w:cs="Arial"/>
                <w:lang w:eastAsia="en-NZ"/>
              </w:rPr>
              <w:t xml:space="preserve">means the mid-point estimate of post tax WACC for the 5 year period commencing on the first day of the disclosure year determined by the </w:t>
            </w:r>
            <w:r w:rsidRPr="006B142F">
              <w:rPr>
                <w:rFonts w:asciiTheme="minorHAnsi" w:hAnsiTheme="minorHAnsi" w:cs="Arial"/>
                <w:bCs/>
                <w:lang w:eastAsia="en-NZ"/>
              </w:rPr>
              <w:t>Commission</w:t>
            </w:r>
            <w:r w:rsidRPr="006B142F">
              <w:rPr>
                <w:rFonts w:asciiTheme="minorHAnsi" w:hAnsiTheme="minorHAnsi" w:cs="Arial"/>
                <w:lang w:eastAsia="en-NZ"/>
              </w:rPr>
              <w:t xml:space="preserve"> in accordance with subpart 4 of part 2 of the </w:t>
            </w:r>
            <w:r w:rsidRPr="006B142F">
              <w:rPr>
                <w:rFonts w:asciiTheme="minorHAnsi" w:hAnsiTheme="minorHAnsi" w:cs="Arial"/>
                <w:bCs/>
                <w:lang w:eastAsia="en-NZ"/>
              </w:rPr>
              <w:t>IM determination</w:t>
            </w:r>
          </w:p>
        </w:tc>
      </w:tr>
      <w:tr w:rsidR="0089227F" w:rsidRPr="006B142F" w:rsidTr="00B20AEC">
        <w:trPr>
          <w:cantSplit/>
        </w:trPr>
        <w:tc>
          <w:tcPr>
            <w:tcW w:w="4621" w:type="dxa"/>
          </w:tcPr>
          <w:p w:rsidR="0089227F" w:rsidRPr="006B142F" w:rsidRDefault="0089227F" w:rsidP="0089227F">
            <w:pPr>
              <w:pStyle w:val="Tablebodytext"/>
              <w:rPr>
                <w:rFonts w:asciiTheme="minorHAnsi" w:hAnsiTheme="minorHAnsi" w:cs="Times New Roman"/>
                <w:szCs w:val="24"/>
                <w:lang w:val="en-AU"/>
              </w:rPr>
            </w:pPr>
            <w:r w:rsidRPr="006B142F">
              <w:rPr>
                <w:rFonts w:asciiTheme="minorHAnsi" w:hAnsiTheme="minorHAnsi" w:cs="Times New Roman"/>
                <w:szCs w:val="24"/>
                <w:lang w:val="en-AU"/>
              </w:rPr>
              <w:t>Monitoring system</w:t>
            </w:r>
          </w:p>
        </w:tc>
        <w:tc>
          <w:tcPr>
            <w:tcW w:w="4622" w:type="dxa"/>
          </w:tcPr>
          <w:p w:rsidR="0089227F" w:rsidRPr="006B142F" w:rsidRDefault="0089227F" w:rsidP="0089227F">
            <w:pPr>
              <w:pStyle w:val="Tablebodytext"/>
              <w:rPr>
                <w:rFonts w:asciiTheme="minorHAnsi" w:hAnsiTheme="minorHAnsi"/>
                <w:szCs w:val="24"/>
              </w:rPr>
            </w:pPr>
            <w:proofErr w:type="gramStart"/>
            <w:r w:rsidRPr="006B142F">
              <w:rPr>
                <w:rFonts w:asciiTheme="minorHAnsi" w:hAnsiTheme="minorHAnsi"/>
                <w:szCs w:val="24"/>
                <w:lang w:val="en-AU"/>
              </w:rPr>
              <w:t>means</w:t>
            </w:r>
            <w:proofErr w:type="gramEnd"/>
            <w:r w:rsidRPr="006B142F">
              <w:rPr>
                <w:rFonts w:asciiTheme="minorHAnsi" w:hAnsiTheme="minorHAnsi"/>
                <w:szCs w:val="24"/>
                <w:lang w:val="en-AU"/>
              </w:rPr>
              <w:t xml:space="preserve"> a system, including relocatable devices, that monitors the operating state of a network.</w:t>
            </w:r>
          </w:p>
        </w:tc>
      </w:tr>
      <w:tr w:rsidR="0089227F" w:rsidRPr="006B142F" w:rsidTr="00B20AEC">
        <w:trPr>
          <w:cantSplit/>
        </w:trPr>
        <w:tc>
          <w:tcPr>
            <w:tcW w:w="4621" w:type="dxa"/>
          </w:tcPr>
          <w:p w:rsidR="0089227F" w:rsidRPr="006B142F" w:rsidRDefault="0089227F" w:rsidP="0089227F">
            <w:pPr>
              <w:pStyle w:val="BodyText"/>
              <w:spacing w:line="264" w:lineRule="auto"/>
              <w:rPr>
                <w:rFonts w:asciiTheme="minorHAnsi" w:hAnsiTheme="minorHAnsi" w:cs="Arial"/>
                <w:bCs/>
                <w:lang w:eastAsia="en-NZ"/>
              </w:rPr>
            </w:pPr>
            <w:r w:rsidRPr="006B142F">
              <w:rPr>
                <w:rFonts w:asciiTheme="minorHAnsi" w:hAnsiTheme="minorHAnsi" w:cs="Arial"/>
                <w:bCs/>
                <w:lang w:eastAsia="en-NZ"/>
              </w:rPr>
              <w:t>Name of related party</w:t>
            </w:r>
          </w:p>
        </w:tc>
        <w:tc>
          <w:tcPr>
            <w:tcW w:w="4622" w:type="dxa"/>
          </w:tcPr>
          <w:p w:rsidR="0089227F" w:rsidRPr="006B142F" w:rsidRDefault="0089227F" w:rsidP="0089227F">
            <w:pPr>
              <w:tabs>
                <w:tab w:val="left" w:pos="4045"/>
              </w:tabs>
              <w:spacing w:line="264" w:lineRule="auto"/>
              <w:ind w:left="34"/>
              <w:rPr>
                <w:rFonts w:asciiTheme="minorHAnsi" w:hAnsiTheme="minorHAnsi"/>
              </w:rPr>
            </w:pPr>
            <w:r w:rsidRPr="006B142F">
              <w:rPr>
                <w:rFonts w:asciiTheme="minorHAnsi" w:hAnsiTheme="minorHAnsi" w:cs="Arial"/>
                <w:lang w:eastAsia="en-NZ"/>
              </w:rPr>
              <w:t>means either the legal name of the related party that has entered into a transaction with the GDB or 'inter-company' where the transaction is between the regulated and unregulated parts of the GDB</w:t>
            </w:r>
          </w:p>
        </w:tc>
      </w:tr>
      <w:tr w:rsidR="0089227F" w:rsidRPr="006B142F" w:rsidTr="00B20AEC">
        <w:trPr>
          <w:cantSplit/>
        </w:trPr>
        <w:tc>
          <w:tcPr>
            <w:tcW w:w="4621" w:type="dxa"/>
          </w:tcPr>
          <w:p w:rsidR="0089227F" w:rsidRPr="006B142F" w:rsidRDefault="0089227F" w:rsidP="0089227F">
            <w:pPr>
              <w:pStyle w:val="BodyText"/>
              <w:spacing w:line="264" w:lineRule="auto"/>
              <w:rPr>
                <w:rFonts w:asciiTheme="minorHAnsi" w:hAnsiTheme="minorHAnsi" w:cs="Arial"/>
                <w:bCs/>
                <w:lang w:eastAsia="en-NZ"/>
              </w:rPr>
            </w:pPr>
            <w:r w:rsidRPr="006B142F">
              <w:rPr>
                <w:rFonts w:asciiTheme="minorHAnsi" w:hAnsiTheme="minorHAnsi" w:cs="Arial"/>
                <w:bCs/>
                <w:lang w:eastAsia="en-NZ"/>
              </w:rPr>
              <w:t>Net incremental rolling incentive scheme</w:t>
            </w:r>
          </w:p>
        </w:tc>
        <w:tc>
          <w:tcPr>
            <w:tcW w:w="4622" w:type="dxa"/>
          </w:tcPr>
          <w:p w:rsidR="0089227F" w:rsidRPr="006B142F" w:rsidRDefault="0089227F" w:rsidP="0089227F">
            <w:pPr>
              <w:spacing w:line="264" w:lineRule="auto"/>
              <w:rPr>
                <w:rFonts w:asciiTheme="minorHAnsi" w:hAnsiTheme="minorHAnsi" w:cs="Arial"/>
                <w:lang w:eastAsia="en-NZ"/>
              </w:rPr>
            </w:pPr>
            <w:r w:rsidRPr="006B142F">
              <w:rPr>
                <w:rFonts w:asciiTheme="minorHAnsi" w:hAnsiTheme="minorHAnsi" w:cs="Arial"/>
                <w:lang w:eastAsia="en-NZ"/>
              </w:rPr>
              <w:t>means the sum of previous years incremental gain/loss from the 5 disclosure years preceding the current disclosure year</w:t>
            </w:r>
          </w:p>
        </w:tc>
      </w:tr>
      <w:tr w:rsidR="0089227F" w:rsidRPr="006B142F" w:rsidTr="00B20AEC">
        <w:trPr>
          <w:cantSplit/>
        </w:trPr>
        <w:tc>
          <w:tcPr>
            <w:tcW w:w="4621" w:type="dxa"/>
          </w:tcPr>
          <w:p w:rsidR="0089227F" w:rsidRPr="006B142F" w:rsidRDefault="0089227F" w:rsidP="0089227F">
            <w:pPr>
              <w:pStyle w:val="BodyText"/>
              <w:spacing w:line="264" w:lineRule="auto"/>
              <w:rPr>
                <w:rFonts w:asciiTheme="minorHAnsi" w:hAnsiTheme="minorHAnsi" w:cs="Arial"/>
                <w:bCs/>
                <w:lang w:eastAsia="en-NZ"/>
              </w:rPr>
            </w:pPr>
            <w:r w:rsidRPr="006B142F">
              <w:rPr>
                <w:rFonts w:asciiTheme="minorHAnsi" w:hAnsiTheme="minorHAnsi" w:cs="Arial"/>
                <w:bCs/>
                <w:lang w:eastAsia="en-NZ"/>
              </w:rPr>
              <w:t>Net recoverable costs allowed under incremental rolling incentive scheme</w:t>
            </w:r>
          </w:p>
        </w:tc>
        <w:tc>
          <w:tcPr>
            <w:tcW w:w="4622" w:type="dxa"/>
          </w:tcPr>
          <w:p w:rsidR="0089227F" w:rsidRPr="006B142F" w:rsidRDefault="0089227F" w:rsidP="0089227F">
            <w:pPr>
              <w:spacing w:line="264" w:lineRule="auto"/>
              <w:rPr>
                <w:rFonts w:asciiTheme="minorHAnsi" w:hAnsiTheme="minorHAnsi" w:cs="Arial"/>
                <w:lang w:eastAsia="en-NZ"/>
              </w:rPr>
            </w:pPr>
            <w:r w:rsidRPr="006B142F">
              <w:rPr>
                <w:rFonts w:asciiTheme="minorHAnsi" w:hAnsiTheme="minorHAnsi" w:cs="Arial"/>
                <w:lang w:eastAsia="en-NZ"/>
              </w:rPr>
              <w:t>means, where:</w:t>
            </w:r>
          </w:p>
          <w:p w:rsidR="0089227F" w:rsidRPr="006B142F" w:rsidRDefault="0089227F" w:rsidP="0089227F">
            <w:pPr>
              <w:spacing w:line="264" w:lineRule="auto"/>
              <w:ind w:left="459" w:hanging="459"/>
              <w:rPr>
                <w:rFonts w:asciiTheme="minorHAnsi" w:hAnsiTheme="minorHAnsi" w:cs="Arial"/>
                <w:lang w:eastAsia="en-NZ"/>
              </w:rPr>
            </w:pPr>
            <w:r w:rsidRPr="006B142F">
              <w:rPr>
                <w:rFonts w:asciiTheme="minorHAnsi" w:hAnsiTheme="minorHAnsi" w:cs="Arial"/>
                <w:lang w:eastAsia="en-NZ"/>
              </w:rPr>
              <w:t>(a)</w:t>
            </w:r>
            <w:r w:rsidRPr="006B142F">
              <w:rPr>
                <w:rFonts w:asciiTheme="minorHAnsi" w:hAnsiTheme="minorHAnsi" w:cs="Arial"/>
                <w:lang w:eastAsia="en-NZ"/>
              </w:rPr>
              <w:tab/>
              <w:t>net incremental rolling incentive scheme is positive, net incremental rolling incentive scheme;</w:t>
            </w:r>
          </w:p>
          <w:p w:rsidR="0089227F" w:rsidRPr="006B142F" w:rsidRDefault="0089227F" w:rsidP="0089227F">
            <w:pPr>
              <w:spacing w:line="264" w:lineRule="auto"/>
              <w:ind w:left="459" w:hanging="459"/>
              <w:rPr>
                <w:rFonts w:asciiTheme="minorHAnsi" w:hAnsiTheme="minorHAnsi" w:cs="Arial"/>
                <w:lang w:eastAsia="en-NZ"/>
              </w:rPr>
            </w:pPr>
            <w:r w:rsidRPr="006B142F">
              <w:rPr>
                <w:rFonts w:asciiTheme="minorHAnsi" w:hAnsiTheme="minorHAnsi" w:cs="Arial"/>
                <w:lang w:eastAsia="en-NZ"/>
              </w:rPr>
              <w:t>(b)</w:t>
            </w:r>
            <w:r w:rsidRPr="006B142F">
              <w:rPr>
                <w:rFonts w:asciiTheme="minorHAnsi" w:hAnsiTheme="minorHAnsi" w:cs="Arial"/>
                <w:lang w:eastAsia="en-NZ"/>
              </w:rPr>
              <w:tab/>
              <w:t>net incremental rolling incentive scheme is nil or negative, nil</w:t>
            </w:r>
          </w:p>
        </w:tc>
      </w:tr>
      <w:tr w:rsidR="0089227F" w:rsidRPr="006B142F" w:rsidTr="00B20AEC">
        <w:trPr>
          <w:cantSplit/>
        </w:trPr>
        <w:tc>
          <w:tcPr>
            <w:tcW w:w="4621" w:type="dxa"/>
          </w:tcPr>
          <w:p w:rsidR="0089227F" w:rsidRPr="006B142F" w:rsidRDefault="0089227F" w:rsidP="0089227F">
            <w:pPr>
              <w:pStyle w:val="BodyText"/>
              <w:spacing w:line="264" w:lineRule="auto"/>
              <w:rPr>
                <w:rFonts w:asciiTheme="minorHAnsi" w:hAnsiTheme="minorHAnsi" w:cs="Arial"/>
                <w:bCs/>
                <w:lang w:eastAsia="en-NZ"/>
              </w:rPr>
            </w:pPr>
            <w:r w:rsidRPr="006B142F">
              <w:rPr>
                <w:rFonts w:asciiTheme="minorHAnsi" w:hAnsiTheme="minorHAnsi"/>
              </w:rPr>
              <w:t>Network support</w:t>
            </w:r>
          </w:p>
        </w:tc>
        <w:tc>
          <w:tcPr>
            <w:tcW w:w="4622" w:type="dxa"/>
          </w:tcPr>
          <w:p w:rsidR="0089227F" w:rsidRPr="006B142F" w:rsidRDefault="0089227F" w:rsidP="0089227F">
            <w:pPr>
              <w:spacing w:line="264" w:lineRule="auto"/>
              <w:rPr>
                <w:rFonts w:asciiTheme="minorHAnsi" w:hAnsiTheme="minorHAnsi"/>
              </w:rPr>
            </w:pPr>
            <w:r w:rsidRPr="006B142F">
              <w:rPr>
                <w:rFonts w:asciiTheme="minorHAnsi" w:hAnsiTheme="minorHAnsi"/>
              </w:rPr>
              <w:t>means operational expenditure where the primary driver is the management of the network including:</w:t>
            </w:r>
          </w:p>
          <w:p w:rsidR="0089227F" w:rsidRPr="006B142F" w:rsidRDefault="0089227F" w:rsidP="0089227F">
            <w:pPr>
              <w:pStyle w:val="Bullet"/>
              <w:numPr>
                <w:ilvl w:val="0"/>
                <w:numId w:val="23"/>
              </w:numPr>
              <w:tabs>
                <w:tab w:val="num" w:pos="317"/>
              </w:tabs>
              <w:spacing w:before="60" w:after="60" w:line="264" w:lineRule="auto"/>
              <w:ind w:left="318" w:hanging="318"/>
              <w:rPr>
                <w:rFonts w:asciiTheme="minorHAnsi" w:hAnsiTheme="minorHAnsi"/>
              </w:rPr>
            </w:pPr>
            <w:r w:rsidRPr="006B142F">
              <w:rPr>
                <w:rFonts w:asciiTheme="minorHAnsi" w:hAnsiTheme="minorHAnsi"/>
              </w:rPr>
              <w:t>asset management planning including preparation of the AMP, load forecasting, network modelling</w:t>
            </w:r>
          </w:p>
          <w:p w:rsidR="0089227F" w:rsidRPr="006B142F" w:rsidRDefault="0089227F" w:rsidP="0089227F">
            <w:pPr>
              <w:pStyle w:val="Bullet"/>
              <w:numPr>
                <w:ilvl w:val="0"/>
                <w:numId w:val="23"/>
              </w:numPr>
              <w:tabs>
                <w:tab w:val="num" w:pos="317"/>
              </w:tabs>
              <w:spacing w:before="60" w:after="60" w:line="264" w:lineRule="auto"/>
              <w:ind w:left="318" w:hanging="318"/>
              <w:rPr>
                <w:rFonts w:asciiTheme="minorHAnsi" w:hAnsiTheme="minorHAnsi"/>
              </w:rPr>
            </w:pPr>
            <w:r w:rsidRPr="006B142F">
              <w:rPr>
                <w:rFonts w:asciiTheme="minorHAnsi" w:hAnsiTheme="minorHAnsi"/>
              </w:rPr>
              <w:t>network and engineering design (excluding design costs capitalised for capital projects)</w:t>
            </w:r>
          </w:p>
          <w:p w:rsidR="0089227F" w:rsidRPr="006B142F" w:rsidRDefault="0089227F" w:rsidP="0089227F">
            <w:pPr>
              <w:pStyle w:val="Bullet"/>
              <w:numPr>
                <w:ilvl w:val="0"/>
                <w:numId w:val="23"/>
              </w:numPr>
              <w:tabs>
                <w:tab w:val="num" w:pos="317"/>
              </w:tabs>
              <w:spacing w:before="60" w:after="60" w:line="264" w:lineRule="auto"/>
              <w:ind w:left="318" w:hanging="318"/>
              <w:rPr>
                <w:rFonts w:asciiTheme="minorHAnsi" w:hAnsiTheme="minorHAnsi"/>
              </w:rPr>
            </w:pPr>
            <w:r w:rsidRPr="006B142F">
              <w:rPr>
                <w:rFonts w:asciiTheme="minorHAnsi" w:hAnsiTheme="minorHAnsi"/>
              </w:rPr>
              <w:t xml:space="preserve">network policy development  (including the development of environmental, technical and engineering policies) </w:t>
            </w:r>
          </w:p>
          <w:p w:rsidR="0089227F" w:rsidRPr="006B142F" w:rsidRDefault="0089227F" w:rsidP="0089227F">
            <w:pPr>
              <w:pStyle w:val="Bullet"/>
              <w:numPr>
                <w:ilvl w:val="0"/>
                <w:numId w:val="23"/>
              </w:numPr>
              <w:tabs>
                <w:tab w:val="num" w:pos="317"/>
              </w:tabs>
              <w:spacing w:before="60" w:after="60" w:line="264" w:lineRule="auto"/>
              <w:ind w:left="318" w:hanging="318"/>
              <w:rPr>
                <w:rFonts w:asciiTheme="minorHAnsi" w:hAnsiTheme="minorHAnsi"/>
              </w:rPr>
            </w:pPr>
            <w:r w:rsidRPr="006B142F">
              <w:rPr>
                <w:rFonts w:asciiTheme="minorHAnsi" w:hAnsiTheme="minorHAnsi"/>
              </w:rPr>
              <w:t>standards and manuals for network management</w:t>
            </w:r>
          </w:p>
          <w:p w:rsidR="0089227F" w:rsidRPr="006B142F" w:rsidRDefault="0089227F" w:rsidP="0089227F">
            <w:pPr>
              <w:pStyle w:val="Bullet"/>
              <w:numPr>
                <w:ilvl w:val="0"/>
                <w:numId w:val="23"/>
              </w:numPr>
              <w:tabs>
                <w:tab w:val="num" w:pos="317"/>
              </w:tabs>
              <w:spacing w:before="60" w:after="60" w:line="264" w:lineRule="auto"/>
              <w:ind w:left="318" w:hanging="318"/>
              <w:rPr>
                <w:rFonts w:asciiTheme="minorHAnsi" w:hAnsiTheme="minorHAnsi"/>
              </w:rPr>
            </w:pPr>
            <w:r w:rsidRPr="006B142F">
              <w:rPr>
                <w:rFonts w:asciiTheme="minorHAnsi" w:hAnsiTheme="minorHAnsi"/>
              </w:rPr>
              <w:t>network record keeping and asset management databases including GIS</w:t>
            </w:r>
          </w:p>
          <w:p w:rsidR="0089227F" w:rsidRPr="006B142F" w:rsidRDefault="0089227F" w:rsidP="0089227F">
            <w:pPr>
              <w:pStyle w:val="Bullet"/>
              <w:numPr>
                <w:ilvl w:val="0"/>
                <w:numId w:val="23"/>
              </w:numPr>
              <w:tabs>
                <w:tab w:val="num" w:pos="317"/>
              </w:tabs>
              <w:spacing w:before="60" w:after="60" w:line="264" w:lineRule="auto"/>
              <w:ind w:left="318" w:hanging="318"/>
              <w:rPr>
                <w:rFonts w:asciiTheme="minorHAnsi" w:hAnsiTheme="minorHAnsi"/>
              </w:rPr>
            </w:pPr>
            <w:r w:rsidRPr="006B142F">
              <w:rPr>
                <w:rFonts w:asciiTheme="minorHAnsi" w:hAnsiTheme="minorHAnsi"/>
              </w:rPr>
              <w:t>outage recording</w:t>
            </w:r>
          </w:p>
          <w:p w:rsidR="0089227F" w:rsidRPr="006B142F" w:rsidRDefault="0089227F" w:rsidP="0089227F">
            <w:pPr>
              <w:pStyle w:val="Bullet"/>
              <w:numPr>
                <w:ilvl w:val="0"/>
                <w:numId w:val="23"/>
              </w:numPr>
              <w:tabs>
                <w:tab w:val="num" w:pos="317"/>
              </w:tabs>
              <w:spacing w:before="60" w:after="60" w:line="264" w:lineRule="auto"/>
              <w:ind w:left="318" w:hanging="318"/>
              <w:rPr>
                <w:rFonts w:asciiTheme="minorHAnsi" w:hAnsiTheme="minorHAnsi"/>
              </w:rPr>
            </w:pPr>
            <w:r w:rsidRPr="006B142F">
              <w:rPr>
                <w:rFonts w:asciiTheme="minorHAnsi" w:hAnsiTheme="minorHAnsi"/>
              </w:rPr>
              <w:t>connection and customer records/customer management databases</w:t>
            </w:r>
          </w:p>
          <w:p w:rsidR="0089227F" w:rsidRPr="006B142F" w:rsidRDefault="0089227F" w:rsidP="0089227F">
            <w:pPr>
              <w:pStyle w:val="Bullet"/>
              <w:numPr>
                <w:ilvl w:val="0"/>
                <w:numId w:val="23"/>
              </w:numPr>
              <w:tabs>
                <w:tab w:val="num" w:pos="317"/>
              </w:tabs>
              <w:spacing w:before="60" w:after="60" w:line="264" w:lineRule="auto"/>
              <w:ind w:left="318" w:hanging="318"/>
              <w:rPr>
                <w:rFonts w:asciiTheme="minorHAnsi" w:hAnsiTheme="minorHAnsi"/>
              </w:rPr>
            </w:pPr>
            <w:r w:rsidRPr="006B142F">
              <w:rPr>
                <w:rFonts w:asciiTheme="minorHAnsi" w:hAnsiTheme="minorHAnsi"/>
              </w:rPr>
              <w:t>customer queries and call centres (not associated with direct billing)</w:t>
            </w:r>
          </w:p>
          <w:p w:rsidR="0089227F" w:rsidRPr="006B142F" w:rsidRDefault="0089227F" w:rsidP="0089227F">
            <w:pPr>
              <w:pStyle w:val="Bullet"/>
              <w:numPr>
                <w:ilvl w:val="0"/>
                <w:numId w:val="23"/>
              </w:numPr>
              <w:tabs>
                <w:tab w:val="num" w:pos="317"/>
              </w:tabs>
              <w:spacing w:before="60" w:after="60" w:line="264" w:lineRule="auto"/>
              <w:ind w:left="318" w:hanging="318"/>
              <w:rPr>
                <w:rFonts w:asciiTheme="minorHAnsi" w:hAnsiTheme="minorHAnsi"/>
              </w:rPr>
            </w:pPr>
            <w:r w:rsidRPr="006B142F">
              <w:rPr>
                <w:rFonts w:asciiTheme="minorHAnsi" w:hAnsiTheme="minorHAnsi"/>
              </w:rPr>
              <w:t>operational training for network management and field staff</w:t>
            </w:r>
          </w:p>
          <w:p w:rsidR="0089227F" w:rsidRPr="006B142F" w:rsidRDefault="0089227F" w:rsidP="0089227F">
            <w:pPr>
              <w:pStyle w:val="Bullet"/>
              <w:numPr>
                <w:ilvl w:val="0"/>
                <w:numId w:val="23"/>
              </w:numPr>
              <w:tabs>
                <w:tab w:val="num" w:pos="317"/>
              </w:tabs>
              <w:spacing w:before="60" w:after="60" w:line="264" w:lineRule="auto"/>
              <w:ind w:left="318" w:hanging="318"/>
              <w:rPr>
                <w:rFonts w:asciiTheme="minorHAnsi" w:hAnsiTheme="minorHAnsi"/>
              </w:rPr>
            </w:pPr>
            <w:r w:rsidRPr="006B142F">
              <w:rPr>
                <w:rFonts w:asciiTheme="minorHAnsi" w:hAnsiTheme="minorHAnsi"/>
              </w:rPr>
              <w:t>operational vehicles and transport</w:t>
            </w:r>
          </w:p>
          <w:p w:rsidR="0089227F" w:rsidRPr="006B142F" w:rsidRDefault="0089227F" w:rsidP="0089227F">
            <w:pPr>
              <w:pStyle w:val="Bullet"/>
              <w:numPr>
                <w:ilvl w:val="0"/>
                <w:numId w:val="23"/>
              </w:numPr>
              <w:tabs>
                <w:tab w:val="num" w:pos="317"/>
              </w:tabs>
              <w:spacing w:before="60" w:after="60" w:line="264" w:lineRule="auto"/>
              <w:ind w:left="318" w:hanging="318"/>
              <w:rPr>
                <w:rFonts w:asciiTheme="minorHAnsi" w:hAnsiTheme="minorHAnsi"/>
              </w:rPr>
            </w:pPr>
            <w:r w:rsidRPr="006B142F">
              <w:rPr>
                <w:rFonts w:asciiTheme="minorHAnsi" w:hAnsiTheme="minorHAnsi"/>
              </w:rPr>
              <w:t>IT &amp; telecoms for network management (including IT support for asset management systems)</w:t>
            </w:r>
          </w:p>
          <w:p w:rsidR="0089227F" w:rsidRPr="006B142F" w:rsidRDefault="0089227F" w:rsidP="0089227F">
            <w:pPr>
              <w:pStyle w:val="Bullet"/>
              <w:numPr>
                <w:ilvl w:val="0"/>
                <w:numId w:val="23"/>
              </w:numPr>
              <w:tabs>
                <w:tab w:val="num" w:pos="317"/>
              </w:tabs>
              <w:spacing w:before="60" w:after="60" w:line="264" w:lineRule="auto"/>
              <w:ind w:left="318" w:hanging="318"/>
              <w:rPr>
                <w:rFonts w:asciiTheme="minorHAnsi" w:hAnsiTheme="minorHAnsi"/>
              </w:rPr>
            </w:pPr>
            <w:r w:rsidRPr="006B142F">
              <w:rPr>
                <w:rFonts w:asciiTheme="minorHAnsi" w:hAnsiTheme="minorHAnsi"/>
              </w:rPr>
              <w:t>day to day customer management including responding to queries on new connections, disconnections and reconnections</w:t>
            </w:r>
          </w:p>
          <w:p w:rsidR="0089227F" w:rsidRPr="006B142F" w:rsidRDefault="0089227F" w:rsidP="0089227F">
            <w:pPr>
              <w:pStyle w:val="Bullet"/>
              <w:numPr>
                <w:ilvl w:val="0"/>
                <w:numId w:val="23"/>
              </w:numPr>
              <w:tabs>
                <w:tab w:val="num" w:pos="317"/>
              </w:tabs>
              <w:spacing w:before="60" w:after="60" w:line="264" w:lineRule="auto"/>
              <w:ind w:left="318" w:hanging="318"/>
              <w:rPr>
                <w:rFonts w:asciiTheme="minorHAnsi" w:hAnsiTheme="minorHAnsi"/>
              </w:rPr>
            </w:pPr>
            <w:r w:rsidRPr="006B142F">
              <w:rPr>
                <w:rFonts w:asciiTheme="minorHAnsi" w:hAnsiTheme="minorHAnsi"/>
              </w:rPr>
              <w:t>engineering and technical consulting</w:t>
            </w:r>
          </w:p>
          <w:p w:rsidR="0089227F" w:rsidRPr="006B142F" w:rsidRDefault="0089227F" w:rsidP="0089227F">
            <w:pPr>
              <w:pStyle w:val="Bullet"/>
              <w:numPr>
                <w:ilvl w:val="0"/>
                <w:numId w:val="23"/>
              </w:numPr>
              <w:tabs>
                <w:tab w:val="num" w:pos="317"/>
              </w:tabs>
              <w:spacing w:before="60" w:after="60" w:line="264" w:lineRule="auto"/>
              <w:ind w:left="318" w:hanging="318"/>
              <w:rPr>
                <w:rFonts w:asciiTheme="minorHAnsi" w:hAnsiTheme="minorHAnsi"/>
              </w:rPr>
            </w:pPr>
            <w:r w:rsidRPr="006B142F">
              <w:rPr>
                <w:rFonts w:asciiTheme="minorHAnsi" w:hAnsiTheme="minorHAnsi"/>
              </w:rPr>
              <w:t>network planning and system studies</w:t>
            </w:r>
          </w:p>
          <w:p w:rsidR="0089227F" w:rsidRPr="006B142F" w:rsidRDefault="0089227F" w:rsidP="0089227F">
            <w:pPr>
              <w:pStyle w:val="Bullet"/>
              <w:numPr>
                <w:ilvl w:val="0"/>
                <w:numId w:val="23"/>
              </w:numPr>
              <w:tabs>
                <w:tab w:val="num" w:pos="317"/>
              </w:tabs>
              <w:spacing w:before="60" w:after="60" w:line="264" w:lineRule="auto"/>
              <w:ind w:left="318" w:hanging="318"/>
              <w:rPr>
                <w:rFonts w:asciiTheme="minorHAnsi" w:hAnsiTheme="minorHAnsi"/>
              </w:rPr>
            </w:pPr>
            <w:r w:rsidRPr="006B142F">
              <w:rPr>
                <w:rFonts w:asciiTheme="minorHAnsi" w:hAnsiTheme="minorHAnsi"/>
              </w:rPr>
              <w:t>logistics (procurement) and stores</w:t>
            </w:r>
          </w:p>
          <w:p w:rsidR="0089227F" w:rsidRPr="006B142F" w:rsidRDefault="0089227F" w:rsidP="0089227F">
            <w:pPr>
              <w:pStyle w:val="Bullet"/>
              <w:numPr>
                <w:ilvl w:val="0"/>
                <w:numId w:val="23"/>
              </w:numPr>
              <w:tabs>
                <w:tab w:val="num" w:pos="317"/>
              </w:tabs>
              <w:spacing w:before="60" w:after="60" w:line="264" w:lineRule="auto"/>
              <w:ind w:left="318" w:hanging="318"/>
              <w:rPr>
                <w:rFonts w:asciiTheme="minorHAnsi" w:hAnsiTheme="minorHAnsi"/>
              </w:rPr>
            </w:pPr>
            <w:r w:rsidRPr="006B142F">
              <w:rPr>
                <w:rFonts w:asciiTheme="minorHAnsi" w:hAnsiTheme="minorHAnsi"/>
              </w:rPr>
              <w:t>network asset site expenses and leases</w:t>
            </w:r>
          </w:p>
          <w:p w:rsidR="0089227F" w:rsidRPr="006B142F" w:rsidRDefault="0089227F" w:rsidP="0089227F">
            <w:pPr>
              <w:pStyle w:val="Bullet"/>
              <w:numPr>
                <w:ilvl w:val="0"/>
                <w:numId w:val="23"/>
              </w:numPr>
              <w:tabs>
                <w:tab w:val="num" w:pos="317"/>
              </w:tabs>
              <w:spacing w:before="60" w:after="60" w:line="264" w:lineRule="auto"/>
              <w:ind w:left="318" w:hanging="318"/>
              <w:rPr>
                <w:rFonts w:asciiTheme="minorHAnsi" w:hAnsiTheme="minorHAnsi"/>
              </w:rPr>
            </w:pPr>
            <w:r w:rsidRPr="006B142F">
              <w:rPr>
                <w:rFonts w:asciiTheme="minorHAnsi" w:hAnsiTheme="minorHAnsi"/>
              </w:rPr>
              <w:t xml:space="preserve">Route/easement management (including locating pipelines for third parties, mark cuts, stand-overs, obstructions, plans and permits) </w:t>
            </w:r>
          </w:p>
          <w:p w:rsidR="0089227F" w:rsidRPr="006B142F" w:rsidRDefault="0089227F" w:rsidP="0089227F">
            <w:pPr>
              <w:pStyle w:val="Bullet"/>
              <w:numPr>
                <w:ilvl w:val="0"/>
                <w:numId w:val="23"/>
              </w:numPr>
              <w:tabs>
                <w:tab w:val="num" w:pos="317"/>
              </w:tabs>
              <w:spacing w:before="60" w:after="60" w:line="264" w:lineRule="auto"/>
              <w:ind w:left="318" w:hanging="318"/>
              <w:rPr>
                <w:rFonts w:asciiTheme="minorHAnsi" w:hAnsiTheme="minorHAnsi"/>
              </w:rPr>
            </w:pPr>
            <w:r w:rsidRPr="006B142F">
              <w:rPr>
                <w:rFonts w:asciiTheme="minorHAnsi" w:hAnsiTheme="minorHAnsi"/>
              </w:rPr>
              <w:t>surveying of new sites to identify work requirements</w:t>
            </w:r>
          </w:p>
          <w:p w:rsidR="0089227F" w:rsidRPr="006B142F" w:rsidRDefault="0089227F" w:rsidP="0089227F">
            <w:pPr>
              <w:pStyle w:val="Bullet"/>
              <w:numPr>
                <w:ilvl w:val="0"/>
                <w:numId w:val="23"/>
              </w:numPr>
              <w:tabs>
                <w:tab w:val="num" w:pos="317"/>
              </w:tabs>
              <w:spacing w:before="60" w:after="60" w:line="264" w:lineRule="auto"/>
              <w:ind w:left="318" w:hanging="318"/>
              <w:rPr>
                <w:rFonts w:asciiTheme="minorHAnsi" w:hAnsiTheme="minorHAnsi"/>
              </w:rPr>
            </w:pPr>
            <w:r w:rsidRPr="006B142F">
              <w:rPr>
                <w:rFonts w:asciiTheme="minorHAnsi" w:hAnsiTheme="minorHAnsi"/>
              </w:rPr>
              <w:t>engineering/technical consulting services (excluding costs capitalised for capital projects)</w:t>
            </w:r>
          </w:p>
          <w:p w:rsidR="0089227F" w:rsidRPr="006B142F" w:rsidRDefault="0089227F" w:rsidP="0089227F">
            <w:pPr>
              <w:pStyle w:val="Bullet"/>
              <w:numPr>
                <w:ilvl w:val="0"/>
                <w:numId w:val="23"/>
              </w:numPr>
              <w:tabs>
                <w:tab w:val="num" w:pos="317"/>
              </w:tabs>
              <w:spacing w:before="60" w:after="60" w:line="264" w:lineRule="auto"/>
              <w:ind w:left="318" w:hanging="318"/>
              <w:rPr>
                <w:rFonts w:asciiTheme="minorHAnsi" w:hAnsiTheme="minorHAnsi"/>
              </w:rPr>
            </w:pPr>
            <w:r w:rsidRPr="006B142F">
              <w:rPr>
                <w:rFonts w:asciiTheme="minorHAnsi" w:hAnsiTheme="minorHAnsi"/>
              </w:rPr>
              <w:t>contractor/contracts management (excluding costs capitalised for capital projects)</w:t>
            </w:r>
          </w:p>
          <w:p w:rsidR="0089227F" w:rsidRPr="006B142F" w:rsidRDefault="0089227F" w:rsidP="0089227F">
            <w:pPr>
              <w:pStyle w:val="Bullet"/>
              <w:numPr>
                <w:ilvl w:val="0"/>
                <w:numId w:val="23"/>
              </w:numPr>
              <w:tabs>
                <w:tab w:val="num" w:pos="317"/>
              </w:tabs>
              <w:spacing w:before="60" w:after="60" w:line="264" w:lineRule="auto"/>
              <w:ind w:left="318" w:hanging="318"/>
              <w:rPr>
                <w:rFonts w:asciiTheme="minorHAnsi" w:hAnsiTheme="minorHAnsi"/>
              </w:rPr>
            </w:pPr>
            <w:r w:rsidRPr="006B142F">
              <w:rPr>
                <w:rFonts w:asciiTheme="minorHAnsi" w:hAnsiTheme="minorHAnsi"/>
              </w:rPr>
              <w:t>transmission operator liaison and management</w:t>
            </w:r>
          </w:p>
          <w:p w:rsidR="0089227F" w:rsidRPr="006B142F" w:rsidRDefault="0089227F" w:rsidP="0089227F">
            <w:pPr>
              <w:pStyle w:val="Bullet"/>
              <w:numPr>
                <w:ilvl w:val="0"/>
                <w:numId w:val="23"/>
              </w:numPr>
              <w:tabs>
                <w:tab w:val="num" w:pos="317"/>
              </w:tabs>
              <w:spacing w:before="60" w:after="60" w:line="264" w:lineRule="auto"/>
              <w:ind w:left="318" w:hanging="318"/>
              <w:rPr>
                <w:rFonts w:asciiTheme="minorHAnsi" w:hAnsiTheme="minorHAnsi"/>
              </w:rPr>
            </w:pPr>
            <w:r w:rsidRPr="006B142F">
              <w:rPr>
                <w:rFonts w:asciiTheme="minorHAnsi" w:hAnsiTheme="minorHAnsi"/>
              </w:rPr>
              <w:t>network related research and development</w:t>
            </w:r>
          </w:p>
        </w:tc>
      </w:tr>
      <w:tr w:rsidR="0089227F" w:rsidRPr="006B142F" w:rsidTr="00B20AEC">
        <w:trPr>
          <w:cantSplit/>
        </w:trPr>
        <w:tc>
          <w:tcPr>
            <w:tcW w:w="4621" w:type="dxa"/>
          </w:tcPr>
          <w:p w:rsidR="0089227F" w:rsidRPr="006B142F" w:rsidRDefault="0089227F" w:rsidP="0089227F">
            <w:pPr>
              <w:pStyle w:val="BodyText"/>
              <w:spacing w:line="264" w:lineRule="auto"/>
              <w:rPr>
                <w:rFonts w:asciiTheme="minorHAnsi" w:hAnsiTheme="minorHAnsi"/>
              </w:rPr>
            </w:pPr>
            <w:r w:rsidRPr="006B142F">
              <w:rPr>
                <w:rFonts w:asciiTheme="minorHAnsi" w:hAnsiTheme="minorHAnsi" w:cs="Arial"/>
                <w:bCs/>
                <w:lang w:eastAsia="en-NZ"/>
              </w:rPr>
              <w:t>New allocation</w:t>
            </w:r>
          </w:p>
        </w:tc>
        <w:tc>
          <w:tcPr>
            <w:tcW w:w="4622" w:type="dxa"/>
          </w:tcPr>
          <w:p w:rsidR="0089227F" w:rsidRPr="006B142F" w:rsidRDefault="0089227F" w:rsidP="0089227F">
            <w:pPr>
              <w:spacing w:line="264" w:lineRule="auto"/>
              <w:rPr>
                <w:rFonts w:asciiTheme="minorHAnsi" w:hAnsiTheme="minorHAnsi"/>
              </w:rPr>
            </w:pPr>
            <w:r w:rsidRPr="006B142F">
              <w:rPr>
                <w:rFonts w:asciiTheme="minorHAnsi" w:hAnsiTheme="minorHAnsi" w:cs="Arial"/>
                <w:lang w:eastAsia="en-NZ"/>
              </w:rPr>
              <w:t xml:space="preserve">means the operating costs or regulated service asset value allocated to gas distribution services in accordance with the new </w:t>
            </w:r>
            <w:proofErr w:type="spellStart"/>
            <w:r w:rsidRPr="006B142F">
              <w:rPr>
                <w:rFonts w:asciiTheme="minorHAnsi" w:hAnsiTheme="minorHAnsi" w:cs="Arial"/>
                <w:lang w:eastAsia="en-NZ"/>
              </w:rPr>
              <w:t>allocator</w:t>
            </w:r>
            <w:proofErr w:type="spellEnd"/>
            <w:r w:rsidRPr="006B142F">
              <w:rPr>
                <w:rFonts w:asciiTheme="minorHAnsi" w:hAnsiTheme="minorHAnsi" w:cs="Arial"/>
                <w:lang w:eastAsia="en-NZ"/>
              </w:rPr>
              <w:t xml:space="preserve"> and line items for each of the relevant disclosure years</w:t>
            </w:r>
          </w:p>
        </w:tc>
      </w:tr>
      <w:tr w:rsidR="0089227F" w:rsidRPr="006B142F" w:rsidTr="00B20AEC">
        <w:trPr>
          <w:cantSplit/>
        </w:trPr>
        <w:tc>
          <w:tcPr>
            <w:tcW w:w="4621" w:type="dxa"/>
          </w:tcPr>
          <w:p w:rsidR="0089227F" w:rsidRPr="006B142F" w:rsidRDefault="0089227F" w:rsidP="0089227F">
            <w:pPr>
              <w:pStyle w:val="BodyText"/>
              <w:spacing w:line="264" w:lineRule="auto"/>
              <w:rPr>
                <w:rFonts w:asciiTheme="minorHAnsi" w:hAnsiTheme="minorHAnsi" w:cs="Arial"/>
                <w:bCs/>
                <w:lang w:eastAsia="en-NZ"/>
              </w:rPr>
            </w:pPr>
            <w:r w:rsidRPr="006B142F">
              <w:rPr>
                <w:rFonts w:asciiTheme="minorHAnsi" w:hAnsiTheme="minorHAnsi" w:cs="Arial"/>
                <w:bCs/>
                <w:lang w:eastAsia="en-NZ"/>
              </w:rPr>
              <w:t xml:space="preserve">New </w:t>
            </w:r>
            <w:proofErr w:type="spellStart"/>
            <w:r w:rsidRPr="006B142F">
              <w:rPr>
                <w:rFonts w:asciiTheme="minorHAnsi" w:hAnsiTheme="minorHAnsi" w:cs="Arial"/>
                <w:bCs/>
                <w:lang w:eastAsia="en-NZ"/>
              </w:rPr>
              <w:t>allocator</w:t>
            </w:r>
            <w:proofErr w:type="spellEnd"/>
            <w:r w:rsidRPr="006B142F">
              <w:rPr>
                <w:rFonts w:asciiTheme="minorHAnsi" w:hAnsiTheme="minorHAnsi" w:cs="Arial"/>
                <w:bCs/>
                <w:lang w:eastAsia="en-NZ"/>
              </w:rPr>
              <w:t xml:space="preserve"> or line item</w:t>
            </w:r>
          </w:p>
        </w:tc>
        <w:tc>
          <w:tcPr>
            <w:tcW w:w="4622" w:type="dxa"/>
          </w:tcPr>
          <w:p w:rsidR="0089227F" w:rsidRPr="006B142F" w:rsidRDefault="0089227F" w:rsidP="0089227F">
            <w:pPr>
              <w:spacing w:line="264" w:lineRule="auto"/>
              <w:rPr>
                <w:rFonts w:asciiTheme="minorHAnsi" w:hAnsiTheme="minorHAnsi" w:cs="Arial"/>
                <w:lang w:eastAsia="en-NZ"/>
              </w:rPr>
            </w:pPr>
            <w:r w:rsidRPr="006B142F">
              <w:rPr>
                <w:rFonts w:asciiTheme="minorHAnsi" w:hAnsiTheme="minorHAnsi" w:cs="Arial"/>
                <w:lang w:eastAsia="en-NZ"/>
              </w:rPr>
              <w:t xml:space="preserve">means the </w:t>
            </w:r>
            <w:proofErr w:type="spellStart"/>
            <w:r w:rsidRPr="006B142F">
              <w:rPr>
                <w:rFonts w:asciiTheme="minorHAnsi" w:hAnsiTheme="minorHAnsi" w:cs="Arial"/>
                <w:lang w:eastAsia="en-NZ"/>
              </w:rPr>
              <w:t>allocator</w:t>
            </w:r>
            <w:proofErr w:type="spellEnd"/>
            <w:r w:rsidRPr="006B142F">
              <w:rPr>
                <w:rFonts w:asciiTheme="minorHAnsi" w:hAnsiTheme="minorHAnsi" w:cs="Arial"/>
                <w:lang w:eastAsia="en-NZ"/>
              </w:rPr>
              <w:t xml:space="preserve"> or line items that are used subsequent to the change in </w:t>
            </w:r>
            <w:proofErr w:type="spellStart"/>
            <w:r w:rsidRPr="006B142F">
              <w:rPr>
                <w:rFonts w:asciiTheme="minorHAnsi" w:hAnsiTheme="minorHAnsi" w:cs="Arial"/>
                <w:lang w:eastAsia="en-NZ"/>
              </w:rPr>
              <w:t>allocator</w:t>
            </w:r>
            <w:proofErr w:type="spellEnd"/>
            <w:r w:rsidRPr="006B142F">
              <w:rPr>
                <w:rFonts w:asciiTheme="minorHAnsi" w:hAnsiTheme="minorHAnsi" w:cs="Arial"/>
                <w:lang w:eastAsia="en-NZ"/>
              </w:rPr>
              <w:t xml:space="preserve"> or line items</w:t>
            </w:r>
          </w:p>
        </w:tc>
      </w:tr>
      <w:tr w:rsidR="0089227F" w:rsidRPr="006B142F" w:rsidTr="00B20AEC">
        <w:trPr>
          <w:cantSplit/>
        </w:trPr>
        <w:tc>
          <w:tcPr>
            <w:tcW w:w="4621" w:type="dxa"/>
          </w:tcPr>
          <w:p w:rsidR="0089227F" w:rsidRPr="006B142F" w:rsidRDefault="0089227F" w:rsidP="0089227F">
            <w:pPr>
              <w:rPr>
                <w:rFonts w:asciiTheme="minorHAnsi" w:hAnsiTheme="minorHAnsi"/>
                <w:color w:val="000000"/>
              </w:rPr>
            </w:pPr>
            <w:r w:rsidRPr="006B142F">
              <w:rPr>
                <w:rFonts w:asciiTheme="minorHAnsi" w:hAnsiTheme="minorHAnsi"/>
                <w:color w:val="000000"/>
              </w:rPr>
              <w:t>No. with default dates</w:t>
            </w:r>
          </w:p>
        </w:tc>
        <w:tc>
          <w:tcPr>
            <w:tcW w:w="4622" w:type="dxa"/>
          </w:tcPr>
          <w:p w:rsidR="0089227F" w:rsidRPr="006B142F" w:rsidRDefault="0089227F" w:rsidP="0089227F">
            <w:pPr>
              <w:pStyle w:val="BodyText"/>
              <w:rPr>
                <w:rFonts w:asciiTheme="minorHAnsi" w:hAnsiTheme="minorHAnsi"/>
              </w:rPr>
            </w:pPr>
            <w:r w:rsidRPr="006B142F">
              <w:rPr>
                <w:rFonts w:asciiTheme="minorHAnsi" w:hAnsiTheme="minorHAnsi"/>
              </w:rPr>
              <w:t>means the total quantity of assets in the prescribed asset category and asset class installed in the network at the start of the disclosure year where the original installation year is unknown and that have accordingly been allocated to a default installation year, expressed in the prescribed unit</w:t>
            </w:r>
          </w:p>
        </w:tc>
      </w:tr>
      <w:tr w:rsidR="0089227F" w:rsidRPr="006B142F" w:rsidTr="00B20AEC">
        <w:trPr>
          <w:cantSplit/>
        </w:trPr>
        <w:tc>
          <w:tcPr>
            <w:tcW w:w="4621" w:type="dxa"/>
          </w:tcPr>
          <w:p w:rsidR="0089227F" w:rsidRPr="006B142F" w:rsidRDefault="0089227F" w:rsidP="0089227F">
            <w:pPr>
              <w:pStyle w:val="BodyText"/>
              <w:spacing w:line="264" w:lineRule="auto"/>
              <w:rPr>
                <w:rFonts w:asciiTheme="minorHAnsi" w:hAnsiTheme="minorHAnsi" w:cs="Arial"/>
                <w:bCs/>
                <w:lang w:eastAsia="en-NZ"/>
              </w:rPr>
            </w:pPr>
            <w:r w:rsidRPr="006B142F">
              <w:rPr>
                <w:rFonts w:asciiTheme="minorHAnsi" w:hAnsiTheme="minorHAnsi" w:cs="Arial"/>
                <w:bCs/>
                <w:lang w:eastAsia="en-NZ"/>
              </w:rPr>
              <w:t>Non-gas distribution services</w:t>
            </w:r>
          </w:p>
        </w:tc>
        <w:tc>
          <w:tcPr>
            <w:tcW w:w="4622" w:type="dxa"/>
          </w:tcPr>
          <w:p w:rsidR="0089227F" w:rsidRPr="006B142F" w:rsidRDefault="0089227F" w:rsidP="0089227F">
            <w:pPr>
              <w:spacing w:line="264" w:lineRule="auto"/>
              <w:rPr>
                <w:rFonts w:asciiTheme="minorHAnsi" w:hAnsiTheme="minorHAnsi" w:cs="Arial"/>
                <w:lang w:eastAsia="en-NZ"/>
              </w:rPr>
            </w:pPr>
            <w:r w:rsidRPr="006B142F">
              <w:rPr>
                <w:rFonts w:asciiTheme="minorHAnsi" w:hAnsiTheme="minorHAnsi" w:cs="Arial"/>
                <w:lang w:eastAsia="en-NZ"/>
              </w:rPr>
              <w:t>means services of the GDB that are not gas distribution services</w:t>
            </w:r>
          </w:p>
        </w:tc>
      </w:tr>
      <w:tr w:rsidR="0089227F" w:rsidRPr="006B142F" w:rsidTr="00B20AEC">
        <w:trPr>
          <w:cantSplit/>
        </w:trPr>
        <w:tc>
          <w:tcPr>
            <w:tcW w:w="4621" w:type="dxa"/>
          </w:tcPr>
          <w:p w:rsidR="0089227F" w:rsidRPr="006B142F" w:rsidRDefault="0089227F" w:rsidP="0089227F">
            <w:pPr>
              <w:pStyle w:val="BodyText"/>
              <w:spacing w:line="264" w:lineRule="auto"/>
              <w:rPr>
                <w:rFonts w:asciiTheme="minorHAnsi" w:hAnsiTheme="minorHAnsi" w:cs="Arial"/>
                <w:bCs/>
                <w:lang w:eastAsia="en-NZ"/>
              </w:rPr>
            </w:pPr>
            <w:r w:rsidRPr="006B142F">
              <w:rPr>
                <w:rFonts w:asciiTheme="minorHAnsi" w:hAnsiTheme="minorHAnsi" w:cs="Arial"/>
                <w:bCs/>
                <w:lang w:eastAsia="en-NZ"/>
              </w:rPr>
              <w:t>Non-qualifying debt</w:t>
            </w:r>
          </w:p>
        </w:tc>
        <w:tc>
          <w:tcPr>
            <w:tcW w:w="4622" w:type="dxa"/>
          </w:tcPr>
          <w:p w:rsidR="0089227F" w:rsidRPr="006B142F" w:rsidRDefault="0089227F" w:rsidP="0089227F">
            <w:pPr>
              <w:spacing w:line="264" w:lineRule="auto"/>
              <w:rPr>
                <w:rFonts w:asciiTheme="minorHAnsi" w:hAnsiTheme="minorHAnsi" w:cs="Arial"/>
                <w:lang w:eastAsia="en-NZ"/>
              </w:rPr>
            </w:pPr>
            <w:r w:rsidRPr="006B142F">
              <w:rPr>
                <w:rFonts w:asciiTheme="minorHAnsi" w:hAnsiTheme="minorHAnsi" w:cs="Arial"/>
                <w:lang w:eastAsia="en-NZ"/>
              </w:rPr>
              <w:t xml:space="preserve">means interest bearing debt that is not  a </w:t>
            </w:r>
            <w:r w:rsidRPr="006B142F">
              <w:rPr>
                <w:rFonts w:asciiTheme="minorHAnsi" w:hAnsiTheme="minorHAnsi" w:cs="Arial"/>
                <w:bCs/>
                <w:lang w:eastAsia="en-NZ"/>
              </w:rPr>
              <w:t>qualifying debt</w:t>
            </w:r>
          </w:p>
        </w:tc>
      </w:tr>
      <w:tr w:rsidR="0089227F" w:rsidRPr="006B142F" w:rsidTr="00B20AEC">
        <w:trPr>
          <w:cantSplit/>
        </w:trPr>
        <w:tc>
          <w:tcPr>
            <w:tcW w:w="4621" w:type="dxa"/>
          </w:tcPr>
          <w:p w:rsidR="0089227F" w:rsidRPr="006B142F" w:rsidRDefault="0089227F" w:rsidP="0089227F">
            <w:pPr>
              <w:pStyle w:val="BodyText"/>
              <w:spacing w:line="264" w:lineRule="auto"/>
              <w:rPr>
                <w:rFonts w:asciiTheme="minorHAnsi" w:hAnsiTheme="minorHAnsi" w:cs="Arial"/>
                <w:bCs/>
                <w:lang w:eastAsia="en-NZ"/>
              </w:rPr>
            </w:pPr>
            <w:r w:rsidRPr="006B142F">
              <w:rPr>
                <w:rFonts w:asciiTheme="minorHAnsi" w:hAnsiTheme="minorHAnsi" w:cs="Arial"/>
                <w:bCs/>
                <w:lang w:eastAsia="en-NZ"/>
              </w:rPr>
              <w:t>Non-qualifying intangible assets</w:t>
            </w:r>
          </w:p>
        </w:tc>
        <w:tc>
          <w:tcPr>
            <w:tcW w:w="4622" w:type="dxa"/>
          </w:tcPr>
          <w:p w:rsidR="0089227F" w:rsidRPr="006B142F" w:rsidRDefault="0089227F" w:rsidP="0089227F">
            <w:pPr>
              <w:spacing w:line="264" w:lineRule="auto"/>
              <w:rPr>
                <w:rFonts w:asciiTheme="minorHAnsi" w:hAnsiTheme="minorHAnsi" w:cs="Arial"/>
                <w:lang w:eastAsia="en-NZ"/>
              </w:rPr>
            </w:pPr>
            <w:r w:rsidRPr="006B142F">
              <w:rPr>
                <w:rFonts w:asciiTheme="minorHAnsi" w:hAnsiTheme="minorHAnsi" w:cs="Arial"/>
                <w:lang w:eastAsia="en-NZ"/>
              </w:rPr>
              <w:t xml:space="preserve">means the value of assets identified in clause 2.2.2(d) of the </w:t>
            </w:r>
            <w:r w:rsidRPr="006B142F">
              <w:rPr>
                <w:rFonts w:asciiTheme="minorHAnsi" w:hAnsiTheme="minorHAnsi" w:cs="Arial"/>
                <w:bCs/>
                <w:lang w:eastAsia="en-NZ"/>
              </w:rPr>
              <w:t>IM determination</w:t>
            </w:r>
          </w:p>
        </w:tc>
      </w:tr>
      <w:tr w:rsidR="0089227F" w:rsidRPr="006B142F" w:rsidTr="00B20AEC">
        <w:trPr>
          <w:cantSplit/>
        </w:trPr>
        <w:tc>
          <w:tcPr>
            <w:tcW w:w="4621" w:type="dxa"/>
          </w:tcPr>
          <w:p w:rsidR="0089227F" w:rsidRPr="006B142F" w:rsidRDefault="0089227F" w:rsidP="0089227F">
            <w:pPr>
              <w:pStyle w:val="Tablebodytext"/>
              <w:rPr>
                <w:rFonts w:asciiTheme="minorHAnsi" w:hAnsiTheme="minorHAnsi"/>
                <w:szCs w:val="24"/>
              </w:rPr>
            </w:pPr>
            <w:r w:rsidRPr="006B142F">
              <w:rPr>
                <w:rFonts w:asciiTheme="minorHAnsi" w:hAnsiTheme="minorHAnsi"/>
                <w:szCs w:val="24"/>
              </w:rPr>
              <w:t>Non-standard consumer</w:t>
            </w:r>
          </w:p>
        </w:tc>
        <w:tc>
          <w:tcPr>
            <w:tcW w:w="4622" w:type="dxa"/>
          </w:tcPr>
          <w:p w:rsidR="0089227F" w:rsidRPr="006B142F" w:rsidRDefault="0089227F" w:rsidP="0089227F">
            <w:pPr>
              <w:pStyle w:val="BodyText"/>
              <w:rPr>
                <w:rFonts w:asciiTheme="minorHAnsi" w:hAnsiTheme="minorHAnsi"/>
              </w:rPr>
            </w:pPr>
            <w:r w:rsidRPr="006B142F">
              <w:rPr>
                <w:rFonts w:asciiTheme="minorHAnsi" w:hAnsiTheme="minorHAnsi"/>
              </w:rPr>
              <w:t xml:space="preserve">means any </w:t>
            </w:r>
            <w:r w:rsidRPr="006B142F">
              <w:rPr>
                <w:rFonts w:asciiTheme="minorHAnsi" w:hAnsiTheme="minorHAnsi"/>
                <w:bCs/>
              </w:rPr>
              <w:t>consumer</w:t>
            </w:r>
            <w:r w:rsidRPr="006B142F">
              <w:rPr>
                <w:rFonts w:asciiTheme="minorHAnsi" w:hAnsiTheme="minorHAnsi"/>
              </w:rPr>
              <w:t xml:space="preserve"> that is not a </w:t>
            </w:r>
            <w:r w:rsidRPr="006B142F">
              <w:rPr>
                <w:rFonts w:asciiTheme="minorHAnsi" w:hAnsiTheme="minorHAnsi"/>
                <w:bCs/>
              </w:rPr>
              <w:t>standard consumer</w:t>
            </w:r>
          </w:p>
        </w:tc>
      </w:tr>
      <w:tr w:rsidR="0089227F" w:rsidRPr="006B142F" w:rsidTr="00B20AEC">
        <w:trPr>
          <w:cantSplit/>
        </w:trPr>
        <w:tc>
          <w:tcPr>
            <w:tcW w:w="4621" w:type="dxa"/>
          </w:tcPr>
          <w:p w:rsidR="0089227F" w:rsidRPr="006B142F" w:rsidRDefault="0089227F" w:rsidP="0089227F">
            <w:pPr>
              <w:pStyle w:val="BodyText"/>
              <w:spacing w:line="264" w:lineRule="auto"/>
              <w:rPr>
                <w:rFonts w:asciiTheme="minorHAnsi" w:hAnsiTheme="minorHAnsi" w:cs="Arial"/>
                <w:bCs/>
                <w:lang w:eastAsia="en-NZ"/>
              </w:rPr>
            </w:pPr>
            <w:r w:rsidRPr="006B142F">
              <w:rPr>
                <w:rFonts w:asciiTheme="minorHAnsi" w:hAnsiTheme="minorHAnsi" w:cs="Arial"/>
                <w:bCs/>
                <w:lang w:eastAsia="en-NZ"/>
              </w:rPr>
              <w:t>Notional deductible interest</w:t>
            </w:r>
          </w:p>
        </w:tc>
        <w:tc>
          <w:tcPr>
            <w:tcW w:w="4622" w:type="dxa"/>
          </w:tcPr>
          <w:p w:rsidR="0089227F" w:rsidRPr="006B142F" w:rsidRDefault="0089227F" w:rsidP="0089227F">
            <w:pPr>
              <w:tabs>
                <w:tab w:val="left" w:pos="4045"/>
              </w:tabs>
              <w:spacing w:line="264" w:lineRule="auto"/>
              <w:ind w:left="34"/>
              <w:rPr>
                <w:rFonts w:asciiTheme="minorHAnsi" w:hAnsiTheme="minorHAnsi" w:cs="Arial"/>
                <w:lang w:eastAsia="en-NZ"/>
              </w:rPr>
            </w:pPr>
            <w:r w:rsidRPr="006B142F">
              <w:rPr>
                <w:rFonts w:asciiTheme="minorHAnsi" w:hAnsiTheme="minorHAnsi" w:cs="Arial"/>
                <w:lang w:eastAsia="en-NZ"/>
              </w:rPr>
              <w:t xml:space="preserve">has the meaning set out in clause 2.3.4(2) of the </w:t>
            </w:r>
            <w:r w:rsidRPr="006B142F">
              <w:rPr>
                <w:rFonts w:asciiTheme="minorHAnsi" w:hAnsiTheme="minorHAnsi" w:cs="Arial"/>
                <w:bCs/>
                <w:lang w:eastAsia="en-NZ"/>
              </w:rPr>
              <w:t>IM determination</w:t>
            </w:r>
          </w:p>
        </w:tc>
      </w:tr>
      <w:tr w:rsidR="0089227F" w:rsidRPr="006B142F" w:rsidTr="00B20AEC">
        <w:trPr>
          <w:cantSplit/>
        </w:trPr>
        <w:tc>
          <w:tcPr>
            <w:tcW w:w="4621" w:type="dxa"/>
          </w:tcPr>
          <w:p w:rsidR="0089227F" w:rsidRPr="006B142F" w:rsidRDefault="0089227F" w:rsidP="0089227F">
            <w:pPr>
              <w:pStyle w:val="BodyText"/>
              <w:spacing w:line="264" w:lineRule="auto"/>
              <w:rPr>
                <w:rFonts w:asciiTheme="minorHAnsi" w:hAnsiTheme="minorHAnsi"/>
              </w:rPr>
            </w:pPr>
            <w:r w:rsidRPr="006B142F">
              <w:rPr>
                <w:rFonts w:asciiTheme="minorHAnsi" w:hAnsiTheme="minorHAnsi" w:cs="Arial"/>
                <w:bCs/>
                <w:lang w:eastAsia="en-NZ"/>
              </w:rPr>
              <w:t>Notional interest tax shield</w:t>
            </w:r>
          </w:p>
        </w:tc>
        <w:tc>
          <w:tcPr>
            <w:tcW w:w="4622" w:type="dxa"/>
          </w:tcPr>
          <w:p w:rsidR="0089227F" w:rsidRPr="006B142F" w:rsidRDefault="0089227F" w:rsidP="0089227F">
            <w:pPr>
              <w:spacing w:line="264" w:lineRule="auto"/>
              <w:rPr>
                <w:rFonts w:asciiTheme="minorHAnsi" w:hAnsiTheme="minorHAnsi"/>
              </w:rPr>
            </w:pPr>
            <w:r w:rsidRPr="006B142F">
              <w:rPr>
                <w:rFonts w:asciiTheme="minorHAnsi" w:hAnsiTheme="minorHAnsi" w:cs="Arial"/>
                <w:lang w:eastAsia="en-NZ"/>
              </w:rPr>
              <w:t xml:space="preserve">means the product of </w:t>
            </w:r>
            <w:r w:rsidRPr="006B142F">
              <w:rPr>
                <w:rFonts w:asciiTheme="minorHAnsi" w:hAnsiTheme="minorHAnsi" w:cs="Arial"/>
                <w:bCs/>
                <w:lang w:eastAsia="en-NZ"/>
              </w:rPr>
              <w:t xml:space="preserve">notional </w:t>
            </w:r>
            <w:proofErr w:type="spellStart"/>
            <w:r w:rsidRPr="006B142F">
              <w:rPr>
                <w:rFonts w:asciiTheme="minorHAnsi" w:hAnsiTheme="minorHAnsi" w:cs="Arial"/>
                <w:bCs/>
                <w:lang w:eastAsia="en-NZ"/>
              </w:rPr>
              <w:t>deductable</w:t>
            </w:r>
            <w:proofErr w:type="spellEnd"/>
            <w:r w:rsidRPr="006B142F">
              <w:rPr>
                <w:rFonts w:asciiTheme="minorHAnsi" w:hAnsiTheme="minorHAnsi" w:cs="Arial"/>
                <w:bCs/>
                <w:lang w:eastAsia="en-NZ"/>
              </w:rPr>
              <w:t xml:space="preserve"> interest </w:t>
            </w:r>
            <w:r w:rsidRPr="006B142F">
              <w:rPr>
                <w:rFonts w:asciiTheme="minorHAnsi" w:hAnsiTheme="minorHAnsi" w:cs="Arial"/>
                <w:lang w:eastAsia="en-NZ"/>
              </w:rPr>
              <w:t xml:space="preserve">and the </w:t>
            </w:r>
            <w:r w:rsidRPr="006B142F">
              <w:rPr>
                <w:rFonts w:asciiTheme="minorHAnsi" w:hAnsiTheme="minorHAnsi" w:cs="Arial"/>
                <w:bCs/>
                <w:lang w:eastAsia="en-NZ"/>
              </w:rPr>
              <w:t xml:space="preserve">corporate tax rate </w:t>
            </w:r>
            <w:r w:rsidRPr="006B142F">
              <w:rPr>
                <w:rFonts w:asciiTheme="minorHAnsi" w:hAnsiTheme="minorHAnsi" w:cs="Arial"/>
                <w:lang w:eastAsia="en-NZ"/>
              </w:rPr>
              <w:t xml:space="preserve">applicable to the current </w:t>
            </w:r>
            <w:r w:rsidRPr="006B142F">
              <w:rPr>
                <w:rFonts w:asciiTheme="minorHAnsi" w:hAnsiTheme="minorHAnsi" w:cs="Arial"/>
                <w:bCs/>
                <w:lang w:eastAsia="en-NZ"/>
              </w:rPr>
              <w:t>disclosure year</w:t>
            </w:r>
          </w:p>
        </w:tc>
      </w:tr>
      <w:tr w:rsidR="0089227F" w:rsidRPr="006B142F" w:rsidTr="00B20AEC">
        <w:trPr>
          <w:cantSplit/>
        </w:trPr>
        <w:tc>
          <w:tcPr>
            <w:tcW w:w="4621" w:type="dxa"/>
          </w:tcPr>
          <w:p w:rsidR="0089227F" w:rsidRPr="006B142F" w:rsidRDefault="0089227F" w:rsidP="0089227F">
            <w:pPr>
              <w:rPr>
                <w:rFonts w:asciiTheme="minorHAnsi" w:hAnsiTheme="minorHAnsi"/>
              </w:rPr>
            </w:pPr>
            <w:r w:rsidRPr="006B142F">
              <w:rPr>
                <w:rFonts w:asciiTheme="minorHAnsi" w:hAnsiTheme="minorHAnsi"/>
              </w:rPr>
              <w:t xml:space="preserve">Notional net cash flows </w:t>
            </w:r>
          </w:p>
        </w:tc>
        <w:tc>
          <w:tcPr>
            <w:tcW w:w="4622" w:type="dxa"/>
          </w:tcPr>
          <w:p w:rsidR="0089227F" w:rsidRPr="006B142F" w:rsidRDefault="0089227F" w:rsidP="0089227F">
            <w:pPr>
              <w:rPr>
                <w:rFonts w:asciiTheme="minorHAnsi" w:hAnsiTheme="minorHAnsi"/>
              </w:rPr>
            </w:pPr>
            <w:r w:rsidRPr="006B142F">
              <w:rPr>
                <w:rFonts w:asciiTheme="minorHAnsi" w:hAnsiTheme="minorHAnsi"/>
              </w:rPr>
              <w:t>means, in relation to the:</w:t>
            </w:r>
          </w:p>
          <w:p w:rsidR="0089227F" w:rsidRPr="006B142F" w:rsidRDefault="0089227F" w:rsidP="0089227F">
            <w:pPr>
              <w:pStyle w:val="ListParagraph"/>
              <w:numPr>
                <w:ilvl w:val="0"/>
                <w:numId w:val="46"/>
              </w:numPr>
              <w:ind w:left="459" w:hanging="425"/>
              <w:rPr>
                <w:rFonts w:asciiTheme="minorHAnsi" w:hAnsiTheme="minorHAnsi"/>
              </w:rPr>
            </w:pPr>
            <w:r w:rsidRPr="006B142F">
              <w:rPr>
                <w:rFonts w:asciiTheme="minorHAnsi" w:hAnsiTheme="minorHAnsi"/>
              </w:rPr>
              <w:t xml:space="preserve">ROI, operating surplus / (deficit) less regulatory tax allowance less assets commissioned plus asset disposals </w:t>
            </w:r>
          </w:p>
          <w:p w:rsidR="0089227F" w:rsidRPr="006B142F" w:rsidRDefault="0089227F" w:rsidP="0089227F">
            <w:pPr>
              <w:pStyle w:val="ListParagraph"/>
              <w:numPr>
                <w:ilvl w:val="0"/>
                <w:numId w:val="46"/>
              </w:numPr>
              <w:ind w:left="459" w:hanging="425"/>
              <w:rPr>
                <w:rFonts w:asciiTheme="minorHAnsi" w:hAnsiTheme="minorHAnsi"/>
              </w:rPr>
            </w:pPr>
            <w:r w:rsidRPr="006B142F">
              <w:rPr>
                <w:rFonts w:asciiTheme="minorHAnsi" w:hAnsiTheme="minorHAnsi"/>
              </w:rPr>
              <w:t>alternative ROI, revenue less expenses less tax less assets commissioned plus asset disposals</w:t>
            </w:r>
          </w:p>
        </w:tc>
      </w:tr>
      <w:tr w:rsidR="0089227F" w:rsidRPr="006B142F" w:rsidTr="00B20AEC">
        <w:trPr>
          <w:cantSplit/>
        </w:trPr>
        <w:tc>
          <w:tcPr>
            <w:tcW w:w="4621" w:type="dxa"/>
          </w:tcPr>
          <w:p w:rsidR="0089227F" w:rsidRPr="006B142F" w:rsidRDefault="0089227F" w:rsidP="0089227F">
            <w:pPr>
              <w:pStyle w:val="Tablebodytext"/>
              <w:rPr>
                <w:rFonts w:asciiTheme="minorHAnsi" w:hAnsiTheme="minorHAnsi"/>
                <w:szCs w:val="24"/>
              </w:rPr>
            </w:pPr>
            <w:r w:rsidRPr="006B142F">
              <w:rPr>
                <w:rFonts w:asciiTheme="minorHAnsi" w:hAnsiTheme="minorHAnsi"/>
                <w:szCs w:val="24"/>
              </w:rPr>
              <w:t>Notional revenue foregone</w:t>
            </w:r>
          </w:p>
        </w:tc>
        <w:tc>
          <w:tcPr>
            <w:tcW w:w="4622" w:type="dxa"/>
          </w:tcPr>
          <w:p w:rsidR="0089227F" w:rsidRPr="006B142F" w:rsidRDefault="0089227F" w:rsidP="0089227F">
            <w:pPr>
              <w:pStyle w:val="BodyText"/>
              <w:rPr>
                <w:rFonts w:asciiTheme="minorHAnsi" w:hAnsiTheme="minorHAnsi"/>
                <w:i/>
              </w:rPr>
            </w:pPr>
            <w:r w:rsidRPr="006B142F">
              <w:rPr>
                <w:rFonts w:asciiTheme="minorHAnsi" w:hAnsiTheme="minorHAnsi"/>
              </w:rPr>
              <w:t>means, for the purposes of Schedule 8a, the revenue anticipated from posted discounts had they not been applied</w:t>
            </w:r>
          </w:p>
        </w:tc>
      </w:tr>
      <w:tr w:rsidR="0089227F" w:rsidRPr="006B142F" w:rsidTr="00B20AEC">
        <w:trPr>
          <w:cantSplit/>
        </w:trPr>
        <w:tc>
          <w:tcPr>
            <w:tcW w:w="4621" w:type="dxa"/>
          </w:tcPr>
          <w:p w:rsidR="0089227F" w:rsidRPr="006B142F" w:rsidRDefault="0089227F" w:rsidP="0089227F">
            <w:pPr>
              <w:rPr>
                <w:rFonts w:asciiTheme="minorHAnsi" w:hAnsiTheme="minorHAnsi"/>
                <w:color w:val="000000"/>
              </w:rPr>
            </w:pPr>
            <w:r w:rsidRPr="006B142F">
              <w:rPr>
                <w:rFonts w:asciiTheme="minorHAnsi" w:hAnsiTheme="minorHAnsi"/>
                <w:color w:val="000000"/>
              </w:rPr>
              <w:t>Number of assets at end of disclosure year by installation date</w:t>
            </w:r>
          </w:p>
        </w:tc>
        <w:tc>
          <w:tcPr>
            <w:tcW w:w="4622" w:type="dxa"/>
          </w:tcPr>
          <w:p w:rsidR="0089227F" w:rsidRPr="006B142F" w:rsidRDefault="0089227F" w:rsidP="0089227F">
            <w:pPr>
              <w:pStyle w:val="BodyText"/>
              <w:rPr>
                <w:rFonts w:asciiTheme="minorHAnsi" w:hAnsiTheme="minorHAnsi"/>
              </w:rPr>
            </w:pPr>
            <w:r w:rsidRPr="006B142F">
              <w:rPr>
                <w:rFonts w:asciiTheme="minorHAnsi" w:hAnsiTheme="minorHAnsi"/>
              </w:rPr>
              <w:t>means the total quantity of assets in the prescribed asset category and asset class installed in the network at the start of the disclosure year that were first installed in the prescribed year, expressed in the prescribed unit</w:t>
            </w:r>
          </w:p>
        </w:tc>
      </w:tr>
      <w:tr w:rsidR="0089227F" w:rsidRPr="006B142F" w:rsidTr="00B20AEC">
        <w:trPr>
          <w:cantSplit/>
        </w:trPr>
        <w:tc>
          <w:tcPr>
            <w:tcW w:w="4621" w:type="dxa"/>
          </w:tcPr>
          <w:p w:rsidR="0089227F" w:rsidRPr="006B142F" w:rsidRDefault="0089227F" w:rsidP="0089227F">
            <w:pPr>
              <w:pStyle w:val="Tablebodytext"/>
              <w:rPr>
                <w:rFonts w:asciiTheme="minorHAnsi" w:hAnsiTheme="minorHAnsi"/>
                <w:szCs w:val="24"/>
              </w:rPr>
            </w:pPr>
            <w:r w:rsidRPr="006B142F">
              <w:rPr>
                <w:rFonts w:asciiTheme="minorHAnsi" w:hAnsiTheme="minorHAnsi"/>
                <w:szCs w:val="24"/>
              </w:rPr>
              <w:t>Number of complaints</w:t>
            </w:r>
          </w:p>
        </w:tc>
        <w:tc>
          <w:tcPr>
            <w:tcW w:w="4622" w:type="dxa"/>
          </w:tcPr>
          <w:p w:rsidR="0089227F" w:rsidRPr="006B142F" w:rsidRDefault="0089227F" w:rsidP="0089227F">
            <w:pPr>
              <w:pStyle w:val="Tablebodytext"/>
              <w:rPr>
                <w:rFonts w:asciiTheme="minorHAnsi" w:hAnsiTheme="minorHAnsi"/>
                <w:szCs w:val="24"/>
              </w:rPr>
            </w:pPr>
            <w:r w:rsidRPr="006B142F">
              <w:rPr>
                <w:rFonts w:asciiTheme="minorHAnsi" w:hAnsiTheme="minorHAnsi"/>
                <w:szCs w:val="24"/>
              </w:rPr>
              <w:t xml:space="preserve">The number of expressions of dissatisfaction made to The GDB, related to the </w:t>
            </w:r>
            <w:proofErr w:type="spellStart"/>
            <w:r w:rsidRPr="006B142F">
              <w:rPr>
                <w:rFonts w:asciiTheme="minorHAnsi" w:hAnsiTheme="minorHAnsi"/>
                <w:szCs w:val="24"/>
              </w:rPr>
              <w:t>GDBs</w:t>
            </w:r>
            <w:proofErr w:type="spellEnd"/>
            <w:r w:rsidRPr="006B142F">
              <w:rPr>
                <w:rFonts w:asciiTheme="minorHAnsi" w:hAnsiTheme="minorHAnsi"/>
                <w:szCs w:val="24"/>
              </w:rPr>
              <w:t xml:space="preserve"> controlled gas business, gas services offered, or the complaint-handling process itself, where a response or resolution is explicitly or implicitly expected.</w:t>
            </w:r>
          </w:p>
        </w:tc>
      </w:tr>
      <w:tr w:rsidR="0089227F" w:rsidRPr="006B142F" w:rsidTr="00B20AEC">
        <w:trPr>
          <w:cantSplit/>
        </w:trPr>
        <w:tc>
          <w:tcPr>
            <w:tcW w:w="4621" w:type="dxa"/>
          </w:tcPr>
          <w:p w:rsidR="0089227F" w:rsidRPr="006B142F" w:rsidRDefault="0089227F" w:rsidP="0089227F">
            <w:pPr>
              <w:pStyle w:val="Tablebodytext"/>
              <w:rPr>
                <w:rFonts w:asciiTheme="minorHAnsi" w:hAnsiTheme="minorHAnsi"/>
                <w:szCs w:val="24"/>
              </w:rPr>
            </w:pPr>
            <w:r w:rsidRPr="006B142F">
              <w:rPr>
                <w:rFonts w:asciiTheme="minorHAnsi" w:hAnsiTheme="minorHAnsi"/>
                <w:szCs w:val="24"/>
              </w:rPr>
              <w:t>Number of confirmed public reported gas escapes / total length of pipeline  (escapes/1000 km)</w:t>
            </w:r>
          </w:p>
        </w:tc>
        <w:tc>
          <w:tcPr>
            <w:tcW w:w="4622" w:type="dxa"/>
          </w:tcPr>
          <w:p w:rsidR="0089227F" w:rsidRPr="006B142F" w:rsidRDefault="0089227F" w:rsidP="00B20AEC">
            <w:pPr>
              <w:pStyle w:val="Tablebodytext"/>
              <w:rPr>
                <w:rFonts w:asciiTheme="minorHAnsi" w:hAnsiTheme="minorHAnsi"/>
                <w:i/>
                <w:szCs w:val="24"/>
              </w:rPr>
            </w:pPr>
            <w:r w:rsidRPr="006B142F">
              <w:rPr>
                <w:rFonts w:asciiTheme="minorHAnsi" w:hAnsiTheme="minorHAnsi"/>
                <w:szCs w:val="24"/>
                <w:lang w:eastAsia="en-NZ"/>
              </w:rPr>
              <w:t>Any confirmed escape of gas reported to The GDB; excluding third party damage events, leaks detected by routine survey and no traces events Calculated as [Number of confirmed public reported escapes of gas</w:t>
            </w:r>
            <w:r w:rsidR="00B20AEC" w:rsidRPr="006B142F">
              <w:rPr>
                <w:rFonts w:asciiTheme="minorHAnsi" w:hAnsiTheme="minorHAnsi"/>
                <w:szCs w:val="24"/>
                <w:lang w:eastAsia="en-NZ"/>
              </w:rPr>
              <w:t>]</w:t>
            </w:r>
            <w:r w:rsidRPr="006B142F">
              <w:rPr>
                <w:rFonts w:asciiTheme="minorHAnsi" w:hAnsiTheme="minorHAnsi"/>
                <w:szCs w:val="24"/>
                <w:lang w:eastAsia="en-NZ"/>
              </w:rPr>
              <w:t xml:space="preserve"> / </w:t>
            </w:r>
            <w:r w:rsidR="00B20AEC" w:rsidRPr="006B142F">
              <w:rPr>
                <w:rFonts w:asciiTheme="minorHAnsi" w:hAnsiTheme="minorHAnsi"/>
                <w:szCs w:val="24"/>
                <w:lang w:eastAsia="en-NZ"/>
              </w:rPr>
              <w:t>[</w:t>
            </w:r>
            <w:r w:rsidRPr="006B142F">
              <w:rPr>
                <w:rFonts w:asciiTheme="minorHAnsi" w:hAnsiTheme="minorHAnsi"/>
                <w:szCs w:val="24"/>
                <w:lang w:eastAsia="en-NZ"/>
              </w:rPr>
              <w:t xml:space="preserve">total length of pipeline </w:t>
            </w:r>
            <w:proofErr w:type="spellStart"/>
            <w:r w:rsidRPr="006B142F">
              <w:rPr>
                <w:rFonts w:asciiTheme="minorHAnsi" w:hAnsiTheme="minorHAnsi"/>
                <w:szCs w:val="24"/>
                <w:lang w:eastAsia="en-NZ"/>
              </w:rPr>
              <w:t>kms</w:t>
            </w:r>
            <w:proofErr w:type="spellEnd"/>
            <w:r w:rsidRPr="006B142F">
              <w:rPr>
                <w:rFonts w:asciiTheme="minorHAnsi" w:hAnsiTheme="minorHAnsi"/>
                <w:szCs w:val="24"/>
                <w:lang w:eastAsia="en-NZ"/>
              </w:rPr>
              <w:t xml:space="preserve">] × 1000. Measurement of PRE will be limited against assets for which the GDB is responsible, </w:t>
            </w:r>
            <w:r w:rsidR="00B20AEC" w:rsidRPr="006B142F">
              <w:rPr>
                <w:rFonts w:asciiTheme="minorHAnsi" w:hAnsiTheme="minorHAnsi"/>
                <w:szCs w:val="24"/>
                <w:lang w:eastAsia="en-NZ"/>
              </w:rPr>
              <w:t>i.e.</w:t>
            </w:r>
            <w:r w:rsidRPr="006B142F">
              <w:rPr>
                <w:rFonts w:asciiTheme="minorHAnsi" w:hAnsiTheme="minorHAnsi"/>
                <w:szCs w:val="24"/>
                <w:lang w:eastAsia="en-NZ"/>
              </w:rPr>
              <w:t xml:space="preserve"> assets upstream of, and including, the customer isolation valve (CIV)</w:t>
            </w:r>
          </w:p>
        </w:tc>
      </w:tr>
      <w:tr w:rsidR="0089227F" w:rsidRPr="006B142F" w:rsidTr="00B20AEC">
        <w:trPr>
          <w:cantSplit/>
        </w:trPr>
        <w:tc>
          <w:tcPr>
            <w:tcW w:w="4621" w:type="dxa"/>
          </w:tcPr>
          <w:p w:rsidR="0089227F" w:rsidRPr="006B142F" w:rsidRDefault="0089227F" w:rsidP="0089227F">
            <w:pPr>
              <w:pStyle w:val="Tablebodytext"/>
              <w:rPr>
                <w:rFonts w:asciiTheme="minorHAnsi" w:hAnsiTheme="minorHAnsi"/>
                <w:color w:val="000000"/>
                <w:szCs w:val="24"/>
                <w:lang w:val="en-AU"/>
              </w:rPr>
            </w:pPr>
            <w:r w:rsidRPr="006B142F">
              <w:rPr>
                <w:rFonts w:asciiTheme="minorHAnsi" w:hAnsiTheme="minorHAnsi"/>
                <w:szCs w:val="24"/>
              </w:rPr>
              <w:t xml:space="preserve">Number of connections (Number of </w:t>
            </w:r>
            <w:proofErr w:type="spellStart"/>
            <w:r w:rsidRPr="006B142F">
              <w:rPr>
                <w:rFonts w:asciiTheme="minorHAnsi" w:hAnsiTheme="minorHAnsi"/>
                <w:szCs w:val="24"/>
              </w:rPr>
              <w:t>ICPs</w:t>
            </w:r>
            <w:proofErr w:type="spellEnd"/>
            <w:r w:rsidRPr="006B142F">
              <w:rPr>
                <w:rFonts w:asciiTheme="minorHAnsi" w:hAnsiTheme="minorHAnsi"/>
                <w:szCs w:val="24"/>
              </w:rPr>
              <w:t xml:space="preserve"> connected in year by customer group)</w:t>
            </w:r>
          </w:p>
        </w:tc>
        <w:tc>
          <w:tcPr>
            <w:tcW w:w="4622" w:type="dxa"/>
          </w:tcPr>
          <w:p w:rsidR="0089227F" w:rsidRPr="006B142F" w:rsidRDefault="0089227F" w:rsidP="0089227F">
            <w:pPr>
              <w:pStyle w:val="BodyText"/>
              <w:rPr>
                <w:rFonts w:asciiTheme="minorHAnsi" w:hAnsiTheme="minorHAnsi"/>
                <w:lang w:val="en-AU"/>
              </w:rPr>
            </w:pPr>
            <w:r w:rsidRPr="006B142F">
              <w:rPr>
                <w:rFonts w:asciiTheme="minorHAnsi" w:hAnsiTheme="minorHAnsi"/>
                <w:lang w:val="en-AU"/>
              </w:rPr>
              <w:t xml:space="preserve">Means the number of new </w:t>
            </w:r>
            <w:r w:rsidRPr="006B142F">
              <w:rPr>
                <w:rFonts w:asciiTheme="minorHAnsi" w:hAnsiTheme="minorHAnsi"/>
              </w:rPr>
              <w:t xml:space="preserve">live/active </w:t>
            </w:r>
            <w:r w:rsidRPr="006B142F">
              <w:rPr>
                <w:rFonts w:asciiTheme="minorHAnsi" w:hAnsiTheme="minorHAnsi"/>
                <w:lang w:eastAsia="en-NZ"/>
              </w:rPr>
              <w:t>connection points assigned a unique national metering identification number or agreed point of supply,</w:t>
            </w:r>
            <w:r w:rsidRPr="006B142F">
              <w:rPr>
                <w:rFonts w:asciiTheme="minorHAnsi" w:hAnsiTheme="minorHAnsi"/>
              </w:rPr>
              <w:t xml:space="preserve"> in the disclosure year</w:t>
            </w:r>
          </w:p>
        </w:tc>
      </w:tr>
      <w:tr w:rsidR="0089227F" w:rsidRPr="006B142F" w:rsidTr="00B20AEC">
        <w:trPr>
          <w:cantSplit/>
        </w:trPr>
        <w:tc>
          <w:tcPr>
            <w:tcW w:w="4621" w:type="dxa"/>
          </w:tcPr>
          <w:p w:rsidR="0089227F" w:rsidRPr="006B142F" w:rsidRDefault="0089227F" w:rsidP="0089227F">
            <w:pPr>
              <w:pStyle w:val="Tablebodytext"/>
              <w:rPr>
                <w:rFonts w:asciiTheme="minorHAnsi" w:hAnsiTheme="minorHAnsi"/>
                <w:szCs w:val="24"/>
              </w:rPr>
            </w:pPr>
            <w:r w:rsidRPr="006B142F">
              <w:rPr>
                <w:rFonts w:asciiTheme="minorHAnsi" w:hAnsiTheme="minorHAnsi"/>
                <w:szCs w:val="24"/>
              </w:rPr>
              <w:t xml:space="preserve">Number of directly billed </w:t>
            </w:r>
            <w:proofErr w:type="spellStart"/>
            <w:r w:rsidRPr="006B142F">
              <w:rPr>
                <w:rFonts w:asciiTheme="minorHAnsi" w:hAnsiTheme="minorHAnsi"/>
                <w:szCs w:val="24"/>
              </w:rPr>
              <w:t>ICPs</w:t>
            </w:r>
            <w:proofErr w:type="spellEnd"/>
            <w:r w:rsidRPr="006B142F">
              <w:rPr>
                <w:rFonts w:asciiTheme="minorHAnsi" w:hAnsiTheme="minorHAnsi"/>
                <w:szCs w:val="24"/>
              </w:rPr>
              <w:t xml:space="preserve"> (at year end)</w:t>
            </w:r>
          </w:p>
        </w:tc>
        <w:tc>
          <w:tcPr>
            <w:tcW w:w="4622" w:type="dxa"/>
          </w:tcPr>
          <w:p w:rsidR="0089227F" w:rsidRPr="006B142F" w:rsidRDefault="0089227F" w:rsidP="0089227F">
            <w:pPr>
              <w:pStyle w:val="Tablebodytext"/>
              <w:rPr>
                <w:rFonts w:asciiTheme="minorHAnsi" w:hAnsiTheme="minorHAnsi"/>
                <w:szCs w:val="24"/>
              </w:rPr>
            </w:pPr>
            <w:r w:rsidRPr="006B142F">
              <w:rPr>
                <w:rFonts w:asciiTheme="minorHAnsi" w:hAnsiTheme="minorHAnsi"/>
                <w:szCs w:val="24"/>
              </w:rPr>
              <w:t>Means the number of customer connections  the GDB bills directly, as at the end of the disclosure year</w:t>
            </w:r>
          </w:p>
        </w:tc>
      </w:tr>
      <w:tr w:rsidR="0089227F" w:rsidRPr="006B142F" w:rsidTr="00B20AEC">
        <w:trPr>
          <w:cantSplit/>
        </w:trPr>
        <w:tc>
          <w:tcPr>
            <w:tcW w:w="4621" w:type="dxa"/>
          </w:tcPr>
          <w:p w:rsidR="0089227F" w:rsidRPr="006B142F" w:rsidRDefault="0089227F" w:rsidP="0089227F">
            <w:pPr>
              <w:pStyle w:val="Tablebodytext"/>
              <w:rPr>
                <w:rFonts w:asciiTheme="minorHAnsi" w:hAnsiTheme="minorHAnsi"/>
                <w:szCs w:val="24"/>
              </w:rPr>
            </w:pPr>
            <w:r w:rsidRPr="006B142F">
              <w:rPr>
                <w:rFonts w:asciiTheme="minorHAnsi" w:hAnsiTheme="minorHAnsi"/>
                <w:szCs w:val="24"/>
              </w:rPr>
              <w:t>Number of emergencies</w:t>
            </w:r>
          </w:p>
        </w:tc>
        <w:tc>
          <w:tcPr>
            <w:tcW w:w="4622" w:type="dxa"/>
          </w:tcPr>
          <w:p w:rsidR="0089227F" w:rsidRPr="006B142F" w:rsidRDefault="0089227F" w:rsidP="0089227F">
            <w:pPr>
              <w:pStyle w:val="Tablebodytext"/>
              <w:rPr>
                <w:rFonts w:asciiTheme="minorHAnsi" w:hAnsiTheme="minorHAnsi"/>
                <w:i/>
                <w:szCs w:val="24"/>
              </w:rPr>
            </w:pPr>
            <w:r w:rsidRPr="006B142F">
              <w:rPr>
                <w:rFonts w:asciiTheme="minorHAnsi" w:hAnsiTheme="minorHAnsi"/>
                <w:szCs w:val="24"/>
                <w:lang w:eastAsia="en-NZ"/>
              </w:rPr>
              <w:t>The sum of the number of following events: An unplanned escape and/or ignition of gas that requires the active involvement of any emergencies service (</w:t>
            </w:r>
            <w:r w:rsidR="00B20AEC" w:rsidRPr="006B142F">
              <w:rPr>
                <w:rFonts w:asciiTheme="minorHAnsi" w:hAnsiTheme="minorHAnsi"/>
                <w:szCs w:val="24"/>
                <w:lang w:eastAsia="en-NZ"/>
              </w:rPr>
              <w:t>i.e.</w:t>
            </w:r>
            <w:r w:rsidRPr="006B142F">
              <w:rPr>
                <w:rFonts w:asciiTheme="minorHAnsi" w:hAnsiTheme="minorHAnsi"/>
                <w:szCs w:val="24"/>
                <w:lang w:eastAsia="en-NZ"/>
              </w:rPr>
              <w:t>, fire service, ambulance); or an unplanned disruption in the supply of gas that affects more than five customers; or the need to evacuate premises as the result of escape or ignition of gas.</w:t>
            </w:r>
          </w:p>
        </w:tc>
      </w:tr>
      <w:tr w:rsidR="0089227F" w:rsidRPr="006B142F" w:rsidTr="00B20AEC">
        <w:trPr>
          <w:cantSplit/>
        </w:trPr>
        <w:tc>
          <w:tcPr>
            <w:tcW w:w="4621" w:type="dxa"/>
          </w:tcPr>
          <w:p w:rsidR="0089227F" w:rsidRPr="006B142F" w:rsidRDefault="0089227F" w:rsidP="0089227F">
            <w:pPr>
              <w:pStyle w:val="Tablebodytext"/>
              <w:rPr>
                <w:rFonts w:asciiTheme="minorHAnsi" w:hAnsiTheme="minorHAnsi"/>
                <w:szCs w:val="24"/>
              </w:rPr>
            </w:pPr>
            <w:r w:rsidRPr="006B142F">
              <w:rPr>
                <w:rFonts w:asciiTheme="minorHAnsi" w:hAnsiTheme="minorHAnsi"/>
                <w:color w:val="000000"/>
                <w:szCs w:val="24"/>
                <w:lang w:val="en-AU"/>
              </w:rPr>
              <w:t xml:space="preserve">Number of </w:t>
            </w:r>
            <w:proofErr w:type="spellStart"/>
            <w:r w:rsidRPr="006B142F">
              <w:rPr>
                <w:rFonts w:asciiTheme="minorHAnsi" w:hAnsiTheme="minorHAnsi"/>
                <w:color w:val="000000"/>
                <w:szCs w:val="24"/>
                <w:lang w:val="en-AU"/>
              </w:rPr>
              <w:t>ICPs</w:t>
            </w:r>
            <w:proofErr w:type="spellEnd"/>
            <w:r w:rsidRPr="006B142F">
              <w:rPr>
                <w:rFonts w:asciiTheme="minorHAnsi" w:hAnsiTheme="minorHAnsi"/>
                <w:color w:val="000000"/>
                <w:szCs w:val="24"/>
                <w:lang w:val="en-AU"/>
              </w:rPr>
              <w:t xml:space="preserve"> (at year end)</w:t>
            </w:r>
          </w:p>
        </w:tc>
        <w:tc>
          <w:tcPr>
            <w:tcW w:w="4622" w:type="dxa"/>
          </w:tcPr>
          <w:p w:rsidR="0089227F" w:rsidRPr="006B142F" w:rsidRDefault="0089227F" w:rsidP="0089227F">
            <w:pPr>
              <w:pStyle w:val="Tablebodytext"/>
              <w:rPr>
                <w:rFonts w:asciiTheme="minorHAnsi" w:hAnsiTheme="minorHAnsi"/>
                <w:szCs w:val="24"/>
              </w:rPr>
            </w:pPr>
            <w:r w:rsidRPr="006B142F">
              <w:rPr>
                <w:rFonts w:asciiTheme="minorHAnsi" w:hAnsiTheme="minorHAnsi"/>
                <w:szCs w:val="24"/>
                <w:lang w:eastAsia="en-NZ"/>
              </w:rPr>
              <w:t>The number of live/active connection points assigned a unique national metering identification number or agreed point of supply, as at the end of the current disclosure year.</w:t>
            </w:r>
          </w:p>
        </w:tc>
      </w:tr>
      <w:tr w:rsidR="0089227F" w:rsidRPr="006B142F" w:rsidTr="00B20AEC">
        <w:trPr>
          <w:cantSplit/>
        </w:trPr>
        <w:tc>
          <w:tcPr>
            <w:tcW w:w="4621" w:type="dxa"/>
          </w:tcPr>
          <w:p w:rsidR="0089227F" w:rsidRPr="006B142F" w:rsidRDefault="0089227F" w:rsidP="0089227F">
            <w:pPr>
              <w:pStyle w:val="Tablebodytext"/>
              <w:rPr>
                <w:rFonts w:asciiTheme="minorHAnsi" w:hAnsiTheme="minorHAnsi"/>
                <w:szCs w:val="24"/>
              </w:rPr>
            </w:pPr>
            <w:r w:rsidRPr="006B142F">
              <w:rPr>
                <w:rFonts w:asciiTheme="minorHAnsi" w:hAnsiTheme="minorHAnsi"/>
                <w:szCs w:val="24"/>
              </w:rPr>
              <w:t>Number of leaks detected by routine survey / total length of pipeline (leaks/1000 km)</w:t>
            </w:r>
          </w:p>
        </w:tc>
        <w:tc>
          <w:tcPr>
            <w:tcW w:w="4622" w:type="dxa"/>
          </w:tcPr>
          <w:p w:rsidR="0089227F" w:rsidRPr="006B142F" w:rsidRDefault="0089227F" w:rsidP="0089227F">
            <w:pPr>
              <w:pStyle w:val="Tablebodytext"/>
              <w:rPr>
                <w:rFonts w:asciiTheme="minorHAnsi" w:hAnsiTheme="minorHAnsi"/>
                <w:szCs w:val="24"/>
                <w:lang w:eastAsia="en-NZ"/>
              </w:rPr>
            </w:pPr>
            <w:r w:rsidRPr="006B142F">
              <w:rPr>
                <w:rFonts w:asciiTheme="minorHAnsi" w:hAnsiTheme="minorHAnsi"/>
                <w:szCs w:val="24"/>
                <w:lang w:eastAsia="en-NZ"/>
              </w:rPr>
              <w:t>Number of leaks detected on system by routine network survey</w:t>
            </w:r>
          </w:p>
          <w:p w:rsidR="0089227F" w:rsidRPr="006B142F" w:rsidRDefault="0089227F" w:rsidP="00B20AEC">
            <w:pPr>
              <w:pStyle w:val="Tablebodytext"/>
              <w:rPr>
                <w:rFonts w:asciiTheme="minorHAnsi" w:hAnsiTheme="minorHAnsi"/>
                <w:i/>
                <w:szCs w:val="24"/>
              </w:rPr>
            </w:pPr>
            <w:r w:rsidRPr="006B142F">
              <w:rPr>
                <w:rFonts w:asciiTheme="minorHAnsi" w:hAnsiTheme="minorHAnsi"/>
                <w:szCs w:val="24"/>
                <w:lang w:eastAsia="en-NZ"/>
              </w:rPr>
              <w:t>Calculated as [</w:t>
            </w:r>
            <w:r w:rsidR="00B20AEC" w:rsidRPr="006B142F">
              <w:rPr>
                <w:rFonts w:asciiTheme="minorHAnsi" w:hAnsiTheme="minorHAnsi"/>
                <w:szCs w:val="24"/>
                <w:lang w:eastAsia="en-NZ"/>
              </w:rPr>
              <w:t>Number of leaks detected on the</w:t>
            </w:r>
            <w:r w:rsidRPr="006B142F">
              <w:rPr>
                <w:rFonts w:asciiTheme="minorHAnsi" w:hAnsiTheme="minorHAnsi"/>
                <w:szCs w:val="24"/>
                <w:lang w:eastAsia="en-NZ"/>
              </w:rPr>
              <w:t xml:space="preserve"> network by routine network survey</w:t>
            </w:r>
            <w:r w:rsidR="00B20AEC" w:rsidRPr="006B142F">
              <w:rPr>
                <w:rFonts w:asciiTheme="minorHAnsi" w:hAnsiTheme="minorHAnsi"/>
                <w:szCs w:val="24"/>
                <w:lang w:eastAsia="en-NZ"/>
              </w:rPr>
              <w:t>]</w:t>
            </w:r>
            <w:r w:rsidRPr="006B142F">
              <w:rPr>
                <w:rFonts w:asciiTheme="minorHAnsi" w:hAnsiTheme="minorHAnsi"/>
                <w:szCs w:val="24"/>
                <w:lang w:eastAsia="en-NZ"/>
              </w:rPr>
              <w:t xml:space="preserve"> / </w:t>
            </w:r>
            <w:r w:rsidR="00B20AEC" w:rsidRPr="006B142F">
              <w:rPr>
                <w:rFonts w:asciiTheme="minorHAnsi" w:hAnsiTheme="minorHAnsi"/>
                <w:szCs w:val="24"/>
                <w:lang w:eastAsia="en-NZ"/>
              </w:rPr>
              <w:t>[</w:t>
            </w:r>
            <w:r w:rsidRPr="006B142F">
              <w:rPr>
                <w:rFonts w:asciiTheme="minorHAnsi" w:hAnsiTheme="minorHAnsi"/>
                <w:szCs w:val="24"/>
                <w:lang w:eastAsia="en-NZ"/>
              </w:rPr>
              <w:t xml:space="preserve">total length pipeline in </w:t>
            </w:r>
            <w:proofErr w:type="spellStart"/>
            <w:r w:rsidRPr="006B142F">
              <w:rPr>
                <w:rFonts w:asciiTheme="minorHAnsi" w:hAnsiTheme="minorHAnsi"/>
                <w:szCs w:val="24"/>
                <w:lang w:eastAsia="en-NZ"/>
              </w:rPr>
              <w:t>kms</w:t>
            </w:r>
            <w:proofErr w:type="spellEnd"/>
            <w:r w:rsidR="00B20AEC" w:rsidRPr="006B142F">
              <w:rPr>
                <w:rFonts w:asciiTheme="minorHAnsi" w:hAnsiTheme="minorHAnsi"/>
                <w:szCs w:val="24"/>
                <w:lang w:eastAsia="en-NZ"/>
              </w:rPr>
              <w:t>]</w:t>
            </w:r>
            <w:r w:rsidRPr="006B142F">
              <w:rPr>
                <w:rFonts w:asciiTheme="minorHAnsi" w:hAnsiTheme="minorHAnsi"/>
                <w:szCs w:val="24"/>
                <w:lang w:eastAsia="en-NZ"/>
              </w:rPr>
              <w:t xml:space="preserve"> x 1000. </w:t>
            </w:r>
          </w:p>
        </w:tc>
      </w:tr>
      <w:tr w:rsidR="0089227F" w:rsidRPr="006B142F" w:rsidTr="00B20AEC">
        <w:trPr>
          <w:cantSplit/>
        </w:trPr>
        <w:tc>
          <w:tcPr>
            <w:tcW w:w="4621" w:type="dxa"/>
          </w:tcPr>
          <w:p w:rsidR="0089227F" w:rsidRPr="006B142F" w:rsidRDefault="0089227F" w:rsidP="0089227F">
            <w:pPr>
              <w:pStyle w:val="Tablebodytext"/>
              <w:rPr>
                <w:rFonts w:asciiTheme="minorHAnsi" w:hAnsiTheme="minorHAnsi"/>
                <w:szCs w:val="24"/>
              </w:rPr>
            </w:pPr>
            <w:r w:rsidRPr="006B142F">
              <w:rPr>
                <w:rFonts w:asciiTheme="minorHAnsi" w:hAnsiTheme="minorHAnsi"/>
                <w:szCs w:val="24"/>
              </w:rPr>
              <w:t>Number of non-compliant odour tests</w:t>
            </w:r>
          </w:p>
        </w:tc>
        <w:tc>
          <w:tcPr>
            <w:tcW w:w="4622" w:type="dxa"/>
          </w:tcPr>
          <w:p w:rsidR="0089227F" w:rsidRPr="006B142F" w:rsidRDefault="0089227F" w:rsidP="0089227F">
            <w:pPr>
              <w:pStyle w:val="Tablebodytext"/>
              <w:rPr>
                <w:rFonts w:asciiTheme="minorHAnsi" w:hAnsiTheme="minorHAnsi"/>
                <w:szCs w:val="24"/>
              </w:rPr>
            </w:pPr>
            <w:r w:rsidRPr="006B142F">
              <w:rPr>
                <w:rFonts w:asciiTheme="minorHAnsi" w:hAnsiTheme="minorHAnsi"/>
                <w:szCs w:val="24"/>
              </w:rPr>
              <w:t xml:space="preserve">The number of tests where gas does not comply with the New Zealand Standard on Gas detection and </w:t>
            </w:r>
            <w:proofErr w:type="spellStart"/>
            <w:r w:rsidRPr="006B142F">
              <w:rPr>
                <w:rFonts w:asciiTheme="minorHAnsi" w:hAnsiTheme="minorHAnsi"/>
                <w:szCs w:val="24"/>
              </w:rPr>
              <w:t>odorisation</w:t>
            </w:r>
            <w:proofErr w:type="spellEnd"/>
          </w:p>
        </w:tc>
      </w:tr>
      <w:tr w:rsidR="0089227F" w:rsidRPr="006B142F" w:rsidTr="00B20AEC">
        <w:trPr>
          <w:cantSplit/>
        </w:trPr>
        <w:tc>
          <w:tcPr>
            <w:tcW w:w="4621" w:type="dxa"/>
          </w:tcPr>
          <w:p w:rsidR="0089227F" w:rsidRPr="006B142F" w:rsidRDefault="0089227F" w:rsidP="0089227F">
            <w:pPr>
              <w:pStyle w:val="Tablebodytext"/>
              <w:rPr>
                <w:rFonts w:asciiTheme="minorHAnsi" w:hAnsiTheme="minorHAnsi"/>
                <w:szCs w:val="24"/>
              </w:rPr>
            </w:pPr>
            <w:r w:rsidRPr="006B142F">
              <w:rPr>
                <w:rFonts w:asciiTheme="minorHAnsi" w:hAnsiTheme="minorHAnsi"/>
                <w:szCs w:val="24"/>
              </w:rPr>
              <w:t>Number of poor pressure events due to network causes</w:t>
            </w:r>
          </w:p>
        </w:tc>
        <w:tc>
          <w:tcPr>
            <w:tcW w:w="4622" w:type="dxa"/>
          </w:tcPr>
          <w:p w:rsidR="0089227F" w:rsidRPr="006B142F" w:rsidRDefault="0089227F" w:rsidP="0089227F">
            <w:pPr>
              <w:pStyle w:val="Tablebodytext"/>
              <w:rPr>
                <w:rFonts w:asciiTheme="minorHAnsi" w:hAnsiTheme="minorHAnsi"/>
                <w:szCs w:val="24"/>
              </w:rPr>
            </w:pPr>
            <w:r w:rsidRPr="006B142F">
              <w:rPr>
                <w:rFonts w:asciiTheme="minorHAnsi" w:hAnsiTheme="minorHAnsi"/>
                <w:szCs w:val="24"/>
              </w:rPr>
              <w:t>Number of confirmed unplanned incidents where delivery pressure drops below target levels within a pressure system. Incidents caused by low gate station pressure and third party damage events to the network should be excluded.</w:t>
            </w:r>
          </w:p>
        </w:tc>
      </w:tr>
      <w:tr w:rsidR="0089227F" w:rsidRPr="006B142F" w:rsidTr="00B20AEC">
        <w:trPr>
          <w:cantSplit/>
        </w:trPr>
        <w:tc>
          <w:tcPr>
            <w:tcW w:w="4621" w:type="dxa"/>
          </w:tcPr>
          <w:p w:rsidR="0089227F" w:rsidRPr="006B142F" w:rsidRDefault="0089227F" w:rsidP="0089227F">
            <w:pPr>
              <w:pStyle w:val="Tablebodytext"/>
              <w:rPr>
                <w:rFonts w:asciiTheme="minorHAnsi" w:hAnsiTheme="minorHAnsi"/>
                <w:szCs w:val="24"/>
              </w:rPr>
            </w:pPr>
            <w:r w:rsidRPr="006B142F">
              <w:rPr>
                <w:rFonts w:asciiTheme="minorHAnsi" w:hAnsiTheme="minorHAnsi"/>
                <w:szCs w:val="24"/>
              </w:rPr>
              <w:t>Number of telephone calls to emergency numbers answered within 30 seconds / total number of calls</w:t>
            </w:r>
          </w:p>
        </w:tc>
        <w:tc>
          <w:tcPr>
            <w:tcW w:w="4622" w:type="dxa"/>
          </w:tcPr>
          <w:p w:rsidR="0089227F" w:rsidRPr="006B142F" w:rsidRDefault="0089227F" w:rsidP="0089227F">
            <w:pPr>
              <w:pStyle w:val="Tablebodytext"/>
              <w:rPr>
                <w:rFonts w:asciiTheme="minorHAnsi" w:hAnsiTheme="minorHAnsi"/>
                <w:i/>
                <w:szCs w:val="24"/>
              </w:rPr>
            </w:pPr>
            <w:r w:rsidRPr="006B142F">
              <w:rPr>
                <w:rFonts w:asciiTheme="minorHAnsi" w:hAnsiTheme="minorHAnsi"/>
                <w:szCs w:val="24"/>
                <w:lang w:eastAsia="en-NZ"/>
              </w:rPr>
              <w:t>Number of calls to the emergency number answered within 30 seconds / total number of calls to the emergency number</w:t>
            </w:r>
          </w:p>
        </w:tc>
      </w:tr>
      <w:tr w:rsidR="0089227F" w:rsidRPr="006B142F" w:rsidTr="00B20AEC">
        <w:trPr>
          <w:cantSplit/>
        </w:trPr>
        <w:tc>
          <w:tcPr>
            <w:tcW w:w="4621" w:type="dxa"/>
          </w:tcPr>
          <w:p w:rsidR="0089227F" w:rsidRPr="006B142F" w:rsidRDefault="0089227F" w:rsidP="0089227F">
            <w:pPr>
              <w:pStyle w:val="Tablebodytext"/>
              <w:rPr>
                <w:rFonts w:asciiTheme="minorHAnsi" w:hAnsiTheme="minorHAnsi"/>
                <w:szCs w:val="24"/>
              </w:rPr>
            </w:pPr>
            <w:r w:rsidRPr="006B142F">
              <w:rPr>
                <w:rFonts w:asciiTheme="minorHAnsi" w:hAnsiTheme="minorHAnsi"/>
                <w:szCs w:val="24"/>
              </w:rPr>
              <w:t>Number of third party damage events  / total length of pip</w:t>
            </w:r>
            <w:r w:rsidR="00B20AEC" w:rsidRPr="006B142F">
              <w:rPr>
                <w:rFonts w:asciiTheme="minorHAnsi" w:hAnsiTheme="minorHAnsi"/>
                <w:szCs w:val="24"/>
              </w:rPr>
              <w:t>eline</w:t>
            </w:r>
            <w:r w:rsidRPr="006B142F">
              <w:rPr>
                <w:rFonts w:asciiTheme="minorHAnsi" w:hAnsiTheme="minorHAnsi"/>
                <w:szCs w:val="24"/>
              </w:rPr>
              <w:t xml:space="preserve"> (events/km)</w:t>
            </w:r>
          </w:p>
        </w:tc>
        <w:tc>
          <w:tcPr>
            <w:tcW w:w="4622" w:type="dxa"/>
          </w:tcPr>
          <w:p w:rsidR="0089227F" w:rsidRPr="006B142F" w:rsidRDefault="0089227F" w:rsidP="0089227F">
            <w:pPr>
              <w:pStyle w:val="Tablebodytext"/>
              <w:rPr>
                <w:rFonts w:asciiTheme="minorHAnsi" w:hAnsiTheme="minorHAnsi"/>
                <w:i/>
                <w:szCs w:val="24"/>
              </w:rPr>
            </w:pPr>
            <w:r w:rsidRPr="006B142F">
              <w:rPr>
                <w:rFonts w:asciiTheme="minorHAnsi" w:hAnsiTheme="minorHAnsi"/>
                <w:szCs w:val="24"/>
                <w:lang w:eastAsia="en-NZ"/>
              </w:rPr>
              <w:t xml:space="preserve">An event where a third party has caused damage requiring repair to the </w:t>
            </w:r>
            <w:proofErr w:type="spellStart"/>
            <w:r w:rsidRPr="006B142F">
              <w:rPr>
                <w:rFonts w:asciiTheme="minorHAnsi" w:hAnsiTheme="minorHAnsi"/>
                <w:szCs w:val="24"/>
                <w:lang w:eastAsia="en-NZ"/>
              </w:rPr>
              <w:t>GDBs</w:t>
            </w:r>
            <w:proofErr w:type="spellEnd"/>
            <w:r w:rsidRPr="006B142F">
              <w:rPr>
                <w:rFonts w:asciiTheme="minorHAnsi" w:hAnsiTheme="minorHAnsi"/>
                <w:szCs w:val="24"/>
                <w:lang w:eastAsia="en-NZ"/>
              </w:rPr>
              <w:t xml:space="preserve"> network or associated equipment. Third party damage excludes damage caused by related parties or contractors in the service of the GDB.</w:t>
            </w:r>
          </w:p>
        </w:tc>
      </w:tr>
      <w:tr w:rsidR="0089227F" w:rsidRPr="006B142F" w:rsidTr="00B20AEC">
        <w:trPr>
          <w:cantSplit/>
        </w:trPr>
        <w:tc>
          <w:tcPr>
            <w:tcW w:w="4621" w:type="dxa"/>
          </w:tcPr>
          <w:p w:rsidR="0089227F" w:rsidRPr="006B142F" w:rsidRDefault="0089227F" w:rsidP="0089227F">
            <w:pPr>
              <w:pStyle w:val="Tablebodytext"/>
              <w:rPr>
                <w:rFonts w:asciiTheme="minorHAnsi" w:hAnsiTheme="minorHAnsi"/>
                <w:szCs w:val="24"/>
              </w:rPr>
            </w:pPr>
            <w:r w:rsidRPr="006B142F">
              <w:rPr>
                <w:rFonts w:asciiTheme="minorHAnsi" w:hAnsiTheme="minorHAnsi"/>
                <w:szCs w:val="24"/>
              </w:rPr>
              <w:t>Number of unplanned outage events</w:t>
            </w:r>
          </w:p>
        </w:tc>
        <w:tc>
          <w:tcPr>
            <w:tcW w:w="4622" w:type="dxa"/>
          </w:tcPr>
          <w:p w:rsidR="0089227F" w:rsidRPr="006B142F" w:rsidRDefault="0089227F" w:rsidP="0089227F">
            <w:pPr>
              <w:pStyle w:val="Tablebodytext"/>
              <w:rPr>
                <w:rFonts w:asciiTheme="minorHAnsi" w:hAnsiTheme="minorHAnsi"/>
                <w:szCs w:val="24"/>
              </w:rPr>
            </w:pPr>
            <w:r w:rsidRPr="006B142F">
              <w:rPr>
                <w:rFonts w:asciiTheme="minorHAnsi" w:hAnsiTheme="minorHAnsi"/>
                <w:szCs w:val="24"/>
              </w:rPr>
              <w:t>Means the number of unplanned interruptions that affect more than 5 customers</w:t>
            </w:r>
          </w:p>
        </w:tc>
      </w:tr>
      <w:tr w:rsidR="0089227F" w:rsidRPr="006B142F" w:rsidTr="00B20AEC">
        <w:trPr>
          <w:cantSplit/>
        </w:trPr>
        <w:tc>
          <w:tcPr>
            <w:tcW w:w="4621" w:type="dxa"/>
          </w:tcPr>
          <w:p w:rsidR="0089227F" w:rsidRPr="006B142F" w:rsidRDefault="0089227F" w:rsidP="0089227F">
            <w:pPr>
              <w:pStyle w:val="Tablebodytext"/>
              <w:rPr>
                <w:rFonts w:asciiTheme="minorHAnsi" w:hAnsiTheme="minorHAnsi"/>
                <w:szCs w:val="24"/>
              </w:rPr>
            </w:pPr>
            <w:r w:rsidRPr="006B142F">
              <w:rPr>
                <w:rFonts w:asciiTheme="minorHAnsi" w:hAnsiTheme="minorHAnsi"/>
                <w:szCs w:val="24"/>
              </w:rPr>
              <w:t>Number of unplanned outage events caused by third party damage (interruptions that affect more than 5 customers)</w:t>
            </w:r>
          </w:p>
        </w:tc>
        <w:tc>
          <w:tcPr>
            <w:tcW w:w="4622" w:type="dxa"/>
          </w:tcPr>
          <w:p w:rsidR="0089227F" w:rsidRPr="006B142F" w:rsidRDefault="0089227F" w:rsidP="0089227F">
            <w:pPr>
              <w:pStyle w:val="Tablebodytext"/>
              <w:rPr>
                <w:rFonts w:asciiTheme="minorHAnsi" w:hAnsiTheme="minorHAnsi"/>
                <w:szCs w:val="24"/>
              </w:rPr>
            </w:pPr>
            <w:r w:rsidRPr="006B142F">
              <w:rPr>
                <w:rFonts w:asciiTheme="minorHAnsi" w:hAnsiTheme="minorHAnsi"/>
                <w:szCs w:val="24"/>
              </w:rPr>
              <w:t>Means the number of unplanned interruptions that affect more than 5 customers caused by a third party and excludes interruptions caused by related parties or contractors in the service of the GDB</w:t>
            </w:r>
          </w:p>
        </w:tc>
      </w:tr>
      <w:tr w:rsidR="0089227F" w:rsidRPr="006B142F" w:rsidTr="00B20AEC">
        <w:trPr>
          <w:cantSplit/>
        </w:trPr>
        <w:tc>
          <w:tcPr>
            <w:tcW w:w="4621" w:type="dxa"/>
          </w:tcPr>
          <w:p w:rsidR="0089227F" w:rsidRPr="006B142F" w:rsidRDefault="0089227F" w:rsidP="0089227F">
            <w:pPr>
              <w:pStyle w:val="BodyText"/>
              <w:spacing w:line="264" w:lineRule="auto"/>
              <w:rPr>
                <w:rFonts w:asciiTheme="minorHAnsi" w:hAnsiTheme="minorHAnsi" w:cs="Arial"/>
                <w:bCs/>
                <w:lang w:eastAsia="en-NZ"/>
              </w:rPr>
            </w:pPr>
            <w:r w:rsidRPr="006B142F">
              <w:rPr>
                <w:rFonts w:asciiTheme="minorHAnsi" w:hAnsiTheme="minorHAnsi" w:cs="Arial"/>
                <w:bCs/>
                <w:lang w:eastAsia="en-NZ"/>
              </w:rPr>
              <w:t>Opening deferred tax</w:t>
            </w:r>
          </w:p>
        </w:tc>
        <w:tc>
          <w:tcPr>
            <w:tcW w:w="4622" w:type="dxa"/>
          </w:tcPr>
          <w:p w:rsidR="0089227F" w:rsidRPr="006B142F" w:rsidRDefault="0089227F" w:rsidP="0089227F">
            <w:pPr>
              <w:spacing w:line="264" w:lineRule="auto"/>
              <w:rPr>
                <w:rFonts w:asciiTheme="minorHAnsi" w:hAnsiTheme="minorHAnsi" w:cs="Arial"/>
                <w:lang w:eastAsia="en-NZ"/>
              </w:rPr>
            </w:pPr>
            <w:r w:rsidRPr="006B142F">
              <w:rPr>
                <w:rFonts w:asciiTheme="minorHAnsi" w:hAnsiTheme="minorHAnsi" w:cs="Arial"/>
                <w:lang w:eastAsia="en-NZ"/>
              </w:rPr>
              <w:t>has the meaning set out in the IM determination</w:t>
            </w:r>
          </w:p>
        </w:tc>
      </w:tr>
      <w:tr w:rsidR="0089227F" w:rsidRPr="006B142F" w:rsidTr="00B20AEC">
        <w:trPr>
          <w:cantSplit/>
        </w:trPr>
        <w:tc>
          <w:tcPr>
            <w:tcW w:w="4621" w:type="dxa"/>
          </w:tcPr>
          <w:p w:rsidR="0089227F" w:rsidRPr="006B142F" w:rsidRDefault="0089227F" w:rsidP="0089227F">
            <w:pPr>
              <w:pStyle w:val="BodyText"/>
              <w:spacing w:line="264" w:lineRule="auto"/>
              <w:rPr>
                <w:rFonts w:asciiTheme="minorHAnsi" w:hAnsiTheme="minorHAnsi" w:cs="Arial"/>
                <w:bCs/>
                <w:lang w:eastAsia="en-NZ"/>
              </w:rPr>
            </w:pPr>
            <w:r w:rsidRPr="006B142F">
              <w:rPr>
                <w:rFonts w:asciiTheme="minorHAnsi" w:hAnsiTheme="minorHAnsi" w:cs="Arial"/>
                <w:bCs/>
                <w:lang w:eastAsia="en-NZ"/>
              </w:rPr>
              <w:t>Opening RAB (tax value)</w:t>
            </w:r>
          </w:p>
        </w:tc>
        <w:tc>
          <w:tcPr>
            <w:tcW w:w="4622" w:type="dxa"/>
          </w:tcPr>
          <w:p w:rsidR="0089227F" w:rsidRPr="006B142F" w:rsidRDefault="0089227F" w:rsidP="0089227F">
            <w:pPr>
              <w:spacing w:line="264" w:lineRule="auto"/>
              <w:rPr>
                <w:rFonts w:asciiTheme="minorHAnsi" w:hAnsiTheme="minorHAnsi" w:cs="Arial"/>
                <w:lang w:eastAsia="en-NZ"/>
              </w:rPr>
            </w:pPr>
            <w:r w:rsidRPr="006B142F">
              <w:rPr>
                <w:rFonts w:asciiTheme="minorHAnsi" w:hAnsiTheme="minorHAnsi" w:cs="Arial"/>
                <w:lang w:eastAsia="en-NZ"/>
              </w:rPr>
              <w:t xml:space="preserve">means the sum of </w:t>
            </w:r>
            <w:r w:rsidRPr="006B142F">
              <w:rPr>
                <w:rFonts w:asciiTheme="minorHAnsi" w:hAnsiTheme="minorHAnsi" w:cs="Arial"/>
                <w:bCs/>
                <w:lang w:eastAsia="en-NZ"/>
              </w:rPr>
              <w:t>regulatory tax asset value</w:t>
            </w:r>
            <w:r w:rsidRPr="006B142F">
              <w:rPr>
                <w:rFonts w:asciiTheme="minorHAnsi" w:hAnsiTheme="minorHAnsi" w:cs="Arial"/>
                <w:lang w:eastAsia="en-NZ"/>
              </w:rPr>
              <w:t xml:space="preserve"> for assets included in</w:t>
            </w:r>
            <w:r w:rsidRPr="006B142F">
              <w:rPr>
                <w:rFonts w:asciiTheme="minorHAnsi" w:hAnsiTheme="minorHAnsi" w:cs="Arial"/>
                <w:bCs/>
                <w:lang w:eastAsia="en-NZ"/>
              </w:rPr>
              <w:t xml:space="preserve"> total opening RAB values</w:t>
            </w:r>
          </w:p>
        </w:tc>
      </w:tr>
      <w:tr w:rsidR="0089227F" w:rsidRPr="006B142F" w:rsidTr="00B20AEC">
        <w:trPr>
          <w:cantSplit/>
        </w:trPr>
        <w:tc>
          <w:tcPr>
            <w:tcW w:w="4621" w:type="dxa"/>
          </w:tcPr>
          <w:p w:rsidR="0089227F" w:rsidRPr="006B142F" w:rsidRDefault="0089227F" w:rsidP="0089227F">
            <w:pPr>
              <w:pStyle w:val="BodyText"/>
              <w:spacing w:line="264" w:lineRule="auto"/>
              <w:rPr>
                <w:rFonts w:asciiTheme="minorHAnsi" w:hAnsiTheme="minorHAnsi" w:cs="Arial"/>
                <w:bCs/>
                <w:lang w:eastAsia="en-NZ"/>
              </w:rPr>
            </w:pPr>
            <w:r w:rsidRPr="006B142F">
              <w:rPr>
                <w:rFonts w:asciiTheme="minorHAnsi" w:hAnsiTheme="minorHAnsi" w:cs="Arial"/>
                <w:bCs/>
                <w:lang w:eastAsia="en-NZ"/>
              </w:rPr>
              <w:t>Opening RIV</w:t>
            </w:r>
          </w:p>
        </w:tc>
        <w:tc>
          <w:tcPr>
            <w:tcW w:w="4622" w:type="dxa"/>
          </w:tcPr>
          <w:p w:rsidR="0089227F" w:rsidRPr="006B142F" w:rsidRDefault="0089227F" w:rsidP="0089227F">
            <w:pPr>
              <w:rPr>
                <w:rFonts w:asciiTheme="minorHAnsi" w:hAnsiTheme="minorHAnsi"/>
              </w:rPr>
            </w:pPr>
            <w:r w:rsidRPr="006B142F">
              <w:rPr>
                <w:rFonts w:asciiTheme="minorHAnsi" w:hAnsiTheme="minorHAnsi"/>
              </w:rPr>
              <w:t xml:space="preserve">means the sum of total opening RAB values plus opening deferred tax </w:t>
            </w:r>
          </w:p>
        </w:tc>
      </w:tr>
      <w:tr w:rsidR="0089227F" w:rsidRPr="006B142F" w:rsidTr="00B20AEC">
        <w:trPr>
          <w:cantSplit/>
        </w:trPr>
        <w:tc>
          <w:tcPr>
            <w:tcW w:w="4621" w:type="dxa"/>
          </w:tcPr>
          <w:p w:rsidR="0089227F" w:rsidRPr="006B142F" w:rsidRDefault="0089227F" w:rsidP="0089227F">
            <w:pPr>
              <w:pStyle w:val="BodyText"/>
              <w:spacing w:line="264" w:lineRule="auto"/>
              <w:rPr>
                <w:rFonts w:asciiTheme="minorHAnsi" w:hAnsiTheme="minorHAnsi" w:cs="Arial"/>
                <w:bCs/>
                <w:lang w:eastAsia="en-NZ"/>
              </w:rPr>
            </w:pPr>
            <w:r w:rsidRPr="006B142F">
              <w:rPr>
                <w:rFonts w:asciiTheme="minorHAnsi" w:hAnsiTheme="minorHAnsi" w:cs="Arial"/>
                <w:bCs/>
                <w:lang w:eastAsia="en-NZ"/>
              </w:rPr>
              <w:t>Opening tax losses</w:t>
            </w:r>
          </w:p>
        </w:tc>
        <w:tc>
          <w:tcPr>
            <w:tcW w:w="4622" w:type="dxa"/>
          </w:tcPr>
          <w:p w:rsidR="0089227F" w:rsidRPr="006B142F" w:rsidRDefault="0089227F" w:rsidP="0089227F">
            <w:pPr>
              <w:spacing w:line="264" w:lineRule="auto"/>
              <w:rPr>
                <w:rFonts w:asciiTheme="minorHAnsi" w:hAnsiTheme="minorHAnsi" w:cs="Arial"/>
                <w:lang w:eastAsia="en-NZ"/>
              </w:rPr>
            </w:pPr>
            <w:r w:rsidRPr="006B142F">
              <w:rPr>
                <w:rFonts w:asciiTheme="minorHAnsi" w:hAnsiTheme="minorHAnsi" w:cs="Arial"/>
                <w:lang w:eastAsia="en-NZ"/>
              </w:rPr>
              <w:t xml:space="preserve">has the meaning given to that term in clause 2.3.2(3) of the </w:t>
            </w:r>
            <w:r w:rsidRPr="006B142F">
              <w:rPr>
                <w:rFonts w:asciiTheme="minorHAnsi" w:hAnsiTheme="minorHAnsi" w:cs="Arial"/>
                <w:bCs/>
                <w:lang w:eastAsia="en-NZ"/>
              </w:rPr>
              <w:t>IM determination</w:t>
            </w:r>
          </w:p>
        </w:tc>
      </w:tr>
      <w:tr w:rsidR="0089227F" w:rsidRPr="006B142F" w:rsidTr="00B20AEC">
        <w:trPr>
          <w:cantSplit/>
        </w:trPr>
        <w:tc>
          <w:tcPr>
            <w:tcW w:w="4621" w:type="dxa"/>
          </w:tcPr>
          <w:p w:rsidR="0089227F" w:rsidRPr="006B142F" w:rsidRDefault="0089227F" w:rsidP="0089227F">
            <w:pPr>
              <w:pStyle w:val="BodyText"/>
              <w:spacing w:line="264" w:lineRule="auto"/>
              <w:rPr>
                <w:rFonts w:asciiTheme="minorHAnsi" w:hAnsiTheme="minorHAnsi" w:cs="Arial"/>
                <w:bCs/>
                <w:lang w:eastAsia="en-NZ"/>
              </w:rPr>
            </w:pPr>
            <w:r w:rsidRPr="006B142F">
              <w:rPr>
                <w:rFonts w:asciiTheme="minorHAnsi" w:hAnsiTheme="minorHAnsi" w:cs="Arial"/>
                <w:bCs/>
                <w:lang w:eastAsia="en-NZ"/>
              </w:rPr>
              <w:t>Opening unamortised initial differences in asset values</w:t>
            </w:r>
          </w:p>
        </w:tc>
        <w:tc>
          <w:tcPr>
            <w:tcW w:w="4622" w:type="dxa"/>
          </w:tcPr>
          <w:p w:rsidR="0089227F" w:rsidRPr="006B142F" w:rsidRDefault="0089227F" w:rsidP="0089227F">
            <w:pPr>
              <w:tabs>
                <w:tab w:val="left" w:pos="4045"/>
              </w:tabs>
              <w:spacing w:line="264" w:lineRule="auto"/>
              <w:rPr>
                <w:rFonts w:asciiTheme="minorHAnsi" w:hAnsiTheme="minorHAnsi" w:cs="Arial"/>
                <w:lang w:eastAsia="en-NZ"/>
              </w:rPr>
            </w:pPr>
            <w:r w:rsidRPr="006B142F">
              <w:rPr>
                <w:rFonts w:asciiTheme="minorHAnsi" w:hAnsiTheme="minorHAnsi" w:cs="Arial"/>
                <w:lang w:eastAsia="en-NZ"/>
              </w:rPr>
              <w:t xml:space="preserve">means closing unamortised initial differences in asset values for the preceding </w:t>
            </w:r>
            <w:r w:rsidRPr="006B142F">
              <w:rPr>
                <w:rFonts w:asciiTheme="minorHAnsi" w:hAnsiTheme="minorHAnsi" w:cs="Arial"/>
                <w:bCs/>
                <w:lang w:eastAsia="en-NZ"/>
              </w:rPr>
              <w:t>disclosure year</w:t>
            </w:r>
          </w:p>
        </w:tc>
      </w:tr>
      <w:tr w:rsidR="0089227F" w:rsidRPr="006B142F" w:rsidTr="00B20AEC">
        <w:trPr>
          <w:cantSplit/>
        </w:trPr>
        <w:tc>
          <w:tcPr>
            <w:tcW w:w="4621" w:type="dxa"/>
          </w:tcPr>
          <w:p w:rsidR="0089227F" w:rsidRPr="006B142F" w:rsidRDefault="0089227F" w:rsidP="0089227F">
            <w:pPr>
              <w:pStyle w:val="BodyText"/>
              <w:spacing w:line="264" w:lineRule="auto"/>
              <w:rPr>
                <w:rFonts w:asciiTheme="minorHAnsi" w:hAnsiTheme="minorHAnsi" w:cs="Arial"/>
                <w:bCs/>
                <w:lang w:eastAsia="en-NZ"/>
              </w:rPr>
            </w:pPr>
            <w:r w:rsidRPr="006B142F">
              <w:rPr>
                <w:rFonts w:asciiTheme="minorHAnsi" w:hAnsiTheme="minorHAnsi" w:cs="Arial"/>
                <w:bCs/>
                <w:lang w:eastAsia="en-NZ"/>
              </w:rPr>
              <w:t>Opening value of fully depreciated, disposed and lost assets</w:t>
            </w:r>
          </w:p>
        </w:tc>
        <w:tc>
          <w:tcPr>
            <w:tcW w:w="4622" w:type="dxa"/>
          </w:tcPr>
          <w:p w:rsidR="0089227F" w:rsidRPr="006B142F" w:rsidRDefault="0089227F" w:rsidP="0089227F">
            <w:pPr>
              <w:tabs>
                <w:tab w:val="left" w:pos="4045"/>
              </w:tabs>
              <w:spacing w:line="264" w:lineRule="auto"/>
              <w:rPr>
                <w:rFonts w:asciiTheme="minorHAnsi" w:hAnsiTheme="minorHAnsi" w:cs="Arial"/>
                <w:lang w:eastAsia="en-NZ"/>
              </w:rPr>
            </w:pPr>
            <w:r w:rsidRPr="006B142F">
              <w:rPr>
                <w:rFonts w:asciiTheme="minorHAnsi" w:hAnsiTheme="minorHAnsi" w:cs="Arial"/>
                <w:lang w:eastAsia="en-NZ"/>
              </w:rPr>
              <w:t xml:space="preserve">means </w:t>
            </w:r>
          </w:p>
          <w:p w:rsidR="0089227F" w:rsidRPr="006B142F" w:rsidRDefault="0089227F" w:rsidP="0089227F">
            <w:pPr>
              <w:pStyle w:val="ListParagraph"/>
              <w:numPr>
                <w:ilvl w:val="0"/>
                <w:numId w:val="31"/>
              </w:numPr>
              <w:tabs>
                <w:tab w:val="left" w:pos="4045"/>
              </w:tabs>
              <w:spacing w:line="264" w:lineRule="auto"/>
              <w:ind w:hanging="434"/>
              <w:rPr>
                <w:rFonts w:asciiTheme="minorHAnsi" w:hAnsiTheme="minorHAnsi" w:cs="Arial"/>
                <w:lang w:eastAsia="en-NZ"/>
              </w:rPr>
            </w:pPr>
            <w:r w:rsidRPr="006B142F">
              <w:rPr>
                <w:rFonts w:asciiTheme="minorHAnsi" w:hAnsiTheme="minorHAnsi" w:cs="Arial"/>
                <w:lang w:eastAsia="en-NZ"/>
              </w:rPr>
              <w:t xml:space="preserve">in relation to the </w:t>
            </w:r>
            <w:r w:rsidRPr="006B142F">
              <w:rPr>
                <w:rFonts w:asciiTheme="minorHAnsi" w:hAnsiTheme="minorHAnsi" w:cs="Arial"/>
                <w:bCs/>
                <w:lang w:eastAsia="en-NZ"/>
              </w:rPr>
              <w:t>unallocated RAB</w:t>
            </w:r>
            <w:r w:rsidRPr="006B142F">
              <w:rPr>
                <w:rFonts w:asciiTheme="minorHAnsi" w:hAnsiTheme="minorHAnsi" w:cs="Arial"/>
                <w:lang w:eastAsia="en-NZ"/>
              </w:rPr>
              <w:t xml:space="preserve">, the sum of </w:t>
            </w:r>
            <w:r w:rsidRPr="006B142F">
              <w:rPr>
                <w:rFonts w:asciiTheme="minorHAnsi" w:hAnsiTheme="minorHAnsi" w:cs="Arial"/>
                <w:bCs/>
                <w:lang w:eastAsia="en-NZ"/>
              </w:rPr>
              <w:t>unallocated</w:t>
            </w:r>
            <w:r w:rsidRPr="006B142F">
              <w:rPr>
                <w:rFonts w:asciiTheme="minorHAnsi" w:hAnsiTheme="minorHAnsi" w:cs="Arial"/>
                <w:lang w:eastAsia="en-NZ"/>
              </w:rPr>
              <w:t xml:space="preserve"> </w:t>
            </w:r>
            <w:r w:rsidRPr="006B142F">
              <w:rPr>
                <w:rFonts w:asciiTheme="minorHAnsi" w:hAnsiTheme="minorHAnsi" w:cs="Arial"/>
                <w:bCs/>
                <w:lang w:eastAsia="en-NZ"/>
              </w:rPr>
              <w:t>RAB</w:t>
            </w:r>
            <w:r w:rsidRPr="006B142F">
              <w:rPr>
                <w:rFonts w:asciiTheme="minorHAnsi" w:hAnsiTheme="minorHAnsi" w:cs="Arial"/>
                <w:lang w:eastAsia="en-NZ"/>
              </w:rPr>
              <w:t xml:space="preserve"> </w:t>
            </w:r>
            <w:r w:rsidRPr="006B142F">
              <w:rPr>
                <w:rFonts w:asciiTheme="minorHAnsi" w:hAnsiTheme="minorHAnsi" w:cs="Arial"/>
                <w:bCs/>
                <w:lang w:eastAsia="en-NZ"/>
              </w:rPr>
              <w:t>values</w:t>
            </w:r>
            <w:r w:rsidRPr="006B142F">
              <w:rPr>
                <w:rFonts w:asciiTheme="minorHAnsi" w:hAnsiTheme="minorHAnsi" w:cs="Arial"/>
                <w:lang w:eastAsia="en-NZ"/>
              </w:rPr>
              <w:t xml:space="preserve"> of assets included in the total opening RAB values that are fully depreciated during the </w:t>
            </w:r>
            <w:r w:rsidRPr="006B142F">
              <w:rPr>
                <w:rFonts w:asciiTheme="minorHAnsi" w:hAnsiTheme="minorHAnsi" w:cs="Arial"/>
                <w:bCs/>
                <w:lang w:eastAsia="en-NZ"/>
              </w:rPr>
              <w:t xml:space="preserve">disclosure year, asset disposals </w:t>
            </w:r>
            <w:r w:rsidRPr="006B142F">
              <w:rPr>
                <w:rFonts w:asciiTheme="minorHAnsi" w:hAnsiTheme="minorHAnsi" w:cs="Arial"/>
                <w:lang w:eastAsia="en-NZ"/>
              </w:rPr>
              <w:t>and</w:t>
            </w:r>
            <w:r w:rsidRPr="006B142F">
              <w:rPr>
                <w:rFonts w:asciiTheme="minorHAnsi" w:hAnsiTheme="minorHAnsi" w:cs="Arial"/>
                <w:bCs/>
                <w:lang w:eastAsia="en-NZ"/>
              </w:rPr>
              <w:t xml:space="preserve"> </w:t>
            </w:r>
            <w:r w:rsidRPr="006B142F">
              <w:rPr>
                <w:rFonts w:asciiTheme="minorHAnsi" w:hAnsiTheme="minorHAnsi" w:cs="Arial"/>
                <w:lang w:eastAsia="en-NZ"/>
              </w:rPr>
              <w:t xml:space="preserve">lost assets included in </w:t>
            </w:r>
            <w:r w:rsidRPr="006B142F">
              <w:rPr>
                <w:rFonts w:asciiTheme="minorHAnsi" w:hAnsiTheme="minorHAnsi" w:cs="Arial"/>
                <w:bCs/>
                <w:lang w:eastAsia="en-NZ"/>
              </w:rPr>
              <w:t>lost and found assets adjustment;</w:t>
            </w:r>
          </w:p>
          <w:p w:rsidR="0089227F" w:rsidRPr="006B142F" w:rsidRDefault="0089227F" w:rsidP="0089227F">
            <w:pPr>
              <w:pStyle w:val="ListParagraph"/>
              <w:numPr>
                <w:ilvl w:val="0"/>
                <w:numId w:val="31"/>
              </w:numPr>
              <w:tabs>
                <w:tab w:val="left" w:pos="4045"/>
              </w:tabs>
              <w:spacing w:line="264" w:lineRule="auto"/>
              <w:ind w:hanging="434"/>
              <w:rPr>
                <w:rFonts w:asciiTheme="minorHAnsi" w:hAnsiTheme="minorHAnsi" w:cs="Arial"/>
                <w:lang w:eastAsia="en-NZ"/>
              </w:rPr>
            </w:pPr>
            <w:r w:rsidRPr="006B142F">
              <w:rPr>
                <w:rFonts w:asciiTheme="minorHAnsi" w:hAnsiTheme="minorHAnsi" w:cs="Arial"/>
                <w:lang w:eastAsia="en-NZ"/>
              </w:rPr>
              <w:t>in relation to the</w:t>
            </w:r>
            <w:r w:rsidRPr="006B142F">
              <w:rPr>
                <w:rFonts w:asciiTheme="minorHAnsi" w:hAnsiTheme="minorHAnsi" w:cs="Arial"/>
                <w:bCs/>
                <w:lang w:eastAsia="en-NZ"/>
              </w:rPr>
              <w:t xml:space="preserve"> RAB, </w:t>
            </w:r>
            <w:r w:rsidRPr="006B142F">
              <w:rPr>
                <w:rFonts w:asciiTheme="minorHAnsi" w:hAnsiTheme="minorHAnsi" w:cs="Arial"/>
                <w:lang w:eastAsia="en-NZ"/>
              </w:rPr>
              <w:t xml:space="preserve">the sum of </w:t>
            </w:r>
            <w:r w:rsidRPr="006B142F">
              <w:rPr>
                <w:rFonts w:asciiTheme="minorHAnsi" w:hAnsiTheme="minorHAnsi" w:cs="Arial"/>
                <w:bCs/>
                <w:lang w:eastAsia="en-NZ"/>
              </w:rPr>
              <w:t xml:space="preserve">RAB opening RAB values </w:t>
            </w:r>
            <w:r w:rsidRPr="006B142F">
              <w:rPr>
                <w:rFonts w:asciiTheme="minorHAnsi" w:hAnsiTheme="minorHAnsi" w:cs="Arial"/>
                <w:lang w:eastAsia="en-NZ"/>
              </w:rPr>
              <w:t>of assets that are fully depreciated during the</w:t>
            </w:r>
            <w:r w:rsidRPr="006B142F">
              <w:rPr>
                <w:rFonts w:asciiTheme="minorHAnsi" w:hAnsiTheme="minorHAnsi" w:cs="Arial"/>
                <w:bCs/>
                <w:lang w:eastAsia="en-NZ"/>
              </w:rPr>
              <w:t xml:space="preserve"> disclosure year, asset disposals </w:t>
            </w:r>
            <w:r w:rsidRPr="006B142F">
              <w:rPr>
                <w:rFonts w:asciiTheme="minorHAnsi" w:hAnsiTheme="minorHAnsi" w:cs="Arial"/>
                <w:lang w:eastAsia="en-NZ"/>
              </w:rPr>
              <w:t>and lost assets included</w:t>
            </w:r>
            <w:r w:rsidRPr="006B142F">
              <w:rPr>
                <w:rFonts w:asciiTheme="minorHAnsi" w:hAnsiTheme="minorHAnsi" w:cs="Arial"/>
                <w:bCs/>
                <w:lang w:eastAsia="en-NZ"/>
              </w:rPr>
              <w:t xml:space="preserve"> in the lost and found assets adjustment</w:t>
            </w:r>
          </w:p>
        </w:tc>
      </w:tr>
      <w:tr w:rsidR="0089227F" w:rsidRPr="006B142F" w:rsidTr="00B20AEC">
        <w:trPr>
          <w:cantSplit/>
        </w:trPr>
        <w:tc>
          <w:tcPr>
            <w:tcW w:w="4621" w:type="dxa"/>
          </w:tcPr>
          <w:p w:rsidR="0089227F" w:rsidRPr="006B142F" w:rsidRDefault="0089227F" w:rsidP="0089227F">
            <w:pPr>
              <w:pStyle w:val="BodyText"/>
              <w:spacing w:line="264" w:lineRule="auto"/>
              <w:rPr>
                <w:rFonts w:asciiTheme="minorHAnsi" w:hAnsiTheme="minorHAnsi" w:cs="Arial"/>
                <w:bCs/>
                <w:lang w:eastAsia="en-NZ"/>
              </w:rPr>
            </w:pPr>
            <w:r w:rsidRPr="006B142F">
              <w:rPr>
                <w:rFonts w:asciiTheme="minorHAnsi" w:hAnsiTheme="minorHAnsi" w:cs="Arial"/>
                <w:bCs/>
                <w:lang w:eastAsia="en-NZ"/>
              </w:rPr>
              <w:t>Operating surplus / (deficit)</w:t>
            </w:r>
          </w:p>
        </w:tc>
        <w:tc>
          <w:tcPr>
            <w:tcW w:w="4622" w:type="dxa"/>
          </w:tcPr>
          <w:p w:rsidR="0089227F" w:rsidRPr="006B142F" w:rsidRDefault="0089227F" w:rsidP="0089227F">
            <w:pPr>
              <w:spacing w:line="264" w:lineRule="auto"/>
              <w:rPr>
                <w:rFonts w:asciiTheme="minorHAnsi" w:hAnsiTheme="minorHAnsi" w:cs="Arial"/>
                <w:lang w:eastAsia="en-NZ"/>
              </w:rPr>
            </w:pPr>
            <w:r w:rsidRPr="006B142F">
              <w:rPr>
                <w:rFonts w:asciiTheme="minorHAnsi" w:hAnsiTheme="minorHAnsi" w:cs="Arial"/>
                <w:lang w:eastAsia="en-NZ"/>
              </w:rPr>
              <w:t xml:space="preserve">means </w:t>
            </w:r>
            <w:r w:rsidRPr="006B142F">
              <w:rPr>
                <w:rFonts w:asciiTheme="minorHAnsi" w:hAnsiTheme="minorHAnsi" w:cs="Arial"/>
                <w:bCs/>
                <w:lang w:eastAsia="en-NZ"/>
              </w:rPr>
              <w:t xml:space="preserve">total regulatory income </w:t>
            </w:r>
            <w:r w:rsidRPr="006B142F">
              <w:rPr>
                <w:rFonts w:asciiTheme="minorHAnsi" w:hAnsiTheme="minorHAnsi" w:cs="Arial"/>
                <w:lang w:eastAsia="en-NZ"/>
              </w:rPr>
              <w:t xml:space="preserve">less </w:t>
            </w:r>
            <w:r w:rsidRPr="006B142F">
              <w:rPr>
                <w:rFonts w:asciiTheme="minorHAnsi" w:hAnsiTheme="minorHAnsi" w:cs="Arial"/>
                <w:bCs/>
                <w:lang w:eastAsia="en-NZ"/>
              </w:rPr>
              <w:t>operational expenditure less pass through and recoverable costs</w:t>
            </w:r>
          </w:p>
        </w:tc>
      </w:tr>
      <w:tr w:rsidR="0089227F" w:rsidRPr="006B142F" w:rsidTr="00B20AEC">
        <w:trPr>
          <w:cantSplit/>
        </w:trPr>
        <w:tc>
          <w:tcPr>
            <w:tcW w:w="4621" w:type="dxa"/>
          </w:tcPr>
          <w:p w:rsidR="0089227F" w:rsidRPr="006B142F" w:rsidRDefault="0089227F" w:rsidP="0089227F">
            <w:pPr>
              <w:pStyle w:val="BodyText"/>
              <w:spacing w:line="264" w:lineRule="auto"/>
              <w:rPr>
                <w:rFonts w:asciiTheme="minorHAnsi" w:hAnsiTheme="minorHAnsi" w:cs="Arial"/>
                <w:bCs/>
                <w:lang w:eastAsia="en-NZ"/>
              </w:rPr>
            </w:pPr>
            <w:r w:rsidRPr="006B142F">
              <w:rPr>
                <w:rFonts w:asciiTheme="minorHAnsi" w:hAnsiTheme="minorHAnsi" w:cs="Arial"/>
                <w:bCs/>
                <w:lang w:eastAsia="en-NZ"/>
              </w:rPr>
              <w:t>Operational expenditure on distribution network</w:t>
            </w:r>
          </w:p>
        </w:tc>
        <w:tc>
          <w:tcPr>
            <w:tcW w:w="4622" w:type="dxa"/>
          </w:tcPr>
          <w:p w:rsidR="0089227F" w:rsidRPr="006B142F" w:rsidRDefault="0089227F" w:rsidP="0089227F">
            <w:pPr>
              <w:spacing w:line="264" w:lineRule="auto"/>
              <w:rPr>
                <w:rFonts w:asciiTheme="minorHAnsi" w:hAnsiTheme="minorHAnsi" w:cs="Arial"/>
                <w:lang w:eastAsia="en-NZ"/>
              </w:rPr>
            </w:pPr>
            <w:r w:rsidRPr="006B142F">
              <w:rPr>
                <w:rFonts w:asciiTheme="minorHAnsi" w:hAnsiTheme="minorHAnsi" w:cs="Arial"/>
                <w:lang w:eastAsia="en-NZ"/>
              </w:rPr>
              <w:t xml:space="preserve">means the sum of service interruptions, incidents and emergencies, </w:t>
            </w:r>
            <w:r w:rsidRPr="006B142F">
              <w:rPr>
                <w:rFonts w:asciiTheme="minorHAnsi" w:hAnsiTheme="minorHAnsi" w:cs="Arial"/>
                <w:bCs/>
                <w:lang w:eastAsia="en-NZ"/>
              </w:rPr>
              <w:t>routine and corrective maintenance and inspection, system operations and network support</w:t>
            </w:r>
          </w:p>
        </w:tc>
      </w:tr>
      <w:tr w:rsidR="0089227F" w:rsidRPr="006B142F" w:rsidTr="00B20AEC">
        <w:trPr>
          <w:cantSplit/>
        </w:trPr>
        <w:tc>
          <w:tcPr>
            <w:tcW w:w="4621" w:type="dxa"/>
          </w:tcPr>
          <w:p w:rsidR="0089227F" w:rsidRPr="006B142F" w:rsidRDefault="0089227F" w:rsidP="0089227F">
            <w:pPr>
              <w:pStyle w:val="BodyText"/>
              <w:spacing w:line="264" w:lineRule="auto"/>
              <w:rPr>
                <w:rFonts w:asciiTheme="minorHAnsi" w:hAnsiTheme="minorHAnsi" w:cs="Arial"/>
                <w:bCs/>
                <w:lang w:eastAsia="en-NZ"/>
              </w:rPr>
            </w:pPr>
            <w:r w:rsidRPr="006B142F">
              <w:rPr>
                <w:rFonts w:asciiTheme="minorHAnsi" w:hAnsiTheme="minorHAnsi" w:cs="Arial"/>
                <w:bCs/>
                <w:lang w:eastAsia="en-NZ"/>
              </w:rPr>
              <w:t>Original allocation</w:t>
            </w:r>
          </w:p>
        </w:tc>
        <w:tc>
          <w:tcPr>
            <w:tcW w:w="4622" w:type="dxa"/>
          </w:tcPr>
          <w:p w:rsidR="0089227F" w:rsidRPr="006B142F" w:rsidRDefault="0089227F" w:rsidP="0089227F">
            <w:pPr>
              <w:spacing w:line="264" w:lineRule="auto"/>
              <w:rPr>
                <w:rFonts w:asciiTheme="minorHAnsi" w:hAnsiTheme="minorHAnsi" w:cs="Arial"/>
                <w:lang w:eastAsia="en-NZ"/>
              </w:rPr>
            </w:pPr>
            <w:r w:rsidRPr="006B142F">
              <w:rPr>
                <w:rFonts w:asciiTheme="minorHAnsi" w:hAnsiTheme="minorHAnsi" w:cs="Arial"/>
                <w:lang w:eastAsia="en-NZ"/>
              </w:rPr>
              <w:t xml:space="preserve">means the operating costs or regulated service asset values allocated to gas distribution services in accordance with the original </w:t>
            </w:r>
            <w:proofErr w:type="spellStart"/>
            <w:r w:rsidRPr="006B142F">
              <w:rPr>
                <w:rFonts w:asciiTheme="minorHAnsi" w:hAnsiTheme="minorHAnsi" w:cs="Arial"/>
                <w:lang w:eastAsia="en-NZ"/>
              </w:rPr>
              <w:t>allocator</w:t>
            </w:r>
            <w:proofErr w:type="spellEnd"/>
            <w:r w:rsidRPr="006B142F">
              <w:rPr>
                <w:rFonts w:asciiTheme="minorHAnsi" w:hAnsiTheme="minorHAnsi" w:cs="Arial"/>
                <w:lang w:eastAsia="en-NZ"/>
              </w:rPr>
              <w:t xml:space="preserve"> and line items for each of the relevant disclosure years</w:t>
            </w:r>
          </w:p>
        </w:tc>
      </w:tr>
      <w:tr w:rsidR="0089227F" w:rsidRPr="006B142F" w:rsidTr="00B20AEC">
        <w:trPr>
          <w:cantSplit/>
        </w:trPr>
        <w:tc>
          <w:tcPr>
            <w:tcW w:w="4621" w:type="dxa"/>
          </w:tcPr>
          <w:p w:rsidR="0089227F" w:rsidRPr="006B142F" w:rsidRDefault="0089227F" w:rsidP="0089227F">
            <w:pPr>
              <w:pStyle w:val="BodyText"/>
              <w:spacing w:line="264" w:lineRule="auto"/>
              <w:rPr>
                <w:rFonts w:asciiTheme="minorHAnsi" w:hAnsiTheme="minorHAnsi" w:cs="Arial"/>
                <w:bCs/>
                <w:lang w:eastAsia="en-NZ"/>
              </w:rPr>
            </w:pPr>
            <w:r w:rsidRPr="006B142F">
              <w:rPr>
                <w:rFonts w:asciiTheme="minorHAnsi" w:hAnsiTheme="minorHAnsi" w:cs="Arial"/>
                <w:bCs/>
                <w:lang w:eastAsia="en-NZ"/>
              </w:rPr>
              <w:t xml:space="preserve">Original </w:t>
            </w:r>
            <w:proofErr w:type="spellStart"/>
            <w:r w:rsidRPr="006B142F">
              <w:rPr>
                <w:rFonts w:asciiTheme="minorHAnsi" w:hAnsiTheme="minorHAnsi" w:cs="Arial"/>
                <w:bCs/>
                <w:lang w:eastAsia="en-NZ"/>
              </w:rPr>
              <w:t>allocator</w:t>
            </w:r>
            <w:proofErr w:type="spellEnd"/>
            <w:r w:rsidRPr="006B142F">
              <w:rPr>
                <w:rFonts w:asciiTheme="minorHAnsi" w:hAnsiTheme="minorHAnsi" w:cs="Arial"/>
                <w:bCs/>
                <w:lang w:eastAsia="en-NZ"/>
              </w:rPr>
              <w:t xml:space="preserve"> or line items</w:t>
            </w:r>
          </w:p>
        </w:tc>
        <w:tc>
          <w:tcPr>
            <w:tcW w:w="4622" w:type="dxa"/>
          </w:tcPr>
          <w:p w:rsidR="0089227F" w:rsidRPr="006B142F" w:rsidRDefault="0089227F" w:rsidP="0089227F">
            <w:pPr>
              <w:spacing w:line="264" w:lineRule="auto"/>
              <w:rPr>
                <w:rFonts w:asciiTheme="minorHAnsi" w:hAnsiTheme="minorHAnsi" w:cs="Arial"/>
                <w:lang w:eastAsia="en-NZ"/>
              </w:rPr>
            </w:pPr>
            <w:r w:rsidRPr="006B142F">
              <w:rPr>
                <w:rFonts w:asciiTheme="minorHAnsi" w:hAnsiTheme="minorHAnsi" w:cs="Arial"/>
                <w:lang w:eastAsia="en-NZ"/>
              </w:rPr>
              <w:t xml:space="preserve">means the </w:t>
            </w:r>
            <w:proofErr w:type="spellStart"/>
            <w:r w:rsidRPr="006B142F">
              <w:rPr>
                <w:rFonts w:asciiTheme="minorHAnsi" w:hAnsiTheme="minorHAnsi" w:cs="Arial"/>
                <w:lang w:eastAsia="en-NZ"/>
              </w:rPr>
              <w:t>allocator</w:t>
            </w:r>
            <w:proofErr w:type="spellEnd"/>
            <w:r w:rsidRPr="006B142F">
              <w:rPr>
                <w:rFonts w:asciiTheme="minorHAnsi" w:hAnsiTheme="minorHAnsi" w:cs="Arial"/>
                <w:lang w:eastAsia="en-NZ"/>
              </w:rPr>
              <w:t xml:space="preserve"> or line items that were used prior to the change in </w:t>
            </w:r>
            <w:proofErr w:type="spellStart"/>
            <w:r w:rsidRPr="006B142F">
              <w:rPr>
                <w:rFonts w:asciiTheme="minorHAnsi" w:hAnsiTheme="minorHAnsi" w:cs="Arial"/>
                <w:lang w:eastAsia="en-NZ"/>
              </w:rPr>
              <w:t>allocator</w:t>
            </w:r>
            <w:proofErr w:type="spellEnd"/>
            <w:r w:rsidRPr="006B142F">
              <w:rPr>
                <w:rFonts w:asciiTheme="minorHAnsi" w:hAnsiTheme="minorHAnsi" w:cs="Arial"/>
                <w:lang w:eastAsia="en-NZ"/>
              </w:rPr>
              <w:t xml:space="preserve"> or line items</w:t>
            </w:r>
          </w:p>
        </w:tc>
      </w:tr>
      <w:tr w:rsidR="0089227F" w:rsidRPr="006B142F" w:rsidTr="00B20AEC">
        <w:trPr>
          <w:cantSplit/>
        </w:trPr>
        <w:tc>
          <w:tcPr>
            <w:tcW w:w="4621" w:type="dxa"/>
          </w:tcPr>
          <w:p w:rsidR="0089227F" w:rsidRPr="006B142F" w:rsidRDefault="0089227F" w:rsidP="0089227F">
            <w:pPr>
              <w:spacing w:line="264" w:lineRule="auto"/>
              <w:rPr>
                <w:rFonts w:asciiTheme="minorHAnsi" w:hAnsiTheme="minorHAnsi"/>
              </w:rPr>
            </w:pPr>
            <w:r w:rsidRPr="006B142F">
              <w:rPr>
                <w:rFonts w:asciiTheme="minorHAnsi" w:hAnsiTheme="minorHAnsi"/>
                <w:bCs/>
              </w:rPr>
              <w:t>Original requirements</w:t>
            </w:r>
            <w:r w:rsidRPr="006B142F">
              <w:rPr>
                <w:rFonts w:asciiTheme="minorHAnsi" w:hAnsiTheme="minorHAnsi"/>
              </w:rPr>
              <w:t xml:space="preserve"> </w:t>
            </w:r>
          </w:p>
        </w:tc>
        <w:tc>
          <w:tcPr>
            <w:tcW w:w="4622" w:type="dxa"/>
          </w:tcPr>
          <w:p w:rsidR="0089227F" w:rsidRPr="006B142F" w:rsidRDefault="0089227F" w:rsidP="00B20AEC">
            <w:pPr>
              <w:tabs>
                <w:tab w:val="left" w:pos="4045"/>
              </w:tabs>
              <w:spacing w:line="264" w:lineRule="auto"/>
              <w:rPr>
                <w:rFonts w:asciiTheme="minorHAnsi" w:hAnsiTheme="minorHAnsi" w:cs="Arial"/>
                <w:lang w:eastAsia="en-NZ"/>
              </w:rPr>
            </w:pPr>
            <w:r w:rsidRPr="006B142F">
              <w:rPr>
                <w:rFonts w:asciiTheme="minorHAnsi" w:hAnsiTheme="minorHAnsi"/>
              </w:rPr>
              <w:t xml:space="preserve">means the Gas (Information Disclosure) </w:t>
            </w:r>
            <w:r w:rsidR="00B20AEC" w:rsidRPr="006B142F">
              <w:rPr>
                <w:rFonts w:asciiTheme="minorHAnsi" w:hAnsiTheme="minorHAnsi"/>
              </w:rPr>
              <w:t>Regulations</w:t>
            </w:r>
            <w:r w:rsidRPr="006B142F">
              <w:rPr>
                <w:rFonts w:asciiTheme="minorHAnsi" w:hAnsiTheme="minorHAnsi"/>
              </w:rPr>
              <w:t xml:space="preserve"> 1997</w:t>
            </w:r>
          </w:p>
        </w:tc>
      </w:tr>
      <w:tr w:rsidR="0089227F" w:rsidRPr="006B142F" w:rsidTr="00B20AEC">
        <w:trPr>
          <w:cantSplit/>
        </w:trPr>
        <w:tc>
          <w:tcPr>
            <w:tcW w:w="4621" w:type="dxa"/>
          </w:tcPr>
          <w:p w:rsidR="0089227F" w:rsidRPr="006B142F" w:rsidRDefault="0089227F" w:rsidP="0089227F">
            <w:pPr>
              <w:pStyle w:val="BodyText"/>
              <w:spacing w:line="264" w:lineRule="auto"/>
              <w:rPr>
                <w:rFonts w:asciiTheme="minorHAnsi" w:hAnsiTheme="minorHAnsi" w:cs="Arial"/>
                <w:bCs/>
                <w:lang w:eastAsia="en-NZ"/>
              </w:rPr>
            </w:pPr>
            <w:r w:rsidRPr="006B142F">
              <w:rPr>
                <w:rFonts w:asciiTheme="minorHAnsi" w:hAnsiTheme="minorHAnsi" w:cs="Arial"/>
                <w:bCs/>
                <w:lang w:eastAsia="en-NZ"/>
              </w:rPr>
              <w:t>Original tenor</w:t>
            </w:r>
          </w:p>
        </w:tc>
        <w:tc>
          <w:tcPr>
            <w:tcW w:w="4622" w:type="dxa"/>
          </w:tcPr>
          <w:p w:rsidR="0089227F" w:rsidRPr="006B142F" w:rsidRDefault="0089227F" w:rsidP="0089227F">
            <w:pPr>
              <w:tabs>
                <w:tab w:val="left" w:pos="4045"/>
              </w:tabs>
              <w:spacing w:line="264" w:lineRule="auto"/>
              <w:rPr>
                <w:rFonts w:asciiTheme="minorHAnsi" w:hAnsiTheme="minorHAnsi" w:cs="Arial"/>
                <w:lang w:eastAsia="en-NZ"/>
              </w:rPr>
            </w:pPr>
            <w:r w:rsidRPr="006B142F">
              <w:rPr>
                <w:rFonts w:asciiTheme="minorHAnsi" w:hAnsiTheme="minorHAnsi" w:cs="Arial"/>
                <w:lang w:eastAsia="en-NZ"/>
              </w:rPr>
              <w:t>means:</w:t>
            </w:r>
          </w:p>
          <w:p w:rsidR="0089227F" w:rsidRPr="006B142F" w:rsidRDefault="0089227F" w:rsidP="0089227F">
            <w:pPr>
              <w:pStyle w:val="ListParagraph"/>
              <w:numPr>
                <w:ilvl w:val="0"/>
                <w:numId w:val="32"/>
              </w:numPr>
              <w:tabs>
                <w:tab w:val="left" w:pos="4045"/>
              </w:tabs>
              <w:spacing w:line="264" w:lineRule="auto"/>
              <w:rPr>
                <w:rFonts w:asciiTheme="minorHAnsi" w:hAnsiTheme="minorHAnsi" w:cs="Arial"/>
                <w:lang w:eastAsia="en-NZ"/>
              </w:rPr>
            </w:pPr>
            <w:r w:rsidRPr="006B142F">
              <w:rPr>
                <w:rFonts w:asciiTheme="minorHAnsi" w:hAnsiTheme="minorHAnsi" w:cs="Arial"/>
                <w:lang w:eastAsia="en-NZ"/>
              </w:rPr>
              <w:t xml:space="preserve">where the </w:t>
            </w:r>
            <w:r w:rsidRPr="006B142F">
              <w:rPr>
                <w:rFonts w:asciiTheme="minorHAnsi" w:hAnsiTheme="minorHAnsi" w:cs="Arial"/>
                <w:bCs/>
                <w:lang w:eastAsia="en-NZ"/>
              </w:rPr>
              <w:t>qualifying debt</w:t>
            </w:r>
            <w:r w:rsidRPr="006B142F">
              <w:rPr>
                <w:rFonts w:asciiTheme="minorHAnsi" w:hAnsiTheme="minorHAnsi" w:cs="Arial"/>
                <w:lang w:eastAsia="en-NZ"/>
              </w:rPr>
              <w:t xml:space="preserve"> or </w:t>
            </w:r>
            <w:r w:rsidRPr="006B142F">
              <w:rPr>
                <w:rFonts w:asciiTheme="minorHAnsi" w:hAnsiTheme="minorHAnsi" w:cs="Arial"/>
                <w:bCs/>
                <w:lang w:eastAsia="en-NZ"/>
              </w:rPr>
              <w:t>non-qualifying debt</w:t>
            </w:r>
            <w:r w:rsidRPr="006B142F">
              <w:rPr>
                <w:rFonts w:asciiTheme="minorHAnsi" w:hAnsiTheme="minorHAnsi" w:cs="Arial"/>
                <w:lang w:eastAsia="en-NZ"/>
              </w:rPr>
              <w:t xml:space="preserve"> is not issued to a </w:t>
            </w:r>
            <w:r w:rsidRPr="006B142F">
              <w:rPr>
                <w:rFonts w:asciiTheme="minorHAnsi" w:hAnsiTheme="minorHAnsi" w:cs="Arial"/>
                <w:bCs/>
                <w:lang w:eastAsia="en-NZ"/>
              </w:rPr>
              <w:t>related party</w:t>
            </w:r>
            <w:r w:rsidRPr="006B142F">
              <w:rPr>
                <w:rFonts w:asciiTheme="minorHAnsi" w:hAnsiTheme="minorHAnsi" w:cs="Arial"/>
                <w:lang w:eastAsia="en-NZ"/>
              </w:rPr>
              <w:t xml:space="preserve">, the term of a </w:t>
            </w:r>
            <w:r w:rsidRPr="006B142F">
              <w:rPr>
                <w:rFonts w:asciiTheme="minorHAnsi" w:hAnsiTheme="minorHAnsi" w:cs="Arial"/>
                <w:bCs/>
                <w:lang w:eastAsia="en-NZ"/>
              </w:rPr>
              <w:t>qualifying debt</w:t>
            </w:r>
            <w:r w:rsidRPr="006B142F">
              <w:rPr>
                <w:rFonts w:asciiTheme="minorHAnsi" w:hAnsiTheme="minorHAnsi" w:cs="Arial"/>
                <w:lang w:eastAsia="en-NZ"/>
              </w:rPr>
              <w:t xml:space="preserve"> or </w:t>
            </w:r>
            <w:r w:rsidRPr="006B142F">
              <w:rPr>
                <w:rFonts w:asciiTheme="minorHAnsi" w:hAnsiTheme="minorHAnsi" w:cs="Arial"/>
                <w:bCs/>
                <w:lang w:eastAsia="en-NZ"/>
              </w:rPr>
              <w:t xml:space="preserve">non-qualifying debt </w:t>
            </w:r>
            <w:r w:rsidRPr="006B142F">
              <w:rPr>
                <w:rFonts w:asciiTheme="minorHAnsi" w:hAnsiTheme="minorHAnsi" w:cs="Arial"/>
                <w:lang w:eastAsia="en-NZ"/>
              </w:rPr>
              <w:t xml:space="preserve">at the </w:t>
            </w:r>
            <w:r w:rsidRPr="006B142F">
              <w:rPr>
                <w:rFonts w:asciiTheme="minorHAnsi" w:hAnsiTheme="minorHAnsi" w:cs="Arial"/>
                <w:bCs/>
                <w:lang w:eastAsia="en-NZ"/>
              </w:rPr>
              <w:t>issue date</w:t>
            </w:r>
            <w:r w:rsidRPr="006B142F">
              <w:rPr>
                <w:rFonts w:asciiTheme="minorHAnsi" w:hAnsiTheme="minorHAnsi" w:cs="Arial"/>
                <w:lang w:eastAsia="en-NZ"/>
              </w:rPr>
              <w:t>;</w:t>
            </w:r>
          </w:p>
          <w:p w:rsidR="0089227F" w:rsidRPr="006B142F" w:rsidRDefault="0089227F" w:rsidP="0089227F">
            <w:pPr>
              <w:pStyle w:val="ListParagraph"/>
              <w:numPr>
                <w:ilvl w:val="0"/>
                <w:numId w:val="32"/>
              </w:numPr>
              <w:tabs>
                <w:tab w:val="left" w:pos="4045"/>
              </w:tabs>
              <w:spacing w:line="264" w:lineRule="auto"/>
              <w:rPr>
                <w:rFonts w:asciiTheme="minorHAnsi" w:hAnsiTheme="minorHAnsi" w:cs="Arial"/>
                <w:lang w:eastAsia="en-NZ"/>
              </w:rPr>
            </w:pPr>
            <w:r w:rsidRPr="006B142F">
              <w:rPr>
                <w:rFonts w:asciiTheme="minorHAnsi" w:hAnsiTheme="minorHAnsi" w:cs="Arial"/>
                <w:lang w:eastAsia="en-NZ"/>
              </w:rPr>
              <w:t xml:space="preserve">where the </w:t>
            </w:r>
            <w:r w:rsidRPr="006B142F">
              <w:rPr>
                <w:rFonts w:asciiTheme="minorHAnsi" w:hAnsiTheme="minorHAnsi" w:cs="Arial"/>
                <w:bCs/>
                <w:lang w:eastAsia="en-NZ"/>
              </w:rPr>
              <w:t>qualifying debt</w:t>
            </w:r>
            <w:r w:rsidRPr="006B142F">
              <w:rPr>
                <w:rFonts w:asciiTheme="minorHAnsi" w:hAnsiTheme="minorHAnsi" w:cs="Arial"/>
                <w:lang w:eastAsia="en-NZ"/>
              </w:rPr>
              <w:t xml:space="preserve"> or </w:t>
            </w:r>
            <w:r w:rsidRPr="006B142F">
              <w:rPr>
                <w:rFonts w:asciiTheme="minorHAnsi" w:hAnsiTheme="minorHAnsi" w:cs="Arial"/>
                <w:bCs/>
                <w:lang w:eastAsia="en-NZ"/>
              </w:rPr>
              <w:t>non-qualifying debt</w:t>
            </w:r>
            <w:r w:rsidRPr="006B142F">
              <w:rPr>
                <w:rFonts w:asciiTheme="minorHAnsi" w:hAnsiTheme="minorHAnsi" w:cs="Arial"/>
                <w:lang w:eastAsia="en-NZ"/>
              </w:rPr>
              <w:t xml:space="preserve"> is issued to a </w:t>
            </w:r>
            <w:r w:rsidRPr="006B142F">
              <w:rPr>
                <w:rFonts w:asciiTheme="minorHAnsi" w:hAnsiTheme="minorHAnsi" w:cs="Arial"/>
                <w:bCs/>
                <w:lang w:eastAsia="en-NZ"/>
              </w:rPr>
              <w:t>related party</w:t>
            </w:r>
            <w:r w:rsidRPr="006B142F">
              <w:rPr>
                <w:rFonts w:asciiTheme="minorHAnsi" w:hAnsiTheme="minorHAnsi" w:cs="Arial"/>
                <w:lang w:eastAsia="en-NZ"/>
              </w:rPr>
              <w:t>, the shorter of the-</w:t>
            </w:r>
          </w:p>
          <w:p w:rsidR="0089227F" w:rsidRPr="006B142F" w:rsidRDefault="0089227F" w:rsidP="0089227F">
            <w:pPr>
              <w:pStyle w:val="ListParagraph"/>
              <w:numPr>
                <w:ilvl w:val="1"/>
                <w:numId w:val="33"/>
              </w:numPr>
              <w:tabs>
                <w:tab w:val="clear" w:pos="1920"/>
                <w:tab w:val="left" w:pos="4045"/>
              </w:tabs>
              <w:spacing w:line="264" w:lineRule="auto"/>
              <w:ind w:left="884" w:hanging="425"/>
              <w:rPr>
                <w:rFonts w:asciiTheme="minorHAnsi" w:hAnsiTheme="minorHAnsi" w:cs="Arial"/>
                <w:lang w:eastAsia="en-NZ"/>
              </w:rPr>
            </w:pPr>
            <w:r w:rsidRPr="006B142F">
              <w:rPr>
                <w:rFonts w:asciiTheme="minorHAnsi" w:hAnsiTheme="minorHAnsi" w:cs="Arial"/>
                <w:lang w:eastAsia="en-NZ"/>
              </w:rPr>
              <w:t xml:space="preserve">the tenor of the </w:t>
            </w:r>
            <w:r w:rsidRPr="006B142F">
              <w:rPr>
                <w:rFonts w:asciiTheme="minorHAnsi" w:hAnsiTheme="minorHAnsi" w:cs="Arial"/>
                <w:bCs/>
                <w:lang w:eastAsia="en-NZ"/>
              </w:rPr>
              <w:t>qualifying debt</w:t>
            </w:r>
            <w:r w:rsidRPr="006B142F">
              <w:rPr>
                <w:rFonts w:asciiTheme="minorHAnsi" w:hAnsiTheme="minorHAnsi" w:cs="Arial"/>
                <w:lang w:eastAsia="en-NZ"/>
              </w:rPr>
              <w:t>; or</w:t>
            </w:r>
          </w:p>
          <w:p w:rsidR="0089227F" w:rsidRPr="006B142F" w:rsidRDefault="0089227F" w:rsidP="0089227F">
            <w:pPr>
              <w:pStyle w:val="ListParagraph"/>
              <w:numPr>
                <w:ilvl w:val="1"/>
                <w:numId w:val="33"/>
              </w:numPr>
              <w:tabs>
                <w:tab w:val="clear" w:pos="1920"/>
                <w:tab w:val="left" w:pos="4045"/>
              </w:tabs>
              <w:spacing w:line="264" w:lineRule="auto"/>
              <w:ind w:left="884" w:hanging="425"/>
              <w:rPr>
                <w:rFonts w:asciiTheme="minorHAnsi" w:hAnsiTheme="minorHAnsi" w:cs="Arial"/>
                <w:lang w:eastAsia="en-NZ"/>
              </w:rPr>
            </w:pPr>
            <w:r w:rsidRPr="006B142F">
              <w:rPr>
                <w:rFonts w:asciiTheme="minorHAnsi" w:hAnsiTheme="minorHAnsi" w:cs="Arial"/>
                <w:lang w:eastAsia="en-NZ"/>
              </w:rPr>
              <w:t xml:space="preserve">the period from the </w:t>
            </w:r>
            <w:r w:rsidRPr="006B142F">
              <w:rPr>
                <w:rFonts w:asciiTheme="minorHAnsi" w:hAnsiTheme="minorHAnsi" w:cs="Arial"/>
                <w:bCs/>
                <w:lang w:eastAsia="en-NZ"/>
              </w:rPr>
              <w:t>qualifying debt</w:t>
            </w:r>
            <w:r w:rsidRPr="006B142F">
              <w:rPr>
                <w:rFonts w:asciiTheme="minorHAnsi" w:hAnsiTheme="minorHAnsi" w:cs="Arial"/>
                <w:lang w:eastAsia="en-NZ"/>
              </w:rPr>
              <w:t xml:space="preserve">'s </w:t>
            </w:r>
            <w:r w:rsidRPr="006B142F">
              <w:rPr>
                <w:rFonts w:asciiTheme="minorHAnsi" w:hAnsiTheme="minorHAnsi" w:cs="Arial"/>
                <w:bCs/>
                <w:lang w:eastAsia="en-NZ"/>
              </w:rPr>
              <w:t>issue date</w:t>
            </w:r>
            <w:r w:rsidRPr="006B142F">
              <w:rPr>
                <w:rFonts w:asciiTheme="minorHAnsi" w:hAnsiTheme="minorHAnsi" w:cs="Arial"/>
                <w:lang w:eastAsia="en-NZ"/>
              </w:rPr>
              <w:t xml:space="preserve"> to the earliest date on which its repayment is or may be required</w:t>
            </w:r>
          </w:p>
        </w:tc>
      </w:tr>
      <w:tr w:rsidR="0089227F" w:rsidRPr="006B142F" w:rsidTr="00B20AEC">
        <w:trPr>
          <w:cantSplit/>
        </w:trPr>
        <w:tc>
          <w:tcPr>
            <w:tcW w:w="4621" w:type="dxa"/>
          </w:tcPr>
          <w:p w:rsidR="0089227F" w:rsidRPr="006B142F" w:rsidRDefault="0089227F" w:rsidP="0089227F">
            <w:pPr>
              <w:pStyle w:val="BodyText"/>
              <w:spacing w:line="264" w:lineRule="auto"/>
              <w:rPr>
                <w:rFonts w:asciiTheme="minorHAnsi" w:hAnsiTheme="minorHAnsi" w:cs="Arial"/>
                <w:bCs/>
                <w:lang w:eastAsia="en-NZ"/>
              </w:rPr>
            </w:pPr>
            <w:r w:rsidRPr="006B142F">
              <w:rPr>
                <w:rFonts w:asciiTheme="minorHAnsi" w:hAnsiTheme="minorHAnsi" w:cs="Arial"/>
                <w:bCs/>
                <w:lang w:eastAsia="en-NZ"/>
              </w:rPr>
              <w:t>Other adjustments to the RAB tax value</w:t>
            </w:r>
          </w:p>
        </w:tc>
        <w:tc>
          <w:tcPr>
            <w:tcW w:w="4622" w:type="dxa"/>
          </w:tcPr>
          <w:p w:rsidR="0089227F" w:rsidRPr="006B142F" w:rsidRDefault="0089227F" w:rsidP="0089227F">
            <w:pPr>
              <w:tabs>
                <w:tab w:val="left" w:pos="601"/>
                <w:tab w:val="left" w:pos="1026"/>
                <w:tab w:val="left" w:pos="1451"/>
              </w:tabs>
              <w:spacing w:line="264" w:lineRule="auto"/>
              <w:rPr>
                <w:rFonts w:asciiTheme="minorHAnsi" w:hAnsiTheme="minorHAnsi" w:cs="Arial"/>
                <w:lang w:eastAsia="en-NZ"/>
              </w:rPr>
            </w:pPr>
            <w:r w:rsidRPr="006B142F">
              <w:rPr>
                <w:rFonts w:asciiTheme="minorHAnsi" w:hAnsiTheme="minorHAnsi" w:cs="Arial"/>
                <w:lang w:eastAsia="en-NZ"/>
              </w:rPr>
              <w:t>means</w:t>
            </w:r>
          </w:p>
          <w:p w:rsidR="0089227F" w:rsidRPr="006B142F" w:rsidRDefault="0089227F" w:rsidP="0089227F">
            <w:pPr>
              <w:tabs>
                <w:tab w:val="left" w:pos="601"/>
                <w:tab w:val="left" w:pos="1026"/>
                <w:tab w:val="left" w:pos="1451"/>
              </w:tabs>
              <w:spacing w:before="120" w:after="120" w:line="264" w:lineRule="auto"/>
              <w:rPr>
                <w:rFonts w:asciiTheme="minorHAnsi" w:hAnsiTheme="minorHAnsi"/>
              </w:rPr>
            </w:pPr>
            <w:r w:rsidRPr="006B142F">
              <w:rPr>
                <w:rFonts w:asciiTheme="minorHAnsi" w:hAnsiTheme="minorHAnsi"/>
                <w:position w:val="-10"/>
              </w:rPr>
              <w:tab/>
            </w:r>
            <w:r w:rsidRPr="006B142F">
              <w:rPr>
                <w:rFonts w:asciiTheme="minorHAnsi" w:hAnsiTheme="minorHAnsi"/>
                <w:position w:val="-10"/>
              </w:rPr>
              <w:object w:dxaOrig="200" w:dyaOrig="240">
                <v:shape id="_x0000_i1047" type="#_x0000_t75" style="width:10.3pt;height:12.15pt" o:ole="">
                  <v:imagedata r:id="rId109" o:title=""/>
                </v:shape>
                <o:OLEObject Type="Embed" ProgID="Equation.3" ShapeID="_x0000_i1047" DrawAspect="Content" ObjectID="_1403043791" r:id="rId110"/>
              </w:object>
            </w:r>
            <w:r w:rsidRPr="006B142F">
              <w:rPr>
                <w:rFonts w:asciiTheme="minorHAnsi" w:hAnsiTheme="minorHAnsi"/>
                <w:position w:val="-10"/>
              </w:rPr>
              <w:tab/>
            </w:r>
            <w:r w:rsidRPr="006B142F">
              <w:rPr>
                <w:rFonts w:asciiTheme="minorHAnsi" w:hAnsiTheme="minorHAnsi"/>
              </w:rPr>
              <w:t>=</w:t>
            </w:r>
            <w:r w:rsidRPr="006B142F">
              <w:rPr>
                <w:rFonts w:asciiTheme="minorHAnsi" w:hAnsiTheme="minorHAnsi"/>
              </w:rPr>
              <w:tab/>
            </w:r>
            <w:r w:rsidRPr="006B142F">
              <w:rPr>
                <w:rFonts w:asciiTheme="minorHAnsi" w:hAnsiTheme="minorHAnsi"/>
                <w:position w:val="-10"/>
              </w:rPr>
              <w:object w:dxaOrig="1740" w:dyaOrig="320">
                <v:shape id="_x0000_i1048" type="#_x0000_t75" style="width:87.9pt;height:14.95pt" o:ole="">
                  <v:imagedata r:id="rId111" o:title=""/>
                </v:shape>
                <o:OLEObject Type="Embed" ProgID="Equation.3" ShapeID="_x0000_i1048" DrawAspect="Content" ObjectID="_1403043792" r:id="rId112"/>
              </w:object>
            </w:r>
          </w:p>
          <w:p w:rsidR="0089227F" w:rsidRPr="006B142F" w:rsidRDefault="0089227F" w:rsidP="0089227F">
            <w:pPr>
              <w:spacing w:line="264" w:lineRule="auto"/>
              <w:ind w:left="459" w:hanging="459"/>
              <w:rPr>
                <w:rFonts w:asciiTheme="minorHAnsi" w:hAnsiTheme="minorHAnsi" w:cs="Arial"/>
                <w:lang w:eastAsia="en-NZ"/>
              </w:rPr>
            </w:pPr>
            <w:r w:rsidRPr="006B142F">
              <w:rPr>
                <w:rFonts w:asciiTheme="minorHAnsi" w:hAnsiTheme="minorHAnsi" w:cs="Arial"/>
                <w:lang w:eastAsia="en-NZ"/>
              </w:rPr>
              <w:t>where:</w:t>
            </w:r>
          </w:p>
          <w:p w:rsidR="0089227F" w:rsidRPr="006B142F" w:rsidRDefault="0089227F" w:rsidP="0089227F">
            <w:pPr>
              <w:spacing w:line="264" w:lineRule="auto"/>
              <w:ind w:left="459" w:hanging="459"/>
              <w:rPr>
                <w:rFonts w:asciiTheme="minorHAnsi" w:hAnsiTheme="minorHAnsi" w:cs="Arial"/>
                <w:lang w:eastAsia="en-NZ"/>
              </w:rPr>
            </w:pPr>
            <w:r w:rsidRPr="006B142F">
              <w:rPr>
                <w:rFonts w:asciiTheme="minorHAnsi" w:hAnsiTheme="minorHAnsi"/>
                <w:position w:val="-6"/>
              </w:rPr>
              <w:object w:dxaOrig="200" w:dyaOrig="220">
                <v:shape id="_x0000_i1049" type="#_x0000_t75" style="width:10.3pt;height:12.15pt" o:ole="">
                  <v:imagedata r:id="rId113" o:title=""/>
                </v:shape>
                <o:OLEObject Type="Embed" ProgID="Equation.3" ShapeID="_x0000_i1049" DrawAspect="Content" ObjectID="_1403043793" r:id="rId114"/>
              </w:object>
            </w:r>
            <w:r w:rsidRPr="006B142F">
              <w:rPr>
                <w:rFonts w:asciiTheme="minorHAnsi" w:hAnsiTheme="minorHAnsi"/>
                <w:position w:val="-6"/>
              </w:rPr>
              <w:t>=</w:t>
            </w:r>
            <w:r w:rsidRPr="006B142F">
              <w:rPr>
                <w:rFonts w:asciiTheme="minorHAnsi" w:hAnsiTheme="minorHAnsi"/>
                <w:position w:val="-6"/>
              </w:rPr>
              <w:tab/>
            </w:r>
            <w:r w:rsidRPr="006B142F">
              <w:rPr>
                <w:rFonts w:asciiTheme="minorHAnsi" w:hAnsiTheme="minorHAnsi" w:cs="Arial"/>
                <w:lang w:eastAsia="en-NZ"/>
              </w:rPr>
              <w:t xml:space="preserve"> </w:t>
            </w:r>
            <w:r w:rsidRPr="006B142F">
              <w:rPr>
                <w:rFonts w:asciiTheme="minorHAnsi" w:hAnsiTheme="minorHAnsi" w:cs="Arial"/>
                <w:bCs/>
                <w:lang w:eastAsia="en-NZ"/>
              </w:rPr>
              <w:t>closing RAB (tax value)</w:t>
            </w:r>
          </w:p>
          <w:p w:rsidR="0089227F" w:rsidRPr="006B142F" w:rsidRDefault="0089227F" w:rsidP="0089227F">
            <w:pPr>
              <w:spacing w:line="264" w:lineRule="auto"/>
              <w:ind w:left="459" w:hanging="459"/>
              <w:rPr>
                <w:rFonts w:asciiTheme="minorHAnsi" w:hAnsiTheme="minorHAnsi" w:cs="Arial"/>
                <w:lang w:eastAsia="en-NZ"/>
              </w:rPr>
            </w:pPr>
            <w:r w:rsidRPr="006B142F">
              <w:rPr>
                <w:rFonts w:asciiTheme="minorHAnsi" w:hAnsiTheme="minorHAnsi"/>
                <w:position w:val="-6"/>
              </w:rPr>
              <w:object w:dxaOrig="200" w:dyaOrig="279">
                <v:shape id="_x0000_i1050" type="#_x0000_t75" style="width:10.3pt;height:14.95pt" o:ole="">
                  <v:imagedata r:id="rId115" o:title=""/>
                </v:shape>
                <o:OLEObject Type="Embed" ProgID="Equation.3" ShapeID="_x0000_i1050" DrawAspect="Content" ObjectID="_1403043794" r:id="rId116"/>
              </w:object>
            </w:r>
            <w:r w:rsidRPr="006B142F">
              <w:rPr>
                <w:rFonts w:asciiTheme="minorHAnsi" w:hAnsiTheme="minorHAnsi"/>
                <w:position w:val="-6"/>
              </w:rPr>
              <w:t>=</w:t>
            </w:r>
            <w:r w:rsidRPr="006B142F">
              <w:rPr>
                <w:rFonts w:asciiTheme="minorHAnsi" w:hAnsiTheme="minorHAnsi"/>
                <w:position w:val="-6"/>
              </w:rPr>
              <w:tab/>
            </w:r>
            <w:r w:rsidRPr="006B142F">
              <w:rPr>
                <w:rFonts w:asciiTheme="minorHAnsi" w:hAnsiTheme="minorHAnsi" w:cs="Arial"/>
                <w:bCs/>
                <w:lang w:eastAsia="en-NZ"/>
              </w:rPr>
              <w:t>opening RAB (tax value)</w:t>
            </w:r>
          </w:p>
          <w:p w:rsidR="0089227F" w:rsidRPr="006B142F" w:rsidRDefault="0089227F" w:rsidP="0089227F">
            <w:pPr>
              <w:spacing w:line="264" w:lineRule="auto"/>
              <w:ind w:left="459" w:hanging="459"/>
              <w:rPr>
                <w:rFonts w:asciiTheme="minorHAnsi" w:hAnsiTheme="minorHAnsi" w:cs="Arial"/>
                <w:lang w:eastAsia="en-NZ"/>
              </w:rPr>
            </w:pPr>
            <w:r w:rsidRPr="006B142F">
              <w:rPr>
                <w:rFonts w:asciiTheme="minorHAnsi" w:hAnsiTheme="minorHAnsi"/>
                <w:position w:val="-6"/>
              </w:rPr>
              <w:object w:dxaOrig="180" w:dyaOrig="220">
                <v:shape id="_x0000_i1051" type="#_x0000_t75" style="width:10.3pt;height:12.15pt" o:ole="">
                  <v:imagedata r:id="rId117" o:title=""/>
                </v:shape>
                <o:OLEObject Type="Embed" ProgID="Equation.3" ShapeID="_x0000_i1051" DrawAspect="Content" ObjectID="_1403043795" r:id="rId118"/>
              </w:object>
            </w:r>
            <w:r w:rsidRPr="006B142F">
              <w:rPr>
                <w:rFonts w:asciiTheme="minorHAnsi" w:hAnsiTheme="minorHAnsi"/>
                <w:position w:val="-6"/>
              </w:rPr>
              <w:t>=</w:t>
            </w:r>
            <w:r w:rsidRPr="006B142F">
              <w:rPr>
                <w:rFonts w:asciiTheme="minorHAnsi" w:hAnsiTheme="minorHAnsi"/>
                <w:position w:val="-6"/>
              </w:rPr>
              <w:tab/>
            </w:r>
            <w:r w:rsidRPr="006B142F">
              <w:rPr>
                <w:rFonts w:asciiTheme="minorHAnsi" w:hAnsiTheme="minorHAnsi" w:cs="Arial"/>
                <w:bCs/>
                <w:lang w:eastAsia="en-NZ"/>
              </w:rPr>
              <w:t>regulatory tax asset value of assets commissioned</w:t>
            </w:r>
          </w:p>
          <w:p w:rsidR="0089227F" w:rsidRPr="006B142F" w:rsidRDefault="0089227F" w:rsidP="0089227F">
            <w:pPr>
              <w:spacing w:line="264" w:lineRule="auto"/>
              <w:ind w:left="459" w:hanging="459"/>
              <w:rPr>
                <w:rFonts w:asciiTheme="minorHAnsi" w:hAnsiTheme="minorHAnsi" w:cs="Arial"/>
                <w:lang w:eastAsia="en-NZ"/>
              </w:rPr>
            </w:pPr>
            <w:r w:rsidRPr="006B142F">
              <w:rPr>
                <w:rFonts w:asciiTheme="minorHAnsi" w:hAnsiTheme="minorHAnsi"/>
                <w:position w:val="-6"/>
              </w:rPr>
              <w:object w:dxaOrig="220" w:dyaOrig="279">
                <v:shape id="_x0000_i1052" type="#_x0000_t75" style="width:12.15pt;height:14.95pt" o:ole="">
                  <v:imagedata r:id="rId119" o:title=""/>
                </v:shape>
                <o:OLEObject Type="Embed" ProgID="Equation.3" ShapeID="_x0000_i1052" DrawAspect="Content" ObjectID="_1403043796" r:id="rId120"/>
              </w:object>
            </w:r>
            <w:r w:rsidRPr="006B142F">
              <w:rPr>
                <w:rFonts w:asciiTheme="minorHAnsi" w:hAnsiTheme="minorHAnsi"/>
                <w:position w:val="-6"/>
              </w:rPr>
              <w:t>=</w:t>
            </w:r>
            <w:r w:rsidRPr="006B142F">
              <w:rPr>
                <w:rFonts w:asciiTheme="minorHAnsi" w:hAnsiTheme="minorHAnsi"/>
                <w:position w:val="-6"/>
              </w:rPr>
              <w:tab/>
            </w:r>
            <w:r w:rsidRPr="006B142F">
              <w:rPr>
                <w:rFonts w:asciiTheme="minorHAnsi" w:hAnsiTheme="minorHAnsi" w:cs="Arial"/>
                <w:lang w:eastAsia="en-NZ"/>
              </w:rPr>
              <w:t xml:space="preserve"> </w:t>
            </w:r>
            <w:r w:rsidRPr="006B142F">
              <w:rPr>
                <w:rFonts w:asciiTheme="minorHAnsi" w:hAnsiTheme="minorHAnsi" w:cs="Arial"/>
                <w:bCs/>
                <w:lang w:eastAsia="en-NZ"/>
              </w:rPr>
              <w:t>regulatory tax asset value of asset disposals</w:t>
            </w:r>
          </w:p>
          <w:p w:rsidR="0089227F" w:rsidRPr="006B142F" w:rsidRDefault="0089227F" w:rsidP="0089227F">
            <w:pPr>
              <w:tabs>
                <w:tab w:val="left" w:pos="4045"/>
              </w:tabs>
              <w:spacing w:line="264" w:lineRule="auto"/>
              <w:ind w:left="459" w:hanging="425"/>
              <w:rPr>
                <w:rFonts w:asciiTheme="minorHAnsi" w:hAnsiTheme="minorHAnsi" w:cs="Arial"/>
                <w:lang w:eastAsia="en-NZ"/>
              </w:rPr>
            </w:pPr>
            <w:r w:rsidRPr="006B142F">
              <w:rPr>
                <w:rFonts w:asciiTheme="minorHAnsi" w:hAnsiTheme="minorHAnsi"/>
                <w:position w:val="-6"/>
              </w:rPr>
              <w:object w:dxaOrig="180" w:dyaOrig="220">
                <v:shape id="_x0000_i1053" type="#_x0000_t75" style="width:10.3pt;height:12.15pt" o:ole="">
                  <v:imagedata r:id="rId87" o:title=""/>
                </v:shape>
                <o:OLEObject Type="Embed" ProgID="Equation.3" ShapeID="_x0000_i1053" DrawAspect="Content" ObjectID="_1403043797" r:id="rId121"/>
              </w:object>
            </w:r>
            <w:r w:rsidRPr="006B142F">
              <w:rPr>
                <w:rFonts w:asciiTheme="minorHAnsi" w:hAnsiTheme="minorHAnsi"/>
                <w:position w:val="-6"/>
              </w:rPr>
              <w:t>=</w:t>
            </w:r>
            <w:r w:rsidRPr="006B142F">
              <w:rPr>
                <w:rFonts w:asciiTheme="minorHAnsi" w:hAnsiTheme="minorHAnsi"/>
                <w:position w:val="-6"/>
              </w:rPr>
              <w:tab/>
            </w:r>
            <w:r w:rsidRPr="006B142F">
              <w:rPr>
                <w:rFonts w:asciiTheme="minorHAnsi" w:hAnsiTheme="minorHAnsi" w:cs="Arial"/>
                <w:bCs/>
                <w:lang w:eastAsia="en-NZ"/>
              </w:rPr>
              <w:t>tax depreciation</w:t>
            </w:r>
          </w:p>
        </w:tc>
      </w:tr>
      <w:tr w:rsidR="0089227F" w:rsidRPr="006B142F" w:rsidTr="00B20AEC">
        <w:trPr>
          <w:cantSplit/>
        </w:trPr>
        <w:tc>
          <w:tcPr>
            <w:tcW w:w="4621" w:type="dxa"/>
          </w:tcPr>
          <w:p w:rsidR="0089227F" w:rsidRPr="006B142F" w:rsidRDefault="0089227F" w:rsidP="0089227F">
            <w:pPr>
              <w:pStyle w:val="BodyText"/>
              <w:spacing w:line="264" w:lineRule="auto"/>
              <w:rPr>
                <w:rFonts w:asciiTheme="minorHAnsi" w:hAnsiTheme="minorHAnsi" w:cs="Arial"/>
                <w:bCs/>
                <w:lang w:eastAsia="en-NZ"/>
              </w:rPr>
            </w:pPr>
            <w:r w:rsidRPr="006B142F">
              <w:rPr>
                <w:rFonts w:asciiTheme="minorHAnsi" w:hAnsiTheme="minorHAnsi" w:cs="Arial"/>
                <w:bCs/>
                <w:lang w:eastAsia="en-NZ"/>
              </w:rPr>
              <w:t>Other related party transactions</w:t>
            </w:r>
          </w:p>
        </w:tc>
        <w:tc>
          <w:tcPr>
            <w:tcW w:w="4622" w:type="dxa"/>
          </w:tcPr>
          <w:p w:rsidR="0089227F" w:rsidRPr="006B142F" w:rsidRDefault="0089227F" w:rsidP="0089227F">
            <w:pPr>
              <w:tabs>
                <w:tab w:val="left" w:pos="601"/>
                <w:tab w:val="left" w:pos="1026"/>
                <w:tab w:val="left" w:pos="1451"/>
              </w:tabs>
              <w:spacing w:line="264" w:lineRule="auto"/>
              <w:rPr>
                <w:rFonts w:asciiTheme="minorHAnsi" w:hAnsiTheme="minorHAnsi" w:cs="Arial"/>
                <w:lang w:eastAsia="en-NZ"/>
              </w:rPr>
            </w:pPr>
            <w:r w:rsidRPr="006B142F">
              <w:rPr>
                <w:rFonts w:asciiTheme="minorHAnsi" w:hAnsiTheme="minorHAnsi" w:cs="Arial"/>
                <w:lang w:eastAsia="en-NZ"/>
              </w:rPr>
              <w:t xml:space="preserve">means the value of </w:t>
            </w:r>
            <w:r w:rsidRPr="006B142F">
              <w:rPr>
                <w:rFonts w:asciiTheme="minorHAnsi" w:hAnsiTheme="minorHAnsi" w:cs="Arial"/>
                <w:bCs/>
                <w:lang w:eastAsia="en-NZ"/>
              </w:rPr>
              <w:t>related party</w:t>
            </w:r>
            <w:r w:rsidRPr="006B142F">
              <w:rPr>
                <w:rFonts w:asciiTheme="minorHAnsi" w:hAnsiTheme="minorHAnsi" w:cs="Arial"/>
                <w:lang w:eastAsia="en-NZ"/>
              </w:rPr>
              <w:t xml:space="preserve"> transactions that are not disclosed as </w:t>
            </w:r>
            <w:r w:rsidRPr="006B142F">
              <w:rPr>
                <w:rFonts w:asciiTheme="minorHAnsi" w:hAnsiTheme="minorHAnsi" w:cs="Arial"/>
                <w:bCs/>
                <w:lang w:eastAsia="en-NZ"/>
              </w:rPr>
              <w:t>total regulatory income</w:t>
            </w:r>
            <w:r w:rsidRPr="006B142F">
              <w:rPr>
                <w:rFonts w:asciiTheme="minorHAnsi" w:hAnsiTheme="minorHAnsi" w:cs="Arial"/>
                <w:lang w:eastAsia="en-NZ"/>
              </w:rPr>
              <w:t xml:space="preserve">, </w:t>
            </w:r>
            <w:r w:rsidRPr="006B142F">
              <w:rPr>
                <w:rFonts w:asciiTheme="minorHAnsi" w:hAnsiTheme="minorHAnsi" w:cs="Arial"/>
                <w:bCs/>
                <w:lang w:eastAsia="en-NZ"/>
              </w:rPr>
              <w:t>operational expenditure</w:t>
            </w:r>
            <w:r w:rsidRPr="006B142F">
              <w:rPr>
                <w:rFonts w:asciiTheme="minorHAnsi" w:hAnsiTheme="minorHAnsi" w:cs="Arial"/>
                <w:lang w:eastAsia="en-NZ"/>
              </w:rPr>
              <w:t xml:space="preserve">, </w:t>
            </w:r>
            <w:r w:rsidRPr="006B142F">
              <w:rPr>
                <w:rFonts w:asciiTheme="minorHAnsi" w:hAnsiTheme="minorHAnsi" w:cs="Arial"/>
                <w:bCs/>
                <w:lang w:eastAsia="en-NZ"/>
              </w:rPr>
              <w:t>capital expenditure</w:t>
            </w:r>
            <w:r w:rsidRPr="006B142F">
              <w:rPr>
                <w:rFonts w:asciiTheme="minorHAnsi" w:hAnsiTheme="minorHAnsi" w:cs="Arial"/>
                <w:lang w:eastAsia="en-NZ"/>
              </w:rPr>
              <w:t xml:space="preserve"> or </w:t>
            </w:r>
            <w:r w:rsidRPr="006B142F">
              <w:rPr>
                <w:rFonts w:asciiTheme="minorHAnsi" w:hAnsiTheme="minorHAnsi" w:cs="Arial"/>
                <w:bCs/>
                <w:lang w:eastAsia="en-NZ"/>
              </w:rPr>
              <w:t>market value of asset disposals</w:t>
            </w:r>
          </w:p>
        </w:tc>
      </w:tr>
      <w:tr w:rsidR="0089227F" w:rsidRPr="006B142F" w:rsidTr="00B20AEC">
        <w:trPr>
          <w:cantSplit/>
        </w:trPr>
        <w:tc>
          <w:tcPr>
            <w:tcW w:w="4621" w:type="dxa"/>
          </w:tcPr>
          <w:p w:rsidR="0089227F" w:rsidRPr="006B142F" w:rsidRDefault="0089227F" w:rsidP="0089227F">
            <w:pPr>
              <w:rPr>
                <w:rFonts w:asciiTheme="minorHAnsi" w:hAnsiTheme="minorHAnsi"/>
                <w:color w:val="000000"/>
                <w:lang w:val="en-AU"/>
              </w:rPr>
            </w:pPr>
            <w:r w:rsidRPr="006B142F">
              <w:rPr>
                <w:rFonts w:asciiTheme="minorHAnsi" w:hAnsiTheme="minorHAnsi"/>
                <w:color w:val="000000"/>
                <w:lang w:val="en-AU"/>
              </w:rPr>
              <w:t>Other reliability, safety and environment</w:t>
            </w:r>
          </w:p>
        </w:tc>
        <w:tc>
          <w:tcPr>
            <w:tcW w:w="4622" w:type="dxa"/>
          </w:tcPr>
          <w:p w:rsidR="0089227F" w:rsidRPr="006B142F" w:rsidRDefault="0089227F" w:rsidP="0089227F">
            <w:pPr>
              <w:pStyle w:val="BodyText"/>
              <w:rPr>
                <w:rFonts w:asciiTheme="minorHAnsi" w:hAnsiTheme="minorHAnsi"/>
                <w:lang w:val="en-AU"/>
              </w:rPr>
            </w:pPr>
            <w:proofErr w:type="gramStart"/>
            <w:r w:rsidRPr="006B142F">
              <w:rPr>
                <w:rFonts w:asciiTheme="minorHAnsi" w:hAnsiTheme="minorHAnsi"/>
              </w:rPr>
              <w:t>in</w:t>
            </w:r>
            <w:proofErr w:type="gramEnd"/>
            <w:r w:rsidRPr="006B142F">
              <w:rPr>
                <w:rFonts w:asciiTheme="minorHAnsi" w:hAnsiTheme="minorHAnsi"/>
              </w:rPr>
              <w:t xml:space="preserve"> relation to expenditure, means gross capital expenditure where the primary driver is to improve network reliability or safety or to mitigate the environmental impacts of the network, but is  not included in either of the quality of supply or legislative and regulatory categories. For example, this category may include gross capital expenditure where the primary driver is to ensure staff safety or meet the </w:t>
            </w:r>
            <w:proofErr w:type="spellStart"/>
            <w:r w:rsidRPr="006B142F">
              <w:rPr>
                <w:rFonts w:asciiTheme="minorHAnsi" w:hAnsiTheme="minorHAnsi"/>
              </w:rPr>
              <w:t>GDB’s</w:t>
            </w:r>
            <w:proofErr w:type="spellEnd"/>
            <w:r w:rsidRPr="006B142F">
              <w:rPr>
                <w:rFonts w:asciiTheme="minorHAnsi" w:hAnsiTheme="minorHAnsi"/>
              </w:rPr>
              <w:t xml:space="preserve"> environmental policies.</w:t>
            </w:r>
          </w:p>
        </w:tc>
      </w:tr>
      <w:tr w:rsidR="0089227F" w:rsidRPr="006B142F" w:rsidTr="00B20AEC">
        <w:trPr>
          <w:cantSplit/>
        </w:trPr>
        <w:tc>
          <w:tcPr>
            <w:tcW w:w="4621" w:type="dxa"/>
          </w:tcPr>
          <w:p w:rsidR="0089227F" w:rsidRPr="006B142F" w:rsidRDefault="0089227F" w:rsidP="0089227F">
            <w:pPr>
              <w:pStyle w:val="BodyText"/>
              <w:spacing w:line="264" w:lineRule="auto"/>
              <w:rPr>
                <w:rFonts w:asciiTheme="minorHAnsi" w:hAnsiTheme="minorHAnsi" w:cs="Arial"/>
                <w:bCs/>
                <w:lang w:eastAsia="en-NZ"/>
              </w:rPr>
            </w:pPr>
            <w:r w:rsidRPr="006B142F">
              <w:rPr>
                <w:rFonts w:asciiTheme="minorHAnsi" w:hAnsiTheme="minorHAnsi"/>
              </w:rPr>
              <w:t>Other specified pass-through costs</w:t>
            </w:r>
          </w:p>
        </w:tc>
        <w:tc>
          <w:tcPr>
            <w:tcW w:w="4622" w:type="dxa"/>
          </w:tcPr>
          <w:p w:rsidR="0089227F" w:rsidRPr="006B142F" w:rsidRDefault="0089227F" w:rsidP="0089227F">
            <w:pPr>
              <w:tabs>
                <w:tab w:val="left" w:pos="601"/>
                <w:tab w:val="left" w:pos="1026"/>
                <w:tab w:val="left" w:pos="1451"/>
              </w:tabs>
              <w:spacing w:line="264" w:lineRule="auto"/>
              <w:rPr>
                <w:rFonts w:asciiTheme="minorHAnsi" w:hAnsiTheme="minorHAnsi" w:cs="Arial"/>
                <w:lang w:eastAsia="en-NZ"/>
              </w:rPr>
            </w:pPr>
            <w:r w:rsidRPr="006B142F">
              <w:rPr>
                <w:rFonts w:asciiTheme="minorHAnsi" w:hAnsiTheme="minorHAnsi"/>
              </w:rPr>
              <w:t>means costs identified in clause 3.1.2(1)(b) of the IM determination</w:t>
            </w:r>
          </w:p>
        </w:tc>
      </w:tr>
      <w:tr w:rsidR="0089227F" w:rsidRPr="006B142F" w:rsidTr="00B20AEC">
        <w:trPr>
          <w:cantSplit/>
        </w:trPr>
        <w:tc>
          <w:tcPr>
            <w:tcW w:w="4621" w:type="dxa"/>
          </w:tcPr>
          <w:p w:rsidR="0089227F" w:rsidRPr="006B142F" w:rsidRDefault="0089227F" w:rsidP="0089227F">
            <w:pPr>
              <w:pStyle w:val="BodyText"/>
              <w:spacing w:line="264" w:lineRule="auto"/>
              <w:rPr>
                <w:rFonts w:asciiTheme="minorHAnsi" w:hAnsiTheme="minorHAnsi" w:cs="Arial"/>
                <w:bCs/>
                <w:lang w:eastAsia="en-NZ"/>
              </w:rPr>
            </w:pPr>
            <w:r w:rsidRPr="006B142F">
              <w:rPr>
                <w:rFonts w:asciiTheme="minorHAnsi" w:hAnsiTheme="minorHAnsi" w:cs="Arial"/>
                <w:lang w:eastAsia="en-NZ"/>
              </w:rPr>
              <w:t>Outage event</w:t>
            </w:r>
          </w:p>
        </w:tc>
        <w:tc>
          <w:tcPr>
            <w:tcW w:w="4622" w:type="dxa"/>
          </w:tcPr>
          <w:p w:rsidR="0089227F" w:rsidRPr="006B142F" w:rsidRDefault="0089227F" w:rsidP="0089227F">
            <w:pPr>
              <w:spacing w:line="264" w:lineRule="auto"/>
              <w:rPr>
                <w:rFonts w:asciiTheme="minorHAnsi" w:hAnsiTheme="minorHAnsi" w:cs="Arial"/>
                <w:lang w:eastAsia="en-NZ"/>
              </w:rPr>
            </w:pPr>
            <w:r w:rsidRPr="006B142F">
              <w:rPr>
                <w:rFonts w:asciiTheme="minorHAnsi" w:hAnsiTheme="minorHAnsi" w:cs="Arial"/>
                <w:lang w:eastAsia="en-NZ"/>
              </w:rPr>
              <w:t>means any unplanned interruption that affects more than 5 customers</w:t>
            </w:r>
          </w:p>
        </w:tc>
      </w:tr>
      <w:tr w:rsidR="0089227F" w:rsidRPr="006B142F" w:rsidTr="00B20AEC">
        <w:trPr>
          <w:cantSplit/>
        </w:trPr>
        <w:tc>
          <w:tcPr>
            <w:tcW w:w="4621" w:type="dxa"/>
          </w:tcPr>
          <w:p w:rsidR="0089227F" w:rsidRPr="006B142F" w:rsidRDefault="0089227F" w:rsidP="0089227F">
            <w:pPr>
              <w:pStyle w:val="BodyText"/>
              <w:spacing w:line="264" w:lineRule="auto"/>
              <w:rPr>
                <w:rFonts w:asciiTheme="minorHAnsi" w:hAnsiTheme="minorHAnsi" w:cs="Arial"/>
                <w:bCs/>
                <w:lang w:eastAsia="en-NZ"/>
              </w:rPr>
            </w:pPr>
            <w:r w:rsidRPr="006B142F">
              <w:rPr>
                <w:rFonts w:asciiTheme="minorHAnsi" w:hAnsiTheme="minorHAnsi" w:cs="Arial"/>
                <w:bCs/>
                <w:lang w:eastAsia="en-NZ"/>
              </w:rPr>
              <w:t>Outage in SAIDI assessed value</w:t>
            </w:r>
          </w:p>
        </w:tc>
        <w:tc>
          <w:tcPr>
            <w:tcW w:w="4622" w:type="dxa"/>
          </w:tcPr>
          <w:p w:rsidR="0089227F" w:rsidRPr="006B142F" w:rsidRDefault="0089227F" w:rsidP="0089227F">
            <w:pPr>
              <w:tabs>
                <w:tab w:val="left" w:pos="601"/>
                <w:tab w:val="left" w:pos="1026"/>
                <w:tab w:val="left" w:pos="1451"/>
              </w:tabs>
              <w:spacing w:line="264" w:lineRule="auto"/>
              <w:rPr>
                <w:rFonts w:asciiTheme="minorHAnsi" w:hAnsiTheme="minorHAnsi" w:cs="Arial"/>
                <w:lang w:eastAsia="en-NZ"/>
              </w:rPr>
            </w:pPr>
            <w:r w:rsidRPr="006B142F">
              <w:rPr>
                <w:rFonts w:asciiTheme="minorHAnsi" w:hAnsiTheme="minorHAnsi" w:cs="Arial"/>
                <w:lang w:eastAsia="en-NZ"/>
              </w:rPr>
              <w:t xml:space="preserve">is given the value ‘Yes’ if the GDB is subject to price-quality regulation and the fault described gave cause to an interruption that contributed to the </w:t>
            </w:r>
            <w:proofErr w:type="spellStart"/>
            <w:r w:rsidRPr="006B142F">
              <w:rPr>
                <w:rFonts w:asciiTheme="minorHAnsi" w:hAnsiTheme="minorHAnsi" w:cs="Arial"/>
                <w:lang w:eastAsia="en-NZ"/>
              </w:rPr>
              <w:t>GDB’s</w:t>
            </w:r>
            <w:proofErr w:type="spellEnd"/>
            <w:r w:rsidRPr="006B142F">
              <w:rPr>
                <w:rFonts w:asciiTheme="minorHAnsi" w:hAnsiTheme="minorHAnsi" w:cs="Arial"/>
                <w:lang w:eastAsia="en-NZ"/>
              </w:rPr>
              <w:t xml:space="preserve"> SAIDI assessed value for the assessment period in which the fault occurred, otherwise ‘No’</w:t>
            </w:r>
          </w:p>
        </w:tc>
      </w:tr>
      <w:tr w:rsidR="0089227F" w:rsidRPr="006B142F" w:rsidTr="00B20AEC">
        <w:trPr>
          <w:cantSplit/>
        </w:trPr>
        <w:tc>
          <w:tcPr>
            <w:tcW w:w="4621" w:type="dxa"/>
          </w:tcPr>
          <w:p w:rsidR="0089227F" w:rsidRPr="006B142F" w:rsidRDefault="0089227F" w:rsidP="0089227F">
            <w:pPr>
              <w:pStyle w:val="BodyText"/>
              <w:spacing w:line="264" w:lineRule="auto"/>
              <w:rPr>
                <w:rFonts w:asciiTheme="minorHAnsi" w:hAnsiTheme="minorHAnsi"/>
              </w:rPr>
            </w:pPr>
            <w:r w:rsidRPr="006B142F">
              <w:rPr>
                <w:rFonts w:asciiTheme="minorHAnsi" w:hAnsiTheme="minorHAnsi" w:cs="Arial"/>
                <w:bCs/>
                <w:lang w:eastAsia="en-NZ"/>
              </w:rPr>
              <w:t>OVABAA allocation increase</w:t>
            </w:r>
          </w:p>
        </w:tc>
        <w:tc>
          <w:tcPr>
            <w:tcW w:w="4622" w:type="dxa"/>
          </w:tcPr>
          <w:p w:rsidR="0089227F" w:rsidRPr="006B142F" w:rsidRDefault="0089227F" w:rsidP="0089227F">
            <w:pPr>
              <w:tabs>
                <w:tab w:val="left" w:pos="601"/>
                <w:tab w:val="left" w:pos="1026"/>
                <w:tab w:val="left" w:pos="1451"/>
              </w:tabs>
              <w:spacing w:line="264" w:lineRule="auto"/>
              <w:rPr>
                <w:rFonts w:asciiTheme="minorHAnsi" w:hAnsiTheme="minorHAnsi"/>
              </w:rPr>
            </w:pPr>
            <w:r w:rsidRPr="006B142F">
              <w:rPr>
                <w:rFonts w:asciiTheme="minorHAnsi" w:hAnsiTheme="minorHAnsi" w:cs="Arial"/>
                <w:lang w:eastAsia="en-NZ"/>
              </w:rPr>
              <w:t xml:space="preserve">has the meaning set out in the </w:t>
            </w:r>
            <w:r w:rsidRPr="006B142F">
              <w:rPr>
                <w:rFonts w:asciiTheme="minorHAnsi" w:hAnsiTheme="minorHAnsi" w:cs="Arial"/>
                <w:bCs/>
                <w:lang w:eastAsia="en-NZ"/>
              </w:rPr>
              <w:t>IM determination</w:t>
            </w:r>
          </w:p>
        </w:tc>
      </w:tr>
      <w:tr w:rsidR="0089227F" w:rsidRPr="006B142F" w:rsidTr="00B20AEC">
        <w:trPr>
          <w:cantSplit/>
        </w:trPr>
        <w:tc>
          <w:tcPr>
            <w:tcW w:w="4621" w:type="dxa"/>
          </w:tcPr>
          <w:p w:rsidR="0089227F" w:rsidRPr="006B142F" w:rsidRDefault="0089227F" w:rsidP="0089227F">
            <w:pPr>
              <w:pStyle w:val="BodyText"/>
              <w:spacing w:line="264" w:lineRule="auto"/>
              <w:rPr>
                <w:rFonts w:asciiTheme="minorHAnsi" w:hAnsiTheme="minorHAnsi" w:cs="Arial"/>
                <w:bCs/>
                <w:lang w:eastAsia="en-NZ"/>
              </w:rPr>
            </w:pPr>
            <w:r w:rsidRPr="006B142F">
              <w:rPr>
                <w:rFonts w:asciiTheme="minorHAnsi" w:hAnsiTheme="minorHAnsi" w:cs="Arial"/>
                <w:bCs/>
                <w:lang w:eastAsia="en-NZ"/>
              </w:rPr>
              <w:t>Pass-through and recoverable costs</w:t>
            </w:r>
          </w:p>
        </w:tc>
        <w:tc>
          <w:tcPr>
            <w:tcW w:w="4622" w:type="dxa"/>
          </w:tcPr>
          <w:p w:rsidR="0089227F" w:rsidRPr="006B142F" w:rsidRDefault="0089227F" w:rsidP="0089227F">
            <w:pPr>
              <w:tabs>
                <w:tab w:val="left" w:pos="4045"/>
              </w:tabs>
              <w:spacing w:line="264" w:lineRule="auto"/>
              <w:rPr>
                <w:rFonts w:asciiTheme="minorHAnsi" w:hAnsiTheme="minorHAnsi"/>
              </w:rPr>
            </w:pPr>
            <w:r w:rsidRPr="006B142F">
              <w:rPr>
                <w:rFonts w:asciiTheme="minorHAnsi" w:hAnsiTheme="minorHAnsi" w:cs="Arial"/>
                <w:lang w:eastAsia="en-NZ"/>
              </w:rPr>
              <w:t>means a cost specified in clause 3.1.2 or 3.1.3 of the IM determination</w:t>
            </w:r>
          </w:p>
        </w:tc>
      </w:tr>
      <w:tr w:rsidR="0089227F" w:rsidRPr="006B142F" w:rsidTr="00B20AEC">
        <w:trPr>
          <w:cantSplit/>
        </w:trPr>
        <w:tc>
          <w:tcPr>
            <w:tcW w:w="4621" w:type="dxa"/>
          </w:tcPr>
          <w:p w:rsidR="0089227F" w:rsidRPr="006B142F" w:rsidRDefault="0089227F" w:rsidP="0089227F">
            <w:pPr>
              <w:pStyle w:val="Subsection"/>
              <w:spacing w:line="264" w:lineRule="auto"/>
              <w:rPr>
                <w:rFonts w:asciiTheme="minorHAnsi" w:hAnsiTheme="minorHAnsi"/>
                <w:bCs/>
                <w:color w:val="000000"/>
                <w:lang w:val="en-US"/>
              </w:rPr>
            </w:pPr>
            <w:r w:rsidRPr="006B142F">
              <w:rPr>
                <w:rFonts w:asciiTheme="minorHAnsi" w:hAnsiTheme="minorHAnsi"/>
                <w:bCs/>
                <w:color w:val="000000"/>
                <w:lang w:val="en-US"/>
              </w:rPr>
              <w:t>Poor pressure event</w:t>
            </w:r>
          </w:p>
        </w:tc>
        <w:tc>
          <w:tcPr>
            <w:tcW w:w="4622" w:type="dxa"/>
          </w:tcPr>
          <w:p w:rsidR="0089227F" w:rsidRPr="006B142F" w:rsidRDefault="0089227F" w:rsidP="0089227F">
            <w:pPr>
              <w:pStyle w:val="Subsection"/>
              <w:spacing w:line="264" w:lineRule="auto"/>
              <w:rPr>
                <w:rFonts w:asciiTheme="minorHAnsi" w:hAnsiTheme="minorHAnsi"/>
                <w:color w:val="000000"/>
                <w:lang w:val="en-US"/>
              </w:rPr>
            </w:pPr>
            <w:proofErr w:type="gramStart"/>
            <w:r w:rsidRPr="006B142F">
              <w:rPr>
                <w:rFonts w:asciiTheme="minorHAnsi" w:hAnsiTheme="minorHAnsi"/>
                <w:color w:val="000000"/>
                <w:lang w:val="en-US"/>
              </w:rPr>
              <w:t>means</w:t>
            </w:r>
            <w:proofErr w:type="gramEnd"/>
            <w:r w:rsidRPr="006B142F">
              <w:rPr>
                <w:rFonts w:asciiTheme="minorHAnsi" w:hAnsiTheme="minorHAnsi"/>
                <w:color w:val="000000"/>
                <w:lang w:val="en-US"/>
              </w:rPr>
              <w:t xml:space="preserve"> a confirmed unplanned incident where delivery pressure drops below target levels within a pressure system.  Third party damage events to the network should be included, but incidents cause by low gate pressure should be excluded.</w:t>
            </w:r>
          </w:p>
        </w:tc>
      </w:tr>
      <w:tr w:rsidR="0089227F" w:rsidRPr="006B142F" w:rsidTr="00B20AEC">
        <w:trPr>
          <w:cantSplit/>
        </w:trPr>
        <w:tc>
          <w:tcPr>
            <w:tcW w:w="4621" w:type="dxa"/>
          </w:tcPr>
          <w:p w:rsidR="0089227F" w:rsidRPr="006B142F" w:rsidRDefault="0089227F" w:rsidP="0089227F">
            <w:pPr>
              <w:pStyle w:val="Tablebodytext"/>
              <w:rPr>
                <w:rFonts w:asciiTheme="minorHAnsi" w:hAnsiTheme="minorHAnsi"/>
                <w:szCs w:val="24"/>
              </w:rPr>
            </w:pPr>
            <w:r w:rsidRPr="006B142F">
              <w:rPr>
                <w:rFonts w:asciiTheme="minorHAnsi" w:hAnsiTheme="minorHAnsi"/>
                <w:szCs w:val="24"/>
              </w:rPr>
              <w:t>Posted Discounts</w:t>
            </w:r>
          </w:p>
        </w:tc>
        <w:tc>
          <w:tcPr>
            <w:tcW w:w="4622" w:type="dxa"/>
          </w:tcPr>
          <w:p w:rsidR="0089227F" w:rsidRPr="006B142F" w:rsidRDefault="0089227F" w:rsidP="0089227F">
            <w:pPr>
              <w:pStyle w:val="BodyText"/>
              <w:rPr>
                <w:rFonts w:asciiTheme="minorHAnsi" w:hAnsiTheme="minorHAnsi"/>
                <w:i/>
              </w:rPr>
            </w:pPr>
            <w:r w:rsidRPr="006B142F">
              <w:rPr>
                <w:rFonts w:asciiTheme="minorHAnsi" w:hAnsiTheme="minorHAnsi"/>
              </w:rPr>
              <w:t xml:space="preserve">means a discount to charges payable for the supply of gas pipeline services </w:t>
            </w:r>
            <w:proofErr w:type="spellStart"/>
            <w:r w:rsidRPr="006B142F">
              <w:rPr>
                <w:rFonts w:asciiTheme="minorHAnsi" w:hAnsiTheme="minorHAnsi"/>
              </w:rPr>
              <w:t>i</w:t>
            </w:r>
            <w:proofErr w:type="spellEnd"/>
            <w:r w:rsidRPr="006B142F">
              <w:rPr>
                <w:rFonts w:asciiTheme="minorHAnsi" w:hAnsiTheme="minorHAnsi"/>
              </w:rPr>
              <w:t>) that is offered by the GDB in a published tariff schedule; and ii) the take-up of which is determined by consumers</w:t>
            </w:r>
          </w:p>
        </w:tc>
      </w:tr>
      <w:tr w:rsidR="0089227F" w:rsidRPr="006B142F" w:rsidTr="00B20AEC">
        <w:trPr>
          <w:cantSplit/>
        </w:trPr>
        <w:tc>
          <w:tcPr>
            <w:tcW w:w="4621" w:type="dxa"/>
          </w:tcPr>
          <w:p w:rsidR="0089227F" w:rsidRPr="006B142F" w:rsidRDefault="0089227F" w:rsidP="0089227F">
            <w:pPr>
              <w:pStyle w:val="BodyText"/>
              <w:spacing w:line="264" w:lineRule="auto"/>
              <w:rPr>
                <w:rFonts w:asciiTheme="minorHAnsi" w:hAnsiTheme="minorHAnsi" w:cs="Arial"/>
                <w:bCs/>
                <w:lang w:eastAsia="en-NZ"/>
              </w:rPr>
            </w:pPr>
            <w:r w:rsidRPr="006B142F">
              <w:rPr>
                <w:rFonts w:asciiTheme="minorHAnsi" w:hAnsiTheme="minorHAnsi" w:cs="Arial"/>
                <w:lang w:eastAsia="en-NZ"/>
              </w:rPr>
              <w:t>Pressure systems</w:t>
            </w:r>
          </w:p>
        </w:tc>
        <w:tc>
          <w:tcPr>
            <w:tcW w:w="4622" w:type="dxa"/>
          </w:tcPr>
          <w:p w:rsidR="0089227F" w:rsidRPr="006B142F" w:rsidRDefault="0089227F" w:rsidP="0089227F">
            <w:pPr>
              <w:tabs>
                <w:tab w:val="left" w:pos="4045"/>
              </w:tabs>
              <w:spacing w:line="264" w:lineRule="auto"/>
              <w:ind w:left="34"/>
              <w:rPr>
                <w:rFonts w:asciiTheme="minorHAnsi" w:hAnsiTheme="minorHAnsi" w:cs="Arial"/>
                <w:lang w:eastAsia="en-NZ"/>
              </w:rPr>
            </w:pPr>
            <w:r w:rsidRPr="006B142F">
              <w:rPr>
                <w:rFonts w:asciiTheme="minorHAnsi" w:hAnsiTheme="minorHAnsi" w:cs="Arial"/>
                <w:lang w:eastAsia="en-NZ"/>
              </w:rPr>
              <w:t>means a configuration of connected pipes and fittings, at the same nominal operating pressure, used for the conveyance of gas</w:t>
            </w:r>
          </w:p>
        </w:tc>
      </w:tr>
      <w:tr w:rsidR="0089227F" w:rsidRPr="006B142F" w:rsidTr="00B20AEC">
        <w:trPr>
          <w:cantSplit/>
        </w:trPr>
        <w:tc>
          <w:tcPr>
            <w:tcW w:w="4621" w:type="dxa"/>
          </w:tcPr>
          <w:p w:rsidR="0089227F" w:rsidRPr="006B142F" w:rsidRDefault="0089227F" w:rsidP="0089227F">
            <w:pPr>
              <w:pStyle w:val="BodyText"/>
              <w:spacing w:line="264" w:lineRule="auto"/>
              <w:rPr>
                <w:rFonts w:asciiTheme="minorHAnsi" w:hAnsiTheme="minorHAnsi" w:cs="Arial"/>
                <w:bCs/>
                <w:lang w:eastAsia="en-NZ"/>
              </w:rPr>
            </w:pPr>
            <w:r w:rsidRPr="006B142F">
              <w:rPr>
                <w:rFonts w:asciiTheme="minorHAnsi" w:hAnsiTheme="minorHAnsi" w:cs="Arial"/>
                <w:bCs/>
                <w:lang w:eastAsia="en-NZ"/>
              </w:rPr>
              <w:t>Previous years’ incremental gain/(loss)</w:t>
            </w:r>
          </w:p>
        </w:tc>
        <w:tc>
          <w:tcPr>
            <w:tcW w:w="4622" w:type="dxa"/>
          </w:tcPr>
          <w:p w:rsidR="0089227F" w:rsidRPr="006B142F" w:rsidRDefault="0089227F" w:rsidP="0089227F">
            <w:pPr>
              <w:tabs>
                <w:tab w:val="left" w:pos="4045"/>
              </w:tabs>
              <w:spacing w:line="264" w:lineRule="auto"/>
              <w:ind w:left="34"/>
              <w:rPr>
                <w:rFonts w:asciiTheme="minorHAnsi" w:hAnsiTheme="minorHAnsi" w:cs="Arial"/>
                <w:lang w:eastAsia="en-NZ"/>
              </w:rPr>
            </w:pPr>
            <w:r w:rsidRPr="006B142F">
              <w:rPr>
                <w:rFonts w:asciiTheme="minorHAnsi" w:hAnsiTheme="minorHAnsi" w:cs="Arial"/>
                <w:lang w:eastAsia="en-NZ"/>
              </w:rPr>
              <w:t>means the incremental change or incremental adjustment term for the disclosure year in question determined in accordance with clause 3.3.1 of the IM determination</w:t>
            </w:r>
          </w:p>
        </w:tc>
      </w:tr>
      <w:tr w:rsidR="0089227F" w:rsidRPr="006B142F" w:rsidTr="00B20AEC">
        <w:trPr>
          <w:cantSplit/>
        </w:trPr>
        <w:tc>
          <w:tcPr>
            <w:tcW w:w="4621" w:type="dxa"/>
          </w:tcPr>
          <w:p w:rsidR="0089227F" w:rsidRPr="006B142F" w:rsidRDefault="0089227F" w:rsidP="0089227F">
            <w:pPr>
              <w:pStyle w:val="BodyText"/>
              <w:spacing w:line="264" w:lineRule="auto"/>
              <w:rPr>
                <w:rFonts w:asciiTheme="minorHAnsi" w:hAnsiTheme="minorHAnsi" w:cs="Arial"/>
                <w:bCs/>
                <w:lang w:eastAsia="en-NZ"/>
              </w:rPr>
            </w:pPr>
            <w:r w:rsidRPr="006B142F">
              <w:rPr>
                <w:rFonts w:asciiTheme="minorHAnsi" w:hAnsiTheme="minorHAnsi" w:cs="Arial"/>
                <w:bCs/>
                <w:lang w:eastAsia="en-NZ"/>
              </w:rPr>
              <w:t>Previous years’ incremental gain/(loss) adjusted for inflation</w:t>
            </w:r>
          </w:p>
        </w:tc>
        <w:tc>
          <w:tcPr>
            <w:tcW w:w="4622" w:type="dxa"/>
          </w:tcPr>
          <w:p w:rsidR="0089227F" w:rsidRPr="006B142F" w:rsidRDefault="0089227F" w:rsidP="0089227F">
            <w:pPr>
              <w:tabs>
                <w:tab w:val="left" w:pos="4045"/>
              </w:tabs>
              <w:spacing w:line="264" w:lineRule="auto"/>
              <w:ind w:left="34"/>
              <w:rPr>
                <w:rFonts w:asciiTheme="minorHAnsi" w:hAnsiTheme="minorHAnsi" w:cs="Arial"/>
                <w:lang w:eastAsia="en-NZ"/>
              </w:rPr>
            </w:pPr>
            <w:r w:rsidRPr="006B142F">
              <w:rPr>
                <w:rFonts w:asciiTheme="minorHAnsi" w:hAnsiTheme="minorHAnsi" w:cs="Arial"/>
                <w:lang w:eastAsia="en-NZ"/>
              </w:rPr>
              <w:t>means the previous years’ incremental gain/(loss) carried forward by applying the inflation rate in accordance with clause 3.3.2(1) of the IM determination</w:t>
            </w:r>
          </w:p>
        </w:tc>
      </w:tr>
      <w:tr w:rsidR="0089227F" w:rsidRPr="006B142F" w:rsidTr="00B20AEC">
        <w:trPr>
          <w:cantSplit/>
        </w:trPr>
        <w:tc>
          <w:tcPr>
            <w:tcW w:w="4621" w:type="dxa"/>
          </w:tcPr>
          <w:p w:rsidR="0089227F" w:rsidRPr="006B142F" w:rsidRDefault="0089227F" w:rsidP="0089227F">
            <w:pPr>
              <w:pStyle w:val="Tablebodytext"/>
              <w:rPr>
                <w:rFonts w:asciiTheme="minorHAnsi" w:hAnsiTheme="minorHAnsi"/>
                <w:szCs w:val="24"/>
              </w:rPr>
            </w:pPr>
            <w:r w:rsidRPr="006B142F">
              <w:rPr>
                <w:rFonts w:asciiTheme="minorHAnsi" w:hAnsiTheme="minorHAnsi"/>
                <w:szCs w:val="24"/>
              </w:rPr>
              <w:t>Price category code</w:t>
            </w:r>
          </w:p>
        </w:tc>
        <w:tc>
          <w:tcPr>
            <w:tcW w:w="4622" w:type="dxa"/>
          </w:tcPr>
          <w:p w:rsidR="0089227F" w:rsidRPr="006B142F" w:rsidRDefault="0089227F" w:rsidP="0089227F">
            <w:pPr>
              <w:pStyle w:val="BodyText"/>
              <w:rPr>
                <w:rFonts w:asciiTheme="minorHAnsi" w:hAnsiTheme="minorHAnsi"/>
              </w:rPr>
            </w:pPr>
            <w:r w:rsidRPr="006B142F">
              <w:rPr>
                <w:rFonts w:asciiTheme="minorHAnsi" w:hAnsiTheme="minorHAnsi"/>
              </w:rPr>
              <w:t>Means the relevant code in the schedule published by the GDB that is used to unambiguously define the line charges for an ICP</w:t>
            </w:r>
          </w:p>
        </w:tc>
      </w:tr>
      <w:tr w:rsidR="0089227F" w:rsidRPr="006B142F" w:rsidTr="00B20AEC">
        <w:trPr>
          <w:cantSplit/>
        </w:trPr>
        <w:tc>
          <w:tcPr>
            <w:tcW w:w="4621" w:type="dxa"/>
          </w:tcPr>
          <w:p w:rsidR="0089227F" w:rsidRPr="006B142F" w:rsidRDefault="0089227F" w:rsidP="0089227F">
            <w:pPr>
              <w:pStyle w:val="BodyText"/>
              <w:spacing w:line="264" w:lineRule="auto"/>
              <w:rPr>
                <w:rFonts w:asciiTheme="minorHAnsi" w:hAnsiTheme="minorHAnsi" w:cs="Arial"/>
                <w:bCs/>
                <w:lang w:eastAsia="en-NZ"/>
              </w:rPr>
            </w:pPr>
            <w:r w:rsidRPr="006B142F">
              <w:rPr>
                <w:rFonts w:asciiTheme="minorHAnsi" w:hAnsiTheme="minorHAnsi" w:cs="Arial"/>
                <w:bCs/>
                <w:lang w:eastAsia="en-NZ"/>
              </w:rPr>
              <w:t>Pricing date</w:t>
            </w:r>
          </w:p>
        </w:tc>
        <w:tc>
          <w:tcPr>
            <w:tcW w:w="4622" w:type="dxa"/>
          </w:tcPr>
          <w:p w:rsidR="0089227F" w:rsidRPr="006B142F" w:rsidRDefault="0089227F" w:rsidP="0089227F">
            <w:pPr>
              <w:tabs>
                <w:tab w:val="left" w:pos="4045"/>
              </w:tabs>
              <w:spacing w:line="264" w:lineRule="auto"/>
              <w:ind w:left="34"/>
              <w:rPr>
                <w:rFonts w:asciiTheme="minorHAnsi" w:hAnsiTheme="minorHAnsi" w:cs="Arial"/>
                <w:lang w:eastAsia="en-NZ"/>
              </w:rPr>
            </w:pPr>
            <w:r w:rsidRPr="006B142F">
              <w:rPr>
                <w:rFonts w:asciiTheme="minorHAnsi" w:hAnsiTheme="minorHAnsi" w:cs="Arial"/>
                <w:lang w:eastAsia="en-NZ"/>
              </w:rPr>
              <w:t xml:space="preserve">means the day on which a </w:t>
            </w:r>
            <w:r w:rsidRPr="006B142F">
              <w:rPr>
                <w:rFonts w:asciiTheme="minorHAnsi" w:hAnsiTheme="minorHAnsi" w:cs="Arial"/>
                <w:bCs/>
                <w:lang w:eastAsia="en-NZ"/>
              </w:rPr>
              <w:t>qualifying debt</w:t>
            </w:r>
            <w:r w:rsidRPr="006B142F">
              <w:rPr>
                <w:rFonts w:asciiTheme="minorHAnsi" w:hAnsiTheme="minorHAnsi" w:cs="Arial"/>
                <w:lang w:eastAsia="en-NZ"/>
              </w:rPr>
              <w:t xml:space="preserve"> is priced</w:t>
            </w:r>
          </w:p>
        </w:tc>
      </w:tr>
      <w:tr w:rsidR="0089227F" w:rsidRPr="006B142F" w:rsidTr="00B20AEC">
        <w:trPr>
          <w:cantSplit/>
        </w:trPr>
        <w:tc>
          <w:tcPr>
            <w:tcW w:w="4621" w:type="dxa"/>
          </w:tcPr>
          <w:p w:rsidR="0089227F" w:rsidRPr="006B142F" w:rsidRDefault="0089227F" w:rsidP="0089227F">
            <w:pPr>
              <w:pStyle w:val="Tablebodytext"/>
              <w:rPr>
                <w:rFonts w:asciiTheme="minorHAnsi" w:hAnsiTheme="minorHAnsi"/>
                <w:szCs w:val="24"/>
              </w:rPr>
            </w:pPr>
            <w:r w:rsidRPr="006B142F">
              <w:rPr>
                <w:rFonts w:asciiTheme="minorHAnsi" w:hAnsiTheme="minorHAnsi"/>
                <w:szCs w:val="24"/>
              </w:rPr>
              <w:t>Pricing schedule</w:t>
            </w:r>
          </w:p>
        </w:tc>
        <w:tc>
          <w:tcPr>
            <w:tcW w:w="4622" w:type="dxa"/>
          </w:tcPr>
          <w:p w:rsidR="0089227F" w:rsidRPr="006B142F" w:rsidRDefault="0089227F" w:rsidP="0089227F">
            <w:pPr>
              <w:pStyle w:val="BodyText"/>
              <w:rPr>
                <w:rFonts w:asciiTheme="minorHAnsi" w:hAnsiTheme="minorHAnsi"/>
                <w:i/>
              </w:rPr>
            </w:pPr>
            <w:r w:rsidRPr="006B142F">
              <w:rPr>
                <w:rFonts w:asciiTheme="minorHAnsi" w:hAnsiTheme="minorHAnsi"/>
              </w:rPr>
              <w:t>Means the list of prices by price category code for the provision of gas pipeline services that is publicly disclosed</w:t>
            </w:r>
          </w:p>
        </w:tc>
      </w:tr>
      <w:tr w:rsidR="0089227F" w:rsidRPr="006B142F" w:rsidTr="00B20AEC">
        <w:trPr>
          <w:cantSplit/>
        </w:trPr>
        <w:tc>
          <w:tcPr>
            <w:tcW w:w="4621" w:type="dxa"/>
          </w:tcPr>
          <w:p w:rsidR="0089227F" w:rsidRPr="006B142F" w:rsidRDefault="0089227F" w:rsidP="0089227F">
            <w:pPr>
              <w:pStyle w:val="Tablebodytext"/>
              <w:rPr>
                <w:rFonts w:asciiTheme="minorHAnsi" w:hAnsiTheme="minorHAnsi"/>
                <w:szCs w:val="24"/>
              </w:rPr>
            </w:pPr>
            <w:r w:rsidRPr="006B142F">
              <w:rPr>
                <w:rFonts w:asciiTheme="minorHAnsi" w:hAnsiTheme="minorHAnsi"/>
                <w:szCs w:val="24"/>
              </w:rPr>
              <w:t>Proportion of emergencies responded to within 1 hour (%)</w:t>
            </w:r>
          </w:p>
        </w:tc>
        <w:tc>
          <w:tcPr>
            <w:tcW w:w="4622" w:type="dxa"/>
          </w:tcPr>
          <w:p w:rsidR="0089227F" w:rsidRPr="006B142F" w:rsidRDefault="0089227F" w:rsidP="0089227F">
            <w:pPr>
              <w:pStyle w:val="Tablebodytext"/>
              <w:rPr>
                <w:rFonts w:asciiTheme="minorHAnsi" w:hAnsiTheme="minorHAnsi"/>
                <w:i/>
                <w:szCs w:val="24"/>
              </w:rPr>
            </w:pPr>
            <w:r w:rsidRPr="006B142F">
              <w:rPr>
                <w:rFonts w:asciiTheme="minorHAnsi" w:hAnsiTheme="minorHAnsi"/>
                <w:szCs w:val="24"/>
                <w:lang w:eastAsia="en-NZ"/>
              </w:rPr>
              <w:t>Number of emergencies responded to within 60 minutes / total number of emergencies.</w:t>
            </w:r>
          </w:p>
        </w:tc>
      </w:tr>
      <w:tr w:rsidR="0089227F" w:rsidRPr="006B142F" w:rsidTr="00B20AEC">
        <w:trPr>
          <w:cantSplit/>
        </w:trPr>
        <w:tc>
          <w:tcPr>
            <w:tcW w:w="4621" w:type="dxa"/>
          </w:tcPr>
          <w:p w:rsidR="0089227F" w:rsidRPr="006B142F" w:rsidRDefault="0089227F" w:rsidP="0089227F">
            <w:pPr>
              <w:pStyle w:val="Tablebodytext"/>
              <w:rPr>
                <w:rFonts w:asciiTheme="minorHAnsi" w:hAnsiTheme="minorHAnsi"/>
                <w:szCs w:val="24"/>
              </w:rPr>
            </w:pPr>
            <w:r w:rsidRPr="006B142F">
              <w:rPr>
                <w:rFonts w:asciiTheme="minorHAnsi" w:hAnsiTheme="minorHAnsi"/>
                <w:szCs w:val="24"/>
              </w:rPr>
              <w:t>Proportion of emergencies responded to within 3 hours (%)</w:t>
            </w:r>
          </w:p>
        </w:tc>
        <w:tc>
          <w:tcPr>
            <w:tcW w:w="4622" w:type="dxa"/>
          </w:tcPr>
          <w:p w:rsidR="0089227F" w:rsidRPr="006B142F" w:rsidRDefault="0089227F" w:rsidP="0089227F">
            <w:pPr>
              <w:pStyle w:val="Tablebodytext"/>
              <w:rPr>
                <w:rFonts w:asciiTheme="minorHAnsi" w:hAnsiTheme="minorHAnsi"/>
                <w:i/>
                <w:szCs w:val="24"/>
              </w:rPr>
            </w:pPr>
            <w:r w:rsidRPr="006B142F">
              <w:rPr>
                <w:rFonts w:asciiTheme="minorHAnsi" w:hAnsiTheme="minorHAnsi"/>
                <w:szCs w:val="24"/>
                <w:lang w:eastAsia="en-NZ"/>
              </w:rPr>
              <w:t>Number of emergencies responded to within 180 minutes / total number of emergencies.</w:t>
            </w:r>
          </w:p>
        </w:tc>
      </w:tr>
      <w:tr w:rsidR="0089227F" w:rsidRPr="006B142F" w:rsidTr="00B20AEC">
        <w:trPr>
          <w:cantSplit/>
        </w:trPr>
        <w:tc>
          <w:tcPr>
            <w:tcW w:w="4621" w:type="dxa"/>
          </w:tcPr>
          <w:p w:rsidR="0089227F" w:rsidRPr="006B142F" w:rsidRDefault="0089227F" w:rsidP="0089227F">
            <w:pPr>
              <w:pStyle w:val="BodyText"/>
              <w:spacing w:line="264" w:lineRule="auto"/>
              <w:rPr>
                <w:rFonts w:asciiTheme="minorHAnsi" w:hAnsiTheme="minorHAnsi" w:cs="Arial"/>
                <w:bCs/>
                <w:lang w:eastAsia="en-NZ"/>
              </w:rPr>
            </w:pPr>
            <w:r w:rsidRPr="006B142F">
              <w:rPr>
                <w:rFonts w:asciiTheme="minorHAnsi" w:hAnsiTheme="minorHAnsi" w:cs="Arial"/>
                <w:bCs/>
                <w:lang w:eastAsia="en-NZ"/>
              </w:rPr>
              <w:t>Qualifying debt</w:t>
            </w:r>
          </w:p>
        </w:tc>
        <w:tc>
          <w:tcPr>
            <w:tcW w:w="4622" w:type="dxa"/>
          </w:tcPr>
          <w:p w:rsidR="0089227F" w:rsidRPr="006B142F" w:rsidRDefault="0089227F" w:rsidP="0089227F">
            <w:pPr>
              <w:spacing w:line="264" w:lineRule="auto"/>
              <w:rPr>
                <w:rFonts w:asciiTheme="minorHAnsi" w:hAnsiTheme="minorHAnsi"/>
              </w:rPr>
            </w:pPr>
            <w:bookmarkStart w:id="790" w:name="OLE_LINK9"/>
            <w:bookmarkStart w:id="791" w:name="OLE_LINK10"/>
            <w:r w:rsidRPr="006B142F">
              <w:rPr>
                <w:rFonts w:asciiTheme="minorHAnsi" w:hAnsiTheme="minorHAnsi" w:cs="Arial"/>
                <w:lang w:eastAsia="en-NZ"/>
              </w:rPr>
              <w:t>has the meaning set out in paragraph (a) of the defined term in clause 1.1.4(2) of the</w:t>
            </w:r>
            <w:r w:rsidRPr="006B142F">
              <w:rPr>
                <w:rFonts w:asciiTheme="minorHAnsi" w:hAnsiTheme="minorHAnsi" w:cs="Arial"/>
                <w:bCs/>
                <w:lang w:eastAsia="en-NZ"/>
              </w:rPr>
              <w:t xml:space="preserve"> IM determination</w:t>
            </w:r>
            <w:bookmarkEnd w:id="790"/>
            <w:bookmarkEnd w:id="791"/>
          </w:p>
        </w:tc>
      </w:tr>
      <w:tr w:rsidR="0089227F" w:rsidRPr="006B142F" w:rsidTr="00B20AEC">
        <w:trPr>
          <w:cantSplit/>
        </w:trPr>
        <w:tc>
          <w:tcPr>
            <w:tcW w:w="4621" w:type="dxa"/>
          </w:tcPr>
          <w:p w:rsidR="0089227F" w:rsidRPr="006B142F" w:rsidRDefault="0089227F" w:rsidP="0089227F">
            <w:pPr>
              <w:pStyle w:val="BodyText"/>
              <w:spacing w:line="264" w:lineRule="auto"/>
              <w:rPr>
                <w:rFonts w:asciiTheme="minorHAnsi" w:hAnsiTheme="minorHAnsi" w:cs="Arial"/>
                <w:bCs/>
                <w:lang w:eastAsia="en-NZ"/>
              </w:rPr>
            </w:pPr>
            <w:r w:rsidRPr="006B142F">
              <w:rPr>
                <w:rFonts w:asciiTheme="minorHAnsi" w:hAnsiTheme="minorHAnsi" w:cs="Arial"/>
                <w:bCs/>
                <w:lang w:eastAsia="en-NZ"/>
              </w:rPr>
              <w:t>Rates</w:t>
            </w:r>
          </w:p>
        </w:tc>
        <w:tc>
          <w:tcPr>
            <w:tcW w:w="4622" w:type="dxa"/>
          </w:tcPr>
          <w:p w:rsidR="0089227F" w:rsidRPr="006B142F" w:rsidRDefault="0089227F" w:rsidP="0089227F">
            <w:pPr>
              <w:tabs>
                <w:tab w:val="left" w:pos="4045"/>
              </w:tabs>
              <w:spacing w:line="264" w:lineRule="auto"/>
              <w:ind w:left="34"/>
              <w:rPr>
                <w:rFonts w:asciiTheme="minorHAnsi" w:hAnsiTheme="minorHAnsi" w:cs="Arial"/>
                <w:bCs/>
                <w:lang w:eastAsia="en-NZ"/>
              </w:rPr>
            </w:pPr>
            <w:r w:rsidRPr="006B142F">
              <w:rPr>
                <w:rFonts w:asciiTheme="minorHAnsi" w:hAnsiTheme="minorHAnsi" w:cs="Arial"/>
                <w:lang w:eastAsia="en-NZ"/>
              </w:rPr>
              <w:t>means a cost specified in clause 3.1.2(2)(a) of the IM determination</w:t>
            </w:r>
          </w:p>
        </w:tc>
      </w:tr>
      <w:tr w:rsidR="0089227F" w:rsidRPr="006B142F" w:rsidTr="00B20AEC">
        <w:trPr>
          <w:cantSplit/>
        </w:trPr>
        <w:tc>
          <w:tcPr>
            <w:tcW w:w="4621" w:type="dxa"/>
          </w:tcPr>
          <w:p w:rsidR="0089227F" w:rsidRPr="006B142F" w:rsidRDefault="0089227F" w:rsidP="0089227F">
            <w:pPr>
              <w:pStyle w:val="BodyText"/>
              <w:spacing w:line="264" w:lineRule="auto"/>
              <w:rPr>
                <w:rFonts w:asciiTheme="minorHAnsi" w:hAnsiTheme="minorHAnsi" w:cs="Arial"/>
                <w:bCs/>
                <w:lang w:eastAsia="en-NZ"/>
              </w:rPr>
            </w:pPr>
            <w:r w:rsidRPr="006B142F">
              <w:rPr>
                <w:rFonts w:asciiTheme="minorHAnsi" w:hAnsiTheme="minorHAnsi" w:cs="Arial"/>
                <w:bCs/>
                <w:lang w:eastAsia="en-NZ"/>
              </w:rPr>
              <w:t>Rationale for change</w:t>
            </w:r>
          </w:p>
        </w:tc>
        <w:tc>
          <w:tcPr>
            <w:tcW w:w="4622" w:type="dxa"/>
          </w:tcPr>
          <w:p w:rsidR="0089227F" w:rsidRPr="006B142F" w:rsidRDefault="0089227F" w:rsidP="0089227F">
            <w:pPr>
              <w:tabs>
                <w:tab w:val="left" w:pos="4045"/>
              </w:tabs>
              <w:spacing w:line="264" w:lineRule="auto"/>
              <w:ind w:left="34"/>
              <w:rPr>
                <w:rFonts w:asciiTheme="minorHAnsi" w:hAnsiTheme="minorHAnsi" w:cs="Arial"/>
                <w:lang w:eastAsia="en-NZ"/>
              </w:rPr>
            </w:pPr>
            <w:r w:rsidRPr="006B142F">
              <w:rPr>
                <w:rFonts w:asciiTheme="minorHAnsi" w:hAnsiTheme="minorHAnsi" w:cs="Arial"/>
                <w:lang w:eastAsia="en-NZ"/>
              </w:rPr>
              <w:t xml:space="preserve">means the rationale for changing the </w:t>
            </w:r>
            <w:proofErr w:type="spellStart"/>
            <w:r w:rsidRPr="006B142F">
              <w:rPr>
                <w:rFonts w:asciiTheme="minorHAnsi" w:hAnsiTheme="minorHAnsi" w:cs="Arial"/>
                <w:lang w:eastAsia="en-NZ"/>
              </w:rPr>
              <w:t>allocator</w:t>
            </w:r>
            <w:proofErr w:type="spellEnd"/>
            <w:r w:rsidRPr="006B142F">
              <w:rPr>
                <w:rFonts w:asciiTheme="minorHAnsi" w:hAnsiTheme="minorHAnsi" w:cs="Arial"/>
                <w:lang w:eastAsia="en-NZ"/>
              </w:rPr>
              <w:t xml:space="preserve"> or line items, including whether the change occurred because of change in circumstance or another reason</w:t>
            </w:r>
          </w:p>
        </w:tc>
      </w:tr>
      <w:tr w:rsidR="0089227F" w:rsidRPr="006B142F" w:rsidTr="00B20AEC">
        <w:trPr>
          <w:cantSplit/>
        </w:trPr>
        <w:tc>
          <w:tcPr>
            <w:tcW w:w="4621" w:type="dxa"/>
          </w:tcPr>
          <w:p w:rsidR="0089227F" w:rsidRPr="006B142F" w:rsidRDefault="0089227F" w:rsidP="0089227F">
            <w:pPr>
              <w:pStyle w:val="BodyText"/>
              <w:spacing w:line="264" w:lineRule="auto"/>
              <w:rPr>
                <w:rFonts w:asciiTheme="minorHAnsi" w:hAnsiTheme="minorHAnsi" w:cs="Arial"/>
                <w:bCs/>
                <w:lang w:eastAsia="en-NZ"/>
              </w:rPr>
            </w:pPr>
            <w:r w:rsidRPr="006B142F">
              <w:rPr>
                <w:rFonts w:asciiTheme="minorHAnsi" w:hAnsiTheme="minorHAnsi" w:cs="Arial"/>
                <w:bCs/>
                <w:lang w:eastAsia="en-NZ"/>
              </w:rPr>
              <w:t>Reason for non-standard depreciation</w:t>
            </w:r>
          </w:p>
        </w:tc>
        <w:tc>
          <w:tcPr>
            <w:tcW w:w="4622" w:type="dxa"/>
          </w:tcPr>
          <w:p w:rsidR="0089227F" w:rsidRPr="006B142F" w:rsidRDefault="0089227F" w:rsidP="0089227F">
            <w:pPr>
              <w:tabs>
                <w:tab w:val="left" w:pos="4045"/>
              </w:tabs>
              <w:spacing w:line="264" w:lineRule="auto"/>
              <w:ind w:left="34"/>
              <w:rPr>
                <w:rFonts w:asciiTheme="minorHAnsi" w:hAnsiTheme="minorHAnsi" w:cs="Arial"/>
                <w:lang w:eastAsia="en-NZ"/>
              </w:rPr>
            </w:pPr>
            <w:r w:rsidRPr="006B142F">
              <w:rPr>
                <w:rFonts w:asciiTheme="minorHAnsi" w:hAnsiTheme="minorHAnsi" w:cs="Arial"/>
                <w:lang w:eastAsia="en-NZ"/>
              </w:rPr>
              <w:t>means:</w:t>
            </w:r>
          </w:p>
          <w:p w:rsidR="0089227F" w:rsidRPr="006B142F" w:rsidRDefault="0089227F" w:rsidP="0089227F">
            <w:pPr>
              <w:pStyle w:val="ListParagraph"/>
              <w:numPr>
                <w:ilvl w:val="3"/>
                <w:numId w:val="57"/>
              </w:numPr>
              <w:tabs>
                <w:tab w:val="left" w:pos="459"/>
              </w:tabs>
              <w:spacing w:line="264" w:lineRule="auto"/>
              <w:ind w:left="459" w:hanging="425"/>
              <w:rPr>
                <w:rFonts w:asciiTheme="minorHAnsi" w:hAnsiTheme="minorHAnsi" w:cs="Arial"/>
                <w:lang w:eastAsia="en-NZ"/>
              </w:rPr>
            </w:pPr>
            <w:r w:rsidRPr="006B142F">
              <w:rPr>
                <w:rFonts w:asciiTheme="minorHAnsi" w:hAnsiTheme="minorHAnsi" w:cs="Arial"/>
                <w:lang w:eastAsia="en-NZ"/>
              </w:rPr>
              <w:t xml:space="preserve">in relation to assets or groups of assets where depreciation is included in </w:t>
            </w:r>
            <w:r w:rsidRPr="006B142F">
              <w:rPr>
                <w:rFonts w:asciiTheme="minorHAnsi" w:hAnsiTheme="minorHAnsi" w:cs="Arial"/>
                <w:bCs/>
                <w:lang w:eastAsia="en-NZ"/>
              </w:rPr>
              <w:t>depreciation - no standard life asset</w:t>
            </w:r>
            <w:r w:rsidRPr="006B142F">
              <w:rPr>
                <w:rFonts w:asciiTheme="minorHAnsi" w:hAnsiTheme="minorHAnsi" w:cs="Arial"/>
                <w:lang w:eastAsia="en-NZ"/>
              </w:rPr>
              <w:t>, 'no standard life';</w:t>
            </w:r>
          </w:p>
          <w:p w:rsidR="0089227F" w:rsidRPr="006B142F" w:rsidRDefault="0089227F" w:rsidP="0089227F">
            <w:pPr>
              <w:pStyle w:val="ListParagraph"/>
              <w:numPr>
                <w:ilvl w:val="3"/>
                <w:numId w:val="57"/>
              </w:numPr>
              <w:tabs>
                <w:tab w:val="left" w:pos="459"/>
              </w:tabs>
              <w:spacing w:line="264" w:lineRule="auto"/>
              <w:ind w:left="459" w:hanging="425"/>
              <w:rPr>
                <w:rFonts w:asciiTheme="minorHAnsi" w:hAnsiTheme="minorHAnsi" w:cs="Arial"/>
                <w:lang w:eastAsia="en-NZ"/>
              </w:rPr>
            </w:pPr>
            <w:r w:rsidRPr="006B142F">
              <w:rPr>
                <w:rFonts w:asciiTheme="minorHAnsi" w:hAnsiTheme="minorHAnsi" w:cs="Arial"/>
                <w:lang w:eastAsia="en-NZ"/>
              </w:rPr>
              <w:t xml:space="preserve">in relation to assets or groups of assets where depreciation is included in </w:t>
            </w:r>
            <w:r w:rsidRPr="006B142F">
              <w:rPr>
                <w:rFonts w:asciiTheme="minorHAnsi" w:hAnsiTheme="minorHAnsi" w:cs="Arial"/>
                <w:bCs/>
                <w:lang w:eastAsia="en-NZ"/>
              </w:rPr>
              <w:t>depreciation - modified life assets</w:t>
            </w:r>
            <w:r w:rsidRPr="006B142F">
              <w:rPr>
                <w:rFonts w:asciiTheme="minorHAnsi" w:hAnsiTheme="minorHAnsi" w:cs="Arial"/>
                <w:lang w:eastAsia="en-NZ"/>
              </w:rPr>
              <w:t>, 'modified life';</w:t>
            </w:r>
          </w:p>
          <w:p w:rsidR="0089227F" w:rsidRPr="006B142F" w:rsidRDefault="0089227F" w:rsidP="0089227F">
            <w:pPr>
              <w:pStyle w:val="ListParagraph"/>
              <w:numPr>
                <w:ilvl w:val="3"/>
                <w:numId w:val="57"/>
              </w:numPr>
              <w:tabs>
                <w:tab w:val="left" w:pos="459"/>
              </w:tabs>
              <w:spacing w:line="264" w:lineRule="auto"/>
              <w:ind w:left="459" w:hanging="425"/>
              <w:rPr>
                <w:rFonts w:asciiTheme="minorHAnsi" w:hAnsiTheme="minorHAnsi" w:cs="Arial"/>
                <w:lang w:eastAsia="en-NZ"/>
              </w:rPr>
            </w:pPr>
            <w:r w:rsidRPr="006B142F">
              <w:rPr>
                <w:rFonts w:asciiTheme="minorHAnsi" w:hAnsiTheme="minorHAnsi" w:cs="Arial"/>
                <w:lang w:eastAsia="en-NZ"/>
              </w:rPr>
              <w:t xml:space="preserve">in relation to assets or groups of assets where depreciation is included in </w:t>
            </w:r>
            <w:r w:rsidRPr="006B142F">
              <w:rPr>
                <w:rFonts w:asciiTheme="minorHAnsi" w:hAnsiTheme="minorHAnsi" w:cs="Arial"/>
                <w:bCs/>
                <w:lang w:eastAsia="en-NZ"/>
              </w:rPr>
              <w:t xml:space="preserve">depreciation - alternative depreciation determined in accordance with CPP, </w:t>
            </w:r>
            <w:r w:rsidRPr="006B142F">
              <w:rPr>
                <w:rFonts w:asciiTheme="minorHAnsi" w:hAnsiTheme="minorHAnsi" w:cs="Arial"/>
                <w:lang w:eastAsia="en-NZ"/>
              </w:rPr>
              <w:t>'CPP amendment'</w:t>
            </w:r>
          </w:p>
        </w:tc>
      </w:tr>
      <w:tr w:rsidR="0089227F" w:rsidRPr="006B142F" w:rsidTr="00B20AEC">
        <w:trPr>
          <w:cantSplit/>
        </w:trPr>
        <w:tc>
          <w:tcPr>
            <w:tcW w:w="4621" w:type="dxa"/>
          </w:tcPr>
          <w:p w:rsidR="0089227F" w:rsidRPr="006B142F" w:rsidRDefault="0089227F" w:rsidP="0089227F">
            <w:pPr>
              <w:pStyle w:val="BodyText"/>
              <w:spacing w:line="264" w:lineRule="auto"/>
              <w:rPr>
                <w:rFonts w:asciiTheme="minorHAnsi" w:hAnsiTheme="minorHAnsi" w:cs="Arial"/>
                <w:bCs/>
                <w:lang w:eastAsia="en-NZ"/>
              </w:rPr>
            </w:pPr>
            <w:r w:rsidRPr="006B142F">
              <w:rPr>
                <w:rFonts w:asciiTheme="minorHAnsi" w:hAnsiTheme="minorHAnsi" w:cs="Arial"/>
                <w:bCs/>
                <w:lang w:eastAsia="en-NZ"/>
              </w:rPr>
              <w:t>Recoverable costs</w:t>
            </w:r>
          </w:p>
        </w:tc>
        <w:tc>
          <w:tcPr>
            <w:tcW w:w="4622" w:type="dxa"/>
          </w:tcPr>
          <w:p w:rsidR="0089227F" w:rsidRPr="006B142F" w:rsidRDefault="0089227F" w:rsidP="0089227F">
            <w:pPr>
              <w:tabs>
                <w:tab w:val="left" w:pos="4045"/>
              </w:tabs>
              <w:spacing w:line="264" w:lineRule="auto"/>
              <w:ind w:left="34"/>
              <w:rPr>
                <w:rFonts w:asciiTheme="minorHAnsi" w:hAnsiTheme="minorHAnsi" w:cs="Arial"/>
                <w:lang w:eastAsia="en-NZ"/>
              </w:rPr>
            </w:pPr>
            <w:r w:rsidRPr="006B142F">
              <w:rPr>
                <w:rFonts w:asciiTheme="minorHAnsi" w:hAnsiTheme="minorHAnsi" w:cs="Arial"/>
                <w:lang w:eastAsia="en-NZ"/>
              </w:rPr>
              <w:t xml:space="preserve">has the meaning set out in the </w:t>
            </w:r>
            <w:r w:rsidRPr="006B142F">
              <w:rPr>
                <w:rFonts w:asciiTheme="minorHAnsi" w:hAnsiTheme="minorHAnsi" w:cs="Arial"/>
                <w:bCs/>
                <w:lang w:eastAsia="en-NZ"/>
              </w:rPr>
              <w:t>IM determination</w:t>
            </w:r>
          </w:p>
        </w:tc>
      </w:tr>
      <w:tr w:rsidR="0089227F" w:rsidRPr="006B142F" w:rsidTr="00B20AEC">
        <w:trPr>
          <w:cantSplit/>
        </w:trPr>
        <w:tc>
          <w:tcPr>
            <w:tcW w:w="4621" w:type="dxa"/>
          </w:tcPr>
          <w:p w:rsidR="0089227F" w:rsidRPr="006B142F" w:rsidRDefault="0089227F" w:rsidP="0089227F">
            <w:pPr>
              <w:pStyle w:val="BodyText"/>
              <w:spacing w:line="264" w:lineRule="auto"/>
              <w:rPr>
                <w:rFonts w:asciiTheme="minorHAnsi" w:hAnsiTheme="minorHAnsi" w:cs="Arial"/>
                <w:bCs/>
                <w:lang w:eastAsia="en-NZ"/>
              </w:rPr>
            </w:pPr>
            <w:r w:rsidRPr="006B142F">
              <w:rPr>
                <w:rFonts w:asciiTheme="minorHAnsi" w:hAnsiTheme="minorHAnsi" w:cs="Arial"/>
                <w:bCs/>
                <w:lang w:eastAsia="en-NZ"/>
              </w:rPr>
              <w:t>Recoverable customised price-quality path costs</w:t>
            </w:r>
          </w:p>
        </w:tc>
        <w:tc>
          <w:tcPr>
            <w:tcW w:w="4622" w:type="dxa"/>
          </w:tcPr>
          <w:p w:rsidR="0089227F" w:rsidRPr="006B142F" w:rsidRDefault="0089227F" w:rsidP="0089227F">
            <w:pPr>
              <w:tabs>
                <w:tab w:val="left" w:pos="4045"/>
              </w:tabs>
              <w:spacing w:line="264" w:lineRule="auto"/>
              <w:ind w:left="34"/>
              <w:rPr>
                <w:rFonts w:asciiTheme="minorHAnsi" w:hAnsiTheme="minorHAnsi" w:cs="Arial"/>
                <w:lang w:eastAsia="en-NZ"/>
              </w:rPr>
            </w:pPr>
            <w:r w:rsidRPr="006B142F">
              <w:rPr>
                <w:rFonts w:asciiTheme="minorHAnsi" w:hAnsiTheme="minorHAnsi" w:cs="Arial"/>
                <w:lang w:eastAsia="en-NZ"/>
              </w:rPr>
              <w:t>means a cost specified in clause 3.1.3(c),(d),(e),(f) or (g) of the IM determination</w:t>
            </w:r>
          </w:p>
        </w:tc>
      </w:tr>
      <w:tr w:rsidR="0089227F" w:rsidRPr="006B142F" w:rsidTr="00B20AEC">
        <w:trPr>
          <w:cantSplit/>
        </w:trPr>
        <w:tc>
          <w:tcPr>
            <w:tcW w:w="4621" w:type="dxa"/>
          </w:tcPr>
          <w:p w:rsidR="0089227F" w:rsidRPr="006B142F" w:rsidRDefault="0089227F" w:rsidP="0089227F">
            <w:pPr>
              <w:pStyle w:val="Clausetextunnumbered"/>
              <w:rPr>
                <w:rStyle w:val="Emphasis-Bold"/>
                <w:rFonts w:asciiTheme="minorHAnsi" w:hAnsiTheme="minorHAnsi"/>
                <w:b w:val="0"/>
              </w:rPr>
            </w:pPr>
            <w:r w:rsidRPr="006B142F">
              <w:rPr>
                <w:rStyle w:val="Emphasis-Bold"/>
                <w:rFonts w:asciiTheme="minorHAnsi" w:hAnsiTheme="minorHAnsi"/>
                <w:b w:val="0"/>
              </w:rPr>
              <w:t>Regions</w:t>
            </w:r>
          </w:p>
        </w:tc>
        <w:tc>
          <w:tcPr>
            <w:tcW w:w="4622" w:type="dxa"/>
          </w:tcPr>
          <w:p w:rsidR="0089227F" w:rsidRPr="006B142F" w:rsidRDefault="0089227F" w:rsidP="0089227F">
            <w:pPr>
              <w:tabs>
                <w:tab w:val="left" w:pos="4045"/>
              </w:tabs>
              <w:spacing w:line="264" w:lineRule="auto"/>
              <w:ind w:left="34"/>
              <w:rPr>
                <w:rFonts w:asciiTheme="minorHAnsi" w:hAnsiTheme="minorHAnsi" w:cs="Arial"/>
                <w:lang w:eastAsia="en-NZ"/>
              </w:rPr>
            </w:pPr>
            <w:r w:rsidRPr="006B142F">
              <w:rPr>
                <w:rFonts w:asciiTheme="minorHAnsi" w:hAnsiTheme="minorHAnsi" w:cs="Arial"/>
                <w:lang w:eastAsia="en-NZ"/>
              </w:rPr>
              <w:t>means the portions of the network to which each posted standard price schedule applies</w:t>
            </w:r>
          </w:p>
        </w:tc>
      </w:tr>
      <w:tr w:rsidR="0089227F" w:rsidRPr="006B142F" w:rsidTr="00B20AEC">
        <w:trPr>
          <w:cantSplit/>
        </w:trPr>
        <w:tc>
          <w:tcPr>
            <w:tcW w:w="4621" w:type="dxa"/>
          </w:tcPr>
          <w:p w:rsidR="0089227F" w:rsidRPr="006B142F" w:rsidRDefault="0089227F" w:rsidP="0089227F">
            <w:pPr>
              <w:pStyle w:val="Clausetextunnumbered"/>
              <w:rPr>
                <w:rFonts w:asciiTheme="minorHAnsi" w:hAnsiTheme="minorHAnsi"/>
              </w:rPr>
            </w:pPr>
            <w:r w:rsidRPr="006B142F">
              <w:rPr>
                <w:rStyle w:val="Emphasis-Bold"/>
                <w:rFonts w:asciiTheme="minorHAnsi" w:hAnsiTheme="minorHAnsi"/>
                <w:b w:val="0"/>
              </w:rPr>
              <w:t>Regulated services</w:t>
            </w:r>
          </w:p>
        </w:tc>
        <w:tc>
          <w:tcPr>
            <w:tcW w:w="4622" w:type="dxa"/>
          </w:tcPr>
          <w:p w:rsidR="0089227F" w:rsidRPr="006B142F" w:rsidRDefault="0089227F" w:rsidP="0089227F">
            <w:pPr>
              <w:tabs>
                <w:tab w:val="left" w:pos="4045"/>
              </w:tabs>
              <w:spacing w:line="264" w:lineRule="auto"/>
              <w:ind w:left="34"/>
              <w:rPr>
                <w:rFonts w:asciiTheme="minorHAnsi" w:hAnsiTheme="minorHAnsi" w:cs="Arial"/>
                <w:lang w:eastAsia="en-NZ"/>
              </w:rPr>
            </w:pPr>
            <w:r w:rsidRPr="006B142F">
              <w:rPr>
                <w:rFonts w:asciiTheme="minorHAnsi" w:hAnsiTheme="minorHAnsi" w:cs="Arial"/>
                <w:lang w:eastAsia="en-NZ"/>
              </w:rPr>
              <w:t xml:space="preserve">has the meaning set out in the </w:t>
            </w:r>
            <w:r w:rsidRPr="006B142F">
              <w:rPr>
                <w:rFonts w:asciiTheme="minorHAnsi" w:hAnsiTheme="minorHAnsi" w:cs="Arial"/>
                <w:bCs/>
                <w:lang w:eastAsia="en-NZ"/>
              </w:rPr>
              <w:t>IM determination</w:t>
            </w:r>
          </w:p>
        </w:tc>
      </w:tr>
      <w:tr w:rsidR="0089227F" w:rsidRPr="006B142F" w:rsidTr="00B20AEC">
        <w:trPr>
          <w:cantSplit/>
        </w:trPr>
        <w:tc>
          <w:tcPr>
            <w:tcW w:w="4621" w:type="dxa"/>
          </w:tcPr>
          <w:p w:rsidR="0089227F" w:rsidRPr="006B142F" w:rsidRDefault="0089227F" w:rsidP="0089227F">
            <w:pPr>
              <w:spacing w:line="264" w:lineRule="auto"/>
              <w:rPr>
                <w:rFonts w:asciiTheme="minorHAnsi" w:hAnsiTheme="minorHAnsi" w:cs="Arial"/>
                <w:bCs/>
                <w:lang w:eastAsia="en-NZ"/>
              </w:rPr>
            </w:pPr>
            <w:r w:rsidRPr="006B142F">
              <w:rPr>
                <w:rFonts w:asciiTheme="minorHAnsi" w:hAnsiTheme="minorHAnsi" w:cs="Arial"/>
                <w:bCs/>
                <w:lang w:eastAsia="en-NZ"/>
              </w:rPr>
              <w:t>Regulated supplier</w:t>
            </w:r>
          </w:p>
        </w:tc>
        <w:tc>
          <w:tcPr>
            <w:tcW w:w="4622" w:type="dxa"/>
          </w:tcPr>
          <w:p w:rsidR="0089227F" w:rsidRPr="006B142F" w:rsidRDefault="0089227F" w:rsidP="0089227F">
            <w:pPr>
              <w:tabs>
                <w:tab w:val="left" w:pos="4045"/>
              </w:tabs>
              <w:spacing w:line="264" w:lineRule="auto"/>
              <w:ind w:left="34"/>
              <w:rPr>
                <w:rFonts w:asciiTheme="minorHAnsi" w:hAnsiTheme="minorHAnsi" w:cs="Arial"/>
                <w:lang w:eastAsia="en-NZ"/>
              </w:rPr>
            </w:pPr>
            <w:r w:rsidRPr="006B142F">
              <w:rPr>
                <w:rFonts w:asciiTheme="minorHAnsi" w:hAnsiTheme="minorHAnsi" w:cs="Arial"/>
                <w:lang w:eastAsia="en-NZ"/>
              </w:rPr>
              <w:t xml:space="preserve">has the meaning set out in the </w:t>
            </w:r>
            <w:r w:rsidRPr="006B142F">
              <w:rPr>
                <w:rFonts w:asciiTheme="minorHAnsi" w:hAnsiTheme="minorHAnsi" w:cs="Arial"/>
                <w:bCs/>
                <w:lang w:eastAsia="en-NZ"/>
              </w:rPr>
              <w:t>IM determination</w:t>
            </w:r>
          </w:p>
        </w:tc>
      </w:tr>
      <w:tr w:rsidR="0089227F" w:rsidRPr="006B142F" w:rsidTr="00B20AEC">
        <w:trPr>
          <w:cantSplit/>
        </w:trPr>
        <w:tc>
          <w:tcPr>
            <w:tcW w:w="4621" w:type="dxa"/>
          </w:tcPr>
          <w:p w:rsidR="0089227F" w:rsidRPr="006B142F" w:rsidRDefault="0089227F" w:rsidP="0089227F">
            <w:pPr>
              <w:spacing w:line="264" w:lineRule="auto"/>
              <w:rPr>
                <w:rFonts w:asciiTheme="minorHAnsi" w:hAnsiTheme="minorHAnsi" w:cs="Arial"/>
                <w:bCs/>
                <w:lang w:eastAsia="en-NZ"/>
              </w:rPr>
            </w:pPr>
            <w:r w:rsidRPr="006B142F">
              <w:rPr>
                <w:rFonts w:asciiTheme="minorHAnsi" w:hAnsiTheme="minorHAnsi" w:cs="Arial"/>
                <w:bCs/>
                <w:lang w:eastAsia="en-NZ"/>
              </w:rPr>
              <w:t>Regulatory net taxable income</w:t>
            </w:r>
          </w:p>
        </w:tc>
        <w:tc>
          <w:tcPr>
            <w:tcW w:w="4622" w:type="dxa"/>
          </w:tcPr>
          <w:p w:rsidR="0089227F" w:rsidRPr="006B142F" w:rsidRDefault="0089227F" w:rsidP="0089227F">
            <w:pPr>
              <w:spacing w:line="264" w:lineRule="auto"/>
              <w:rPr>
                <w:rFonts w:asciiTheme="minorHAnsi" w:hAnsiTheme="minorHAnsi" w:cs="Arial"/>
                <w:lang w:eastAsia="en-NZ"/>
              </w:rPr>
            </w:pPr>
            <w:r w:rsidRPr="006B142F">
              <w:rPr>
                <w:rFonts w:asciiTheme="minorHAnsi" w:hAnsiTheme="minorHAnsi" w:cs="Arial"/>
                <w:lang w:eastAsia="en-NZ"/>
              </w:rPr>
              <w:t xml:space="preserve">has the meaning specified in clause 2.3.1(2) of the </w:t>
            </w:r>
            <w:r w:rsidRPr="006B142F">
              <w:rPr>
                <w:rFonts w:asciiTheme="minorHAnsi" w:hAnsiTheme="minorHAnsi" w:cs="Arial"/>
                <w:bCs/>
                <w:lang w:eastAsia="en-NZ"/>
              </w:rPr>
              <w:t>IM determination</w:t>
            </w:r>
          </w:p>
        </w:tc>
      </w:tr>
      <w:tr w:rsidR="0089227F" w:rsidRPr="006B142F" w:rsidTr="00B20AEC">
        <w:trPr>
          <w:cantSplit/>
        </w:trPr>
        <w:tc>
          <w:tcPr>
            <w:tcW w:w="4621" w:type="dxa"/>
          </w:tcPr>
          <w:p w:rsidR="0089227F" w:rsidRPr="006B142F" w:rsidRDefault="0089227F" w:rsidP="0089227F">
            <w:pPr>
              <w:spacing w:line="264" w:lineRule="auto"/>
              <w:rPr>
                <w:rFonts w:asciiTheme="minorHAnsi" w:hAnsiTheme="minorHAnsi" w:cs="Arial"/>
                <w:bCs/>
                <w:lang w:eastAsia="en-NZ"/>
              </w:rPr>
            </w:pPr>
            <w:r w:rsidRPr="006B142F">
              <w:rPr>
                <w:rFonts w:asciiTheme="minorHAnsi" w:hAnsiTheme="minorHAnsi" w:cs="Arial"/>
                <w:bCs/>
                <w:lang w:eastAsia="en-NZ"/>
              </w:rPr>
              <w:t>Regulatory period</w:t>
            </w:r>
          </w:p>
        </w:tc>
        <w:tc>
          <w:tcPr>
            <w:tcW w:w="4622" w:type="dxa"/>
          </w:tcPr>
          <w:p w:rsidR="0089227F" w:rsidRPr="006B142F" w:rsidRDefault="0089227F" w:rsidP="0089227F">
            <w:pPr>
              <w:spacing w:line="264" w:lineRule="auto"/>
              <w:rPr>
                <w:rFonts w:asciiTheme="minorHAnsi" w:hAnsiTheme="minorHAnsi" w:cs="Arial"/>
                <w:lang w:eastAsia="en-NZ"/>
              </w:rPr>
            </w:pPr>
            <w:r w:rsidRPr="006B142F">
              <w:rPr>
                <w:rFonts w:asciiTheme="minorHAnsi" w:hAnsiTheme="minorHAnsi" w:cs="Arial"/>
                <w:lang w:eastAsia="en-NZ"/>
              </w:rPr>
              <w:t xml:space="preserve">has the meaning set out in the </w:t>
            </w:r>
            <w:r w:rsidRPr="006B142F">
              <w:rPr>
                <w:rFonts w:asciiTheme="minorHAnsi" w:hAnsiTheme="minorHAnsi" w:cs="Arial"/>
                <w:bCs/>
                <w:lang w:eastAsia="en-NZ"/>
              </w:rPr>
              <w:t>IM determination</w:t>
            </w:r>
          </w:p>
        </w:tc>
      </w:tr>
      <w:tr w:rsidR="0089227F" w:rsidRPr="006B142F" w:rsidTr="00B20AEC">
        <w:trPr>
          <w:cantSplit/>
        </w:trPr>
        <w:tc>
          <w:tcPr>
            <w:tcW w:w="4621" w:type="dxa"/>
          </w:tcPr>
          <w:p w:rsidR="0089227F" w:rsidRPr="006B142F" w:rsidRDefault="0089227F" w:rsidP="0089227F">
            <w:pPr>
              <w:spacing w:line="264" w:lineRule="auto"/>
              <w:rPr>
                <w:rFonts w:asciiTheme="minorHAnsi" w:hAnsiTheme="minorHAnsi" w:cs="Arial"/>
                <w:bCs/>
                <w:lang w:eastAsia="en-NZ"/>
              </w:rPr>
            </w:pPr>
            <w:r w:rsidRPr="006B142F">
              <w:rPr>
                <w:rFonts w:asciiTheme="minorHAnsi" w:hAnsiTheme="minorHAnsi" w:cs="Arial"/>
                <w:bCs/>
                <w:lang w:eastAsia="en-NZ"/>
              </w:rPr>
              <w:t>Regulatory profit / (loss)</w:t>
            </w:r>
          </w:p>
        </w:tc>
        <w:tc>
          <w:tcPr>
            <w:tcW w:w="4622" w:type="dxa"/>
          </w:tcPr>
          <w:p w:rsidR="0089227F" w:rsidRPr="006B142F" w:rsidRDefault="0089227F" w:rsidP="0089227F">
            <w:pPr>
              <w:spacing w:line="264" w:lineRule="auto"/>
              <w:rPr>
                <w:rFonts w:asciiTheme="minorHAnsi" w:hAnsiTheme="minorHAnsi" w:cs="Arial"/>
                <w:lang w:eastAsia="en-NZ"/>
              </w:rPr>
            </w:pPr>
            <w:r w:rsidRPr="006B142F">
              <w:rPr>
                <w:rFonts w:asciiTheme="minorHAnsi" w:hAnsiTheme="minorHAnsi" w:cs="Arial"/>
                <w:lang w:eastAsia="en-NZ"/>
              </w:rPr>
              <w:t>means the</w:t>
            </w:r>
            <w:r w:rsidRPr="006B142F">
              <w:rPr>
                <w:rFonts w:asciiTheme="minorHAnsi" w:hAnsiTheme="minorHAnsi" w:cs="Arial"/>
                <w:bCs/>
                <w:lang w:eastAsia="en-NZ"/>
              </w:rPr>
              <w:t xml:space="preserve"> regulatory profit / (loss) before tax </w:t>
            </w:r>
            <w:r w:rsidRPr="006B142F">
              <w:rPr>
                <w:rFonts w:asciiTheme="minorHAnsi" w:hAnsiTheme="minorHAnsi" w:cs="Arial"/>
                <w:lang w:eastAsia="en-NZ"/>
              </w:rPr>
              <w:t xml:space="preserve">less the </w:t>
            </w:r>
            <w:r w:rsidRPr="006B142F">
              <w:rPr>
                <w:rFonts w:asciiTheme="minorHAnsi" w:hAnsiTheme="minorHAnsi" w:cs="Arial"/>
                <w:bCs/>
                <w:lang w:eastAsia="en-NZ"/>
              </w:rPr>
              <w:t>regulatory tax allowance</w:t>
            </w:r>
          </w:p>
        </w:tc>
      </w:tr>
      <w:tr w:rsidR="0089227F" w:rsidRPr="006B142F" w:rsidTr="00B20AEC">
        <w:trPr>
          <w:cantSplit/>
        </w:trPr>
        <w:tc>
          <w:tcPr>
            <w:tcW w:w="4621" w:type="dxa"/>
          </w:tcPr>
          <w:p w:rsidR="0089227F" w:rsidRPr="006B142F" w:rsidRDefault="0089227F" w:rsidP="0089227F">
            <w:pPr>
              <w:spacing w:line="264" w:lineRule="auto"/>
              <w:rPr>
                <w:rFonts w:asciiTheme="minorHAnsi" w:hAnsiTheme="minorHAnsi" w:cs="Arial"/>
                <w:bCs/>
                <w:lang w:eastAsia="en-NZ"/>
              </w:rPr>
            </w:pPr>
            <w:r w:rsidRPr="006B142F">
              <w:rPr>
                <w:rFonts w:asciiTheme="minorHAnsi" w:hAnsiTheme="minorHAnsi" w:cs="Arial"/>
                <w:bCs/>
                <w:lang w:eastAsia="en-NZ"/>
              </w:rPr>
              <w:t>Regulatory profit / (loss) before tax</w:t>
            </w:r>
          </w:p>
        </w:tc>
        <w:tc>
          <w:tcPr>
            <w:tcW w:w="4622" w:type="dxa"/>
          </w:tcPr>
          <w:p w:rsidR="0089227F" w:rsidRPr="006B142F" w:rsidRDefault="0089227F" w:rsidP="0089227F">
            <w:pPr>
              <w:tabs>
                <w:tab w:val="left" w:pos="1026"/>
                <w:tab w:val="left" w:pos="1451"/>
                <w:tab w:val="left" w:pos="1876"/>
              </w:tabs>
              <w:spacing w:line="264" w:lineRule="auto"/>
              <w:rPr>
                <w:rFonts w:asciiTheme="minorHAnsi" w:hAnsiTheme="minorHAnsi" w:cs="Arial"/>
                <w:lang w:eastAsia="en-NZ"/>
              </w:rPr>
            </w:pPr>
            <w:r w:rsidRPr="006B142F">
              <w:rPr>
                <w:rFonts w:asciiTheme="minorHAnsi" w:hAnsiTheme="minorHAnsi" w:cs="Arial"/>
                <w:lang w:eastAsia="en-NZ"/>
              </w:rPr>
              <w:t xml:space="preserve">means the value of </w:t>
            </w:r>
            <w:r w:rsidRPr="006B142F">
              <w:rPr>
                <w:rFonts w:asciiTheme="minorHAnsi" w:hAnsiTheme="minorHAnsi" w:cs="Arial"/>
                <w:i/>
                <w:lang w:eastAsia="en-NZ"/>
              </w:rPr>
              <w:t>q</w:t>
            </w:r>
            <w:r w:rsidRPr="006B142F">
              <w:rPr>
                <w:rFonts w:asciiTheme="minorHAnsi" w:hAnsiTheme="minorHAnsi" w:cs="Arial"/>
                <w:lang w:eastAsia="en-NZ"/>
              </w:rPr>
              <w:t xml:space="preserve"> calculated using the following formula:</w:t>
            </w:r>
          </w:p>
          <w:p w:rsidR="0089227F" w:rsidRPr="006B142F" w:rsidRDefault="0089227F" w:rsidP="0089227F">
            <w:pPr>
              <w:tabs>
                <w:tab w:val="left" w:pos="1026"/>
                <w:tab w:val="left" w:pos="1451"/>
                <w:tab w:val="left" w:pos="1876"/>
              </w:tabs>
              <w:spacing w:before="120" w:after="120" w:line="264" w:lineRule="auto"/>
              <w:rPr>
                <w:rFonts w:asciiTheme="minorHAnsi" w:hAnsiTheme="minorHAnsi"/>
                <w:position w:val="-6"/>
              </w:rPr>
            </w:pPr>
            <w:r w:rsidRPr="006B142F">
              <w:rPr>
                <w:rFonts w:asciiTheme="minorHAnsi" w:hAnsiTheme="minorHAnsi"/>
                <w:position w:val="-10"/>
              </w:rPr>
              <w:tab/>
            </w:r>
            <w:r w:rsidRPr="006B142F">
              <w:rPr>
                <w:rFonts w:asciiTheme="minorHAnsi" w:hAnsiTheme="minorHAnsi"/>
                <w:position w:val="-10"/>
              </w:rPr>
              <w:object w:dxaOrig="200" w:dyaOrig="240">
                <v:shape id="_x0000_i1054" type="#_x0000_t75" style="width:10.3pt;height:12.15pt" o:ole="">
                  <v:imagedata r:id="rId122" o:title=""/>
                </v:shape>
                <o:OLEObject Type="Embed" ProgID="Equation.3" ShapeID="_x0000_i1054" DrawAspect="Content" ObjectID="_1403043798" r:id="rId123"/>
              </w:object>
            </w:r>
            <w:r w:rsidRPr="006B142F">
              <w:rPr>
                <w:rFonts w:asciiTheme="minorHAnsi" w:hAnsiTheme="minorHAnsi"/>
              </w:rPr>
              <w:tab/>
              <w:t>=</w:t>
            </w:r>
            <w:r w:rsidRPr="006B142F">
              <w:rPr>
                <w:rFonts w:asciiTheme="minorHAnsi" w:hAnsiTheme="minorHAnsi"/>
              </w:rPr>
              <w:tab/>
            </w:r>
            <w:r w:rsidRPr="006B142F">
              <w:rPr>
                <w:rFonts w:asciiTheme="minorHAnsi" w:hAnsiTheme="minorHAnsi"/>
                <w:position w:val="-6"/>
              </w:rPr>
              <w:object w:dxaOrig="820" w:dyaOrig="260">
                <v:shape id="_x0000_i1055" type="#_x0000_t75" style="width:41.15pt;height:14.05pt" o:ole="">
                  <v:imagedata r:id="rId124" o:title=""/>
                </v:shape>
                <o:OLEObject Type="Embed" ProgID="Equation.3" ShapeID="_x0000_i1055" DrawAspect="Content" ObjectID="_1403043799" r:id="rId125"/>
              </w:object>
            </w:r>
          </w:p>
          <w:p w:rsidR="0089227F" w:rsidRPr="006B142F" w:rsidRDefault="0089227F" w:rsidP="0089227F">
            <w:pPr>
              <w:spacing w:line="264" w:lineRule="auto"/>
              <w:ind w:left="459" w:hanging="459"/>
              <w:rPr>
                <w:rFonts w:asciiTheme="minorHAnsi" w:hAnsiTheme="minorHAnsi" w:cs="Arial"/>
                <w:lang w:eastAsia="en-NZ"/>
              </w:rPr>
            </w:pPr>
            <w:r w:rsidRPr="006B142F">
              <w:rPr>
                <w:rFonts w:asciiTheme="minorHAnsi" w:hAnsiTheme="minorHAnsi" w:cs="Arial"/>
                <w:lang w:eastAsia="en-NZ"/>
              </w:rPr>
              <w:t>where:</w:t>
            </w:r>
          </w:p>
          <w:p w:rsidR="0089227F" w:rsidRPr="006B142F" w:rsidRDefault="0089227F" w:rsidP="0089227F">
            <w:pPr>
              <w:spacing w:line="264" w:lineRule="auto"/>
              <w:ind w:left="459" w:hanging="459"/>
              <w:rPr>
                <w:rFonts w:asciiTheme="minorHAnsi" w:hAnsiTheme="minorHAnsi"/>
                <w:position w:val="-6"/>
              </w:rPr>
            </w:pPr>
            <w:r w:rsidRPr="006B142F">
              <w:rPr>
                <w:rFonts w:asciiTheme="minorHAnsi" w:hAnsiTheme="minorHAnsi"/>
                <w:position w:val="-6"/>
              </w:rPr>
              <w:object w:dxaOrig="200" w:dyaOrig="220">
                <v:shape id="_x0000_i1056" type="#_x0000_t75" style="width:10.3pt;height:12.15pt" o:ole="">
                  <v:imagedata r:id="rId126" o:title=""/>
                </v:shape>
                <o:OLEObject Type="Embed" ProgID="Equation.3" ShapeID="_x0000_i1056" DrawAspect="Content" ObjectID="_1403043800" r:id="rId127"/>
              </w:object>
            </w:r>
            <w:r w:rsidRPr="006B142F">
              <w:rPr>
                <w:rFonts w:asciiTheme="minorHAnsi" w:hAnsiTheme="minorHAnsi"/>
                <w:position w:val="-6"/>
              </w:rPr>
              <w:t>=</w:t>
            </w:r>
            <w:r w:rsidRPr="006B142F">
              <w:rPr>
                <w:rFonts w:asciiTheme="minorHAnsi" w:hAnsiTheme="minorHAnsi" w:cs="Arial"/>
                <w:lang w:eastAsia="en-NZ"/>
              </w:rPr>
              <w:tab/>
            </w:r>
            <w:r w:rsidRPr="006B142F">
              <w:rPr>
                <w:rFonts w:asciiTheme="minorHAnsi" w:hAnsiTheme="minorHAnsi" w:cs="Arial"/>
                <w:bCs/>
                <w:lang w:eastAsia="en-NZ"/>
              </w:rPr>
              <w:t>operating surplus / (deficit)</w:t>
            </w:r>
          </w:p>
          <w:p w:rsidR="0089227F" w:rsidRPr="006B142F" w:rsidRDefault="0089227F" w:rsidP="0089227F">
            <w:pPr>
              <w:spacing w:line="264" w:lineRule="auto"/>
              <w:ind w:left="459" w:hanging="459"/>
              <w:rPr>
                <w:rFonts w:asciiTheme="minorHAnsi" w:hAnsiTheme="minorHAnsi" w:cs="Arial"/>
                <w:lang w:eastAsia="en-NZ"/>
              </w:rPr>
            </w:pPr>
            <w:r w:rsidRPr="006B142F">
              <w:rPr>
                <w:rFonts w:asciiTheme="minorHAnsi" w:hAnsiTheme="minorHAnsi"/>
                <w:position w:val="-6"/>
              </w:rPr>
              <w:object w:dxaOrig="200" w:dyaOrig="279">
                <v:shape id="_x0000_i1057" type="#_x0000_t75" style="width:10.3pt;height:14.95pt" o:ole="">
                  <v:imagedata r:id="rId128" o:title=""/>
                </v:shape>
                <o:OLEObject Type="Embed" ProgID="Equation.3" ShapeID="_x0000_i1057" DrawAspect="Content" ObjectID="_1403043801" r:id="rId129"/>
              </w:object>
            </w:r>
            <w:r w:rsidRPr="006B142F">
              <w:rPr>
                <w:rFonts w:asciiTheme="minorHAnsi" w:hAnsiTheme="minorHAnsi"/>
                <w:position w:val="-6"/>
              </w:rPr>
              <w:t>=</w:t>
            </w:r>
            <w:r w:rsidRPr="006B142F">
              <w:rPr>
                <w:rFonts w:asciiTheme="minorHAnsi" w:hAnsiTheme="minorHAnsi" w:cs="Arial"/>
                <w:lang w:eastAsia="en-NZ"/>
              </w:rPr>
              <w:tab/>
            </w:r>
            <w:r w:rsidRPr="006B142F">
              <w:rPr>
                <w:rFonts w:asciiTheme="minorHAnsi" w:hAnsiTheme="minorHAnsi" w:cs="Arial"/>
                <w:bCs/>
                <w:lang w:eastAsia="en-NZ"/>
              </w:rPr>
              <w:t>total depreciation</w:t>
            </w:r>
            <w:r w:rsidRPr="006B142F" w:rsidDel="00E05AC4">
              <w:rPr>
                <w:rFonts w:asciiTheme="minorHAnsi" w:hAnsiTheme="minorHAnsi" w:cs="Arial"/>
                <w:lang w:eastAsia="en-NZ"/>
              </w:rPr>
              <w:t xml:space="preserve"> </w:t>
            </w:r>
          </w:p>
          <w:p w:rsidR="0089227F" w:rsidRPr="006B142F" w:rsidRDefault="0089227F" w:rsidP="0089227F">
            <w:pPr>
              <w:spacing w:line="264" w:lineRule="auto"/>
              <w:ind w:left="459" w:hanging="459"/>
              <w:rPr>
                <w:rFonts w:asciiTheme="minorHAnsi" w:hAnsiTheme="minorHAnsi" w:cs="Arial"/>
                <w:lang w:eastAsia="en-NZ"/>
              </w:rPr>
            </w:pPr>
            <w:r w:rsidRPr="006B142F">
              <w:rPr>
                <w:rFonts w:asciiTheme="minorHAnsi" w:hAnsiTheme="minorHAnsi"/>
                <w:position w:val="-6"/>
              </w:rPr>
              <w:object w:dxaOrig="180" w:dyaOrig="220">
                <v:shape id="_x0000_i1058" type="#_x0000_t75" style="width:10.3pt;height:12.15pt" o:ole="">
                  <v:imagedata r:id="rId130" o:title=""/>
                </v:shape>
                <o:OLEObject Type="Embed" ProgID="Equation.3" ShapeID="_x0000_i1058" DrawAspect="Content" ObjectID="_1403043802" r:id="rId131"/>
              </w:object>
            </w:r>
            <w:r w:rsidRPr="006B142F">
              <w:rPr>
                <w:rFonts w:asciiTheme="minorHAnsi" w:hAnsiTheme="minorHAnsi"/>
                <w:position w:val="-6"/>
              </w:rPr>
              <w:t>=</w:t>
            </w:r>
            <w:r w:rsidRPr="006B142F">
              <w:rPr>
                <w:rFonts w:asciiTheme="minorHAnsi" w:hAnsiTheme="minorHAnsi" w:cs="Arial"/>
                <w:lang w:eastAsia="en-NZ"/>
              </w:rPr>
              <w:tab/>
              <w:t xml:space="preserve">total CPI </w:t>
            </w:r>
            <w:r w:rsidRPr="006B142F">
              <w:rPr>
                <w:rFonts w:asciiTheme="minorHAnsi" w:hAnsiTheme="minorHAnsi" w:cs="Arial"/>
                <w:bCs/>
                <w:lang w:eastAsia="en-NZ"/>
              </w:rPr>
              <w:t>revaluations</w:t>
            </w:r>
          </w:p>
        </w:tc>
      </w:tr>
      <w:tr w:rsidR="0089227F" w:rsidRPr="006B142F" w:rsidTr="00B20AEC">
        <w:trPr>
          <w:cantSplit/>
        </w:trPr>
        <w:tc>
          <w:tcPr>
            <w:tcW w:w="4621" w:type="dxa"/>
          </w:tcPr>
          <w:p w:rsidR="0089227F" w:rsidRPr="006B142F" w:rsidRDefault="0089227F" w:rsidP="0089227F">
            <w:pPr>
              <w:spacing w:line="264" w:lineRule="auto"/>
              <w:rPr>
                <w:rFonts w:asciiTheme="minorHAnsi" w:hAnsiTheme="minorHAnsi" w:cs="Arial"/>
                <w:bCs/>
                <w:lang w:eastAsia="en-NZ"/>
              </w:rPr>
            </w:pPr>
            <w:r w:rsidRPr="006B142F">
              <w:rPr>
                <w:rFonts w:asciiTheme="minorHAnsi" w:hAnsiTheme="minorHAnsi" w:cs="Arial"/>
                <w:bCs/>
                <w:lang w:eastAsia="en-NZ"/>
              </w:rPr>
              <w:t>Regulatory tax allowance</w:t>
            </w:r>
          </w:p>
        </w:tc>
        <w:tc>
          <w:tcPr>
            <w:tcW w:w="4622" w:type="dxa"/>
          </w:tcPr>
          <w:p w:rsidR="0089227F" w:rsidRPr="006B142F" w:rsidRDefault="0089227F" w:rsidP="0089227F">
            <w:pPr>
              <w:spacing w:line="264" w:lineRule="auto"/>
              <w:rPr>
                <w:rFonts w:asciiTheme="minorHAnsi" w:hAnsiTheme="minorHAnsi" w:cs="Arial"/>
                <w:lang w:eastAsia="en-NZ"/>
              </w:rPr>
            </w:pPr>
            <w:r w:rsidRPr="006B142F">
              <w:rPr>
                <w:rFonts w:asciiTheme="minorHAnsi" w:hAnsiTheme="minorHAnsi" w:cs="Arial"/>
                <w:lang w:eastAsia="en-NZ"/>
              </w:rPr>
              <w:t xml:space="preserve">has the meaning set out in clause 2.3.1 of the </w:t>
            </w:r>
            <w:r w:rsidRPr="006B142F">
              <w:rPr>
                <w:rFonts w:asciiTheme="minorHAnsi" w:hAnsiTheme="minorHAnsi" w:cs="Arial"/>
                <w:bCs/>
                <w:lang w:eastAsia="en-NZ"/>
              </w:rPr>
              <w:t>IM determination</w:t>
            </w:r>
          </w:p>
        </w:tc>
      </w:tr>
      <w:tr w:rsidR="0089227F" w:rsidRPr="006B142F" w:rsidTr="00B20AEC">
        <w:trPr>
          <w:cantSplit/>
        </w:trPr>
        <w:tc>
          <w:tcPr>
            <w:tcW w:w="4621" w:type="dxa"/>
          </w:tcPr>
          <w:p w:rsidR="0089227F" w:rsidRPr="006B142F" w:rsidRDefault="0089227F" w:rsidP="0089227F">
            <w:pPr>
              <w:spacing w:line="264" w:lineRule="auto"/>
              <w:rPr>
                <w:rFonts w:asciiTheme="minorHAnsi" w:hAnsiTheme="minorHAnsi" w:cs="Arial"/>
                <w:bCs/>
                <w:lang w:eastAsia="en-NZ"/>
              </w:rPr>
            </w:pPr>
            <w:r w:rsidRPr="006B142F">
              <w:rPr>
                <w:rFonts w:asciiTheme="minorHAnsi" w:hAnsiTheme="minorHAnsi" w:cs="Arial"/>
                <w:bCs/>
                <w:lang w:eastAsia="en-NZ"/>
              </w:rPr>
              <w:t>Regulatory tax asset value</w:t>
            </w:r>
          </w:p>
        </w:tc>
        <w:tc>
          <w:tcPr>
            <w:tcW w:w="4622" w:type="dxa"/>
          </w:tcPr>
          <w:p w:rsidR="0089227F" w:rsidRPr="006B142F" w:rsidRDefault="0089227F" w:rsidP="0089227F">
            <w:pPr>
              <w:spacing w:line="264" w:lineRule="auto"/>
              <w:rPr>
                <w:rFonts w:asciiTheme="minorHAnsi" w:hAnsiTheme="minorHAnsi" w:cs="Arial"/>
                <w:lang w:eastAsia="en-NZ"/>
              </w:rPr>
            </w:pPr>
            <w:r w:rsidRPr="006B142F">
              <w:rPr>
                <w:rFonts w:asciiTheme="minorHAnsi" w:hAnsiTheme="minorHAnsi" w:cs="Arial"/>
                <w:lang w:eastAsia="en-NZ"/>
              </w:rPr>
              <w:t xml:space="preserve">has the meaning set out in the </w:t>
            </w:r>
            <w:r w:rsidRPr="006B142F">
              <w:rPr>
                <w:rFonts w:asciiTheme="minorHAnsi" w:hAnsiTheme="minorHAnsi" w:cs="Arial"/>
                <w:bCs/>
                <w:lang w:eastAsia="en-NZ"/>
              </w:rPr>
              <w:t>IM determination</w:t>
            </w:r>
          </w:p>
        </w:tc>
      </w:tr>
      <w:tr w:rsidR="0089227F" w:rsidRPr="006B142F" w:rsidTr="00B20AEC">
        <w:trPr>
          <w:cantSplit/>
        </w:trPr>
        <w:tc>
          <w:tcPr>
            <w:tcW w:w="4621" w:type="dxa"/>
          </w:tcPr>
          <w:p w:rsidR="0089227F" w:rsidRPr="006B142F" w:rsidRDefault="0089227F" w:rsidP="0089227F">
            <w:pPr>
              <w:spacing w:line="264" w:lineRule="auto"/>
              <w:rPr>
                <w:rFonts w:asciiTheme="minorHAnsi" w:hAnsiTheme="minorHAnsi" w:cs="Arial"/>
                <w:bCs/>
                <w:lang w:eastAsia="en-NZ"/>
              </w:rPr>
            </w:pPr>
            <w:r w:rsidRPr="006B142F">
              <w:rPr>
                <w:rFonts w:asciiTheme="minorHAnsi" w:hAnsiTheme="minorHAnsi" w:cs="Arial"/>
                <w:bCs/>
                <w:lang w:eastAsia="en-NZ"/>
              </w:rPr>
              <w:t>Regulatory tax asset value of asset disposals</w:t>
            </w:r>
          </w:p>
        </w:tc>
        <w:tc>
          <w:tcPr>
            <w:tcW w:w="4622" w:type="dxa"/>
          </w:tcPr>
          <w:p w:rsidR="0089227F" w:rsidRPr="006B142F" w:rsidRDefault="0089227F" w:rsidP="0089227F">
            <w:pPr>
              <w:spacing w:line="264" w:lineRule="auto"/>
              <w:rPr>
                <w:rFonts w:asciiTheme="minorHAnsi" w:hAnsiTheme="minorHAnsi" w:cs="Arial"/>
                <w:lang w:eastAsia="en-NZ"/>
              </w:rPr>
            </w:pPr>
            <w:r w:rsidRPr="006B142F">
              <w:rPr>
                <w:rFonts w:asciiTheme="minorHAnsi" w:hAnsiTheme="minorHAnsi" w:cs="Arial"/>
                <w:lang w:eastAsia="en-NZ"/>
              </w:rPr>
              <w:t xml:space="preserve">means the sum of </w:t>
            </w:r>
            <w:r w:rsidRPr="006B142F">
              <w:rPr>
                <w:rFonts w:asciiTheme="minorHAnsi" w:hAnsiTheme="minorHAnsi" w:cs="Arial"/>
                <w:bCs/>
                <w:lang w:eastAsia="en-NZ"/>
              </w:rPr>
              <w:t xml:space="preserve">regulatory tax asset values </w:t>
            </w:r>
            <w:r w:rsidRPr="006B142F">
              <w:rPr>
                <w:rFonts w:asciiTheme="minorHAnsi" w:hAnsiTheme="minorHAnsi" w:cs="Arial"/>
                <w:lang w:eastAsia="en-NZ"/>
              </w:rPr>
              <w:t xml:space="preserve">for assets that have a value in </w:t>
            </w:r>
            <w:r w:rsidRPr="006B142F">
              <w:rPr>
                <w:rFonts w:asciiTheme="minorHAnsi" w:hAnsiTheme="minorHAnsi" w:cs="Arial"/>
                <w:bCs/>
                <w:lang w:eastAsia="en-NZ"/>
              </w:rPr>
              <w:t>asset disposals</w:t>
            </w:r>
          </w:p>
        </w:tc>
      </w:tr>
      <w:tr w:rsidR="0089227F" w:rsidRPr="006B142F" w:rsidTr="00B20AEC">
        <w:trPr>
          <w:cantSplit/>
        </w:trPr>
        <w:tc>
          <w:tcPr>
            <w:tcW w:w="4621" w:type="dxa"/>
          </w:tcPr>
          <w:p w:rsidR="0089227F" w:rsidRPr="006B142F" w:rsidRDefault="0089227F" w:rsidP="0089227F">
            <w:pPr>
              <w:spacing w:line="264" w:lineRule="auto"/>
              <w:rPr>
                <w:rFonts w:asciiTheme="minorHAnsi" w:hAnsiTheme="minorHAnsi" w:cs="Arial"/>
                <w:bCs/>
                <w:lang w:eastAsia="en-NZ"/>
              </w:rPr>
            </w:pPr>
            <w:r w:rsidRPr="006B142F">
              <w:rPr>
                <w:rFonts w:asciiTheme="minorHAnsi" w:hAnsiTheme="minorHAnsi" w:cs="Arial"/>
                <w:bCs/>
                <w:lang w:eastAsia="en-NZ"/>
              </w:rPr>
              <w:t>Regulatory tax asset value of assets commissioned</w:t>
            </w:r>
          </w:p>
        </w:tc>
        <w:tc>
          <w:tcPr>
            <w:tcW w:w="4622" w:type="dxa"/>
          </w:tcPr>
          <w:p w:rsidR="0089227F" w:rsidRPr="006B142F" w:rsidRDefault="0089227F" w:rsidP="0089227F">
            <w:pPr>
              <w:spacing w:line="264" w:lineRule="auto"/>
              <w:rPr>
                <w:rFonts w:asciiTheme="minorHAnsi" w:hAnsiTheme="minorHAnsi" w:cs="Arial"/>
                <w:lang w:eastAsia="en-NZ"/>
              </w:rPr>
            </w:pPr>
            <w:r w:rsidRPr="006B142F">
              <w:rPr>
                <w:rFonts w:asciiTheme="minorHAnsi" w:hAnsiTheme="minorHAnsi" w:cs="Arial"/>
                <w:lang w:eastAsia="en-NZ"/>
              </w:rPr>
              <w:t>means the sum of</w:t>
            </w:r>
            <w:r w:rsidRPr="006B142F">
              <w:rPr>
                <w:rFonts w:asciiTheme="minorHAnsi" w:hAnsiTheme="minorHAnsi" w:cs="Arial"/>
                <w:bCs/>
                <w:lang w:eastAsia="en-NZ"/>
              </w:rPr>
              <w:t xml:space="preserve"> regulatory tax asset values</w:t>
            </w:r>
            <w:r w:rsidRPr="006B142F">
              <w:rPr>
                <w:rFonts w:asciiTheme="minorHAnsi" w:hAnsiTheme="minorHAnsi" w:cs="Arial"/>
                <w:lang w:eastAsia="en-NZ"/>
              </w:rPr>
              <w:t xml:space="preserve"> for assets that have a value in </w:t>
            </w:r>
            <w:r w:rsidRPr="006B142F">
              <w:rPr>
                <w:rFonts w:asciiTheme="minorHAnsi" w:hAnsiTheme="minorHAnsi" w:cs="Arial"/>
                <w:bCs/>
                <w:lang w:eastAsia="en-NZ"/>
              </w:rPr>
              <w:t>assets commissioned</w:t>
            </w:r>
          </w:p>
        </w:tc>
      </w:tr>
      <w:tr w:rsidR="0089227F" w:rsidRPr="006B142F" w:rsidTr="00B20AEC">
        <w:trPr>
          <w:cantSplit/>
        </w:trPr>
        <w:tc>
          <w:tcPr>
            <w:tcW w:w="4621" w:type="dxa"/>
          </w:tcPr>
          <w:p w:rsidR="0089227F" w:rsidRPr="006B142F" w:rsidRDefault="0089227F" w:rsidP="0089227F">
            <w:pPr>
              <w:spacing w:line="264" w:lineRule="auto"/>
              <w:rPr>
                <w:rFonts w:asciiTheme="minorHAnsi" w:hAnsiTheme="minorHAnsi" w:cs="Arial"/>
                <w:bCs/>
                <w:lang w:eastAsia="en-NZ"/>
              </w:rPr>
            </w:pPr>
            <w:r w:rsidRPr="006B142F">
              <w:rPr>
                <w:rFonts w:asciiTheme="minorHAnsi" w:hAnsiTheme="minorHAnsi" w:cs="Arial"/>
                <w:bCs/>
                <w:lang w:eastAsia="en-NZ"/>
              </w:rPr>
              <w:t>Regulatory taxable income</w:t>
            </w:r>
          </w:p>
        </w:tc>
        <w:tc>
          <w:tcPr>
            <w:tcW w:w="4622" w:type="dxa"/>
          </w:tcPr>
          <w:p w:rsidR="0089227F" w:rsidRPr="006B142F" w:rsidRDefault="0089227F" w:rsidP="0089227F">
            <w:pPr>
              <w:spacing w:line="264" w:lineRule="auto"/>
              <w:rPr>
                <w:rFonts w:asciiTheme="minorHAnsi" w:hAnsiTheme="minorHAnsi" w:cs="Arial"/>
                <w:lang w:eastAsia="en-NZ"/>
              </w:rPr>
            </w:pPr>
            <w:r w:rsidRPr="006B142F">
              <w:rPr>
                <w:rFonts w:asciiTheme="minorHAnsi" w:hAnsiTheme="minorHAnsi" w:cs="Arial"/>
                <w:lang w:eastAsia="en-NZ"/>
              </w:rPr>
              <w:t xml:space="preserve">has the meaning set out in the </w:t>
            </w:r>
            <w:r w:rsidRPr="006B142F">
              <w:rPr>
                <w:rFonts w:asciiTheme="minorHAnsi" w:hAnsiTheme="minorHAnsi" w:cs="Arial"/>
                <w:bCs/>
                <w:lang w:eastAsia="en-NZ"/>
              </w:rPr>
              <w:t>IM determination</w:t>
            </w:r>
          </w:p>
        </w:tc>
      </w:tr>
      <w:tr w:rsidR="0089227F" w:rsidRPr="006B142F" w:rsidTr="00B20AEC">
        <w:trPr>
          <w:cantSplit/>
        </w:trPr>
        <w:tc>
          <w:tcPr>
            <w:tcW w:w="4621" w:type="dxa"/>
          </w:tcPr>
          <w:p w:rsidR="0089227F" w:rsidRPr="006B142F" w:rsidRDefault="0089227F" w:rsidP="0089227F">
            <w:pPr>
              <w:rPr>
                <w:rFonts w:asciiTheme="minorHAnsi" w:hAnsiTheme="minorHAnsi"/>
                <w:color w:val="000000"/>
                <w:lang w:val="en-AU"/>
              </w:rPr>
            </w:pPr>
            <w:r w:rsidRPr="006B142F">
              <w:rPr>
                <w:rFonts w:asciiTheme="minorHAnsi" w:hAnsiTheme="minorHAnsi"/>
                <w:color w:val="000000"/>
                <w:lang w:val="en-AU"/>
              </w:rPr>
              <w:t>Research and development</w:t>
            </w:r>
          </w:p>
        </w:tc>
        <w:tc>
          <w:tcPr>
            <w:tcW w:w="4622" w:type="dxa"/>
          </w:tcPr>
          <w:p w:rsidR="0089227F" w:rsidRPr="006B142F" w:rsidRDefault="0089227F" w:rsidP="0089227F">
            <w:pPr>
              <w:pStyle w:val="BodyText"/>
              <w:rPr>
                <w:rFonts w:asciiTheme="minorHAnsi" w:hAnsiTheme="minorHAnsi"/>
              </w:rPr>
            </w:pPr>
            <w:r w:rsidRPr="006B142F">
              <w:rPr>
                <w:rFonts w:asciiTheme="minorHAnsi" w:hAnsiTheme="minorHAnsi"/>
              </w:rPr>
              <w:t xml:space="preserve">in relation to expenditure, means gross capital expenditure or operational expenditure where the primary driver for the expenditure relates to increasing the efficient provision of gas pipeline services through: </w:t>
            </w:r>
          </w:p>
          <w:p w:rsidR="0089227F" w:rsidRPr="006B142F" w:rsidRDefault="0089227F" w:rsidP="0089227F">
            <w:pPr>
              <w:pStyle w:val="Tablebullet"/>
              <w:numPr>
                <w:ilvl w:val="0"/>
                <w:numId w:val="153"/>
              </w:numPr>
              <w:spacing w:after="120"/>
              <w:rPr>
                <w:rFonts w:asciiTheme="minorHAnsi" w:hAnsiTheme="minorHAnsi"/>
                <w:szCs w:val="24"/>
                <w:lang w:val="en-AU"/>
              </w:rPr>
            </w:pPr>
            <w:r w:rsidRPr="006B142F">
              <w:rPr>
                <w:rFonts w:asciiTheme="minorHAnsi" w:hAnsiTheme="minorHAnsi"/>
                <w:szCs w:val="24"/>
              </w:rPr>
              <w:t xml:space="preserve">implementing an original and planned investigation undertaken with the prospect of gaining new scientific or technical knowledge or understanding; or </w:t>
            </w:r>
          </w:p>
          <w:p w:rsidR="0089227F" w:rsidRPr="006B142F" w:rsidRDefault="0089227F" w:rsidP="0089227F">
            <w:pPr>
              <w:pStyle w:val="Tablebullet"/>
              <w:numPr>
                <w:ilvl w:val="0"/>
                <w:numId w:val="153"/>
              </w:numPr>
              <w:spacing w:after="120"/>
              <w:rPr>
                <w:rFonts w:asciiTheme="minorHAnsi" w:hAnsiTheme="minorHAnsi"/>
                <w:szCs w:val="24"/>
                <w:lang w:val="en-AU"/>
              </w:rPr>
            </w:pPr>
            <w:r w:rsidRPr="006B142F">
              <w:rPr>
                <w:rFonts w:asciiTheme="minorHAnsi" w:hAnsiTheme="minorHAnsi"/>
                <w:szCs w:val="24"/>
              </w:rPr>
              <w:t>applying research findings or other knowledge to a plan or design for the production of new or substantially improved materials, devices, products, processes, systems or services before the start of commercial production or use.</w:t>
            </w:r>
          </w:p>
        </w:tc>
      </w:tr>
      <w:tr w:rsidR="0089227F" w:rsidRPr="006B142F" w:rsidTr="00B20AEC">
        <w:trPr>
          <w:cantSplit/>
        </w:trPr>
        <w:tc>
          <w:tcPr>
            <w:tcW w:w="4621" w:type="dxa"/>
          </w:tcPr>
          <w:p w:rsidR="0089227F" w:rsidRPr="006B142F" w:rsidRDefault="0089227F" w:rsidP="0089227F">
            <w:pPr>
              <w:pStyle w:val="Tablebodytext"/>
              <w:rPr>
                <w:rFonts w:asciiTheme="minorHAnsi" w:hAnsiTheme="minorHAnsi"/>
                <w:szCs w:val="24"/>
              </w:rPr>
            </w:pPr>
            <w:r w:rsidRPr="006B142F">
              <w:rPr>
                <w:rFonts w:asciiTheme="minorHAnsi" w:hAnsiTheme="minorHAnsi"/>
                <w:szCs w:val="24"/>
              </w:rPr>
              <w:t>Response time to emergencies (RTE)</w:t>
            </w:r>
          </w:p>
        </w:tc>
        <w:tc>
          <w:tcPr>
            <w:tcW w:w="4622" w:type="dxa"/>
          </w:tcPr>
          <w:p w:rsidR="0089227F" w:rsidRPr="006B142F" w:rsidRDefault="0089227F" w:rsidP="0089227F">
            <w:pPr>
              <w:pStyle w:val="Tablebodytext"/>
              <w:rPr>
                <w:rFonts w:asciiTheme="minorHAnsi" w:hAnsiTheme="minorHAnsi"/>
                <w:szCs w:val="24"/>
              </w:rPr>
            </w:pPr>
            <w:proofErr w:type="gramStart"/>
            <w:r w:rsidRPr="006B142F">
              <w:rPr>
                <w:rFonts w:asciiTheme="minorHAnsi" w:hAnsiTheme="minorHAnsi"/>
                <w:szCs w:val="24"/>
                <w:lang w:eastAsia="en-NZ"/>
              </w:rPr>
              <w:t>means</w:t>
            </w:r>
            <w:proofErr w:type="gramEnd"/>
            <w:r w:rsidRPr="006B142F">
              <w:rPr>
                <w:rFonts w:asciiTheme="minorHAnsi" w:hAnsiTheme="minorHAnsi"/>
                <w:szCs w:val="24"/>
                <w:lang w:eastAsia="en-NZ"/>
              </w:rPr>
              <w:t xml:space="preserve"> the time elapsed from when an emergency is reported to a GDB representative until the </w:t>
            </w:r>
            <w:proofErr w:type="spellStart"/>
            <w:r w:rsidRPr="006B142F">
              <w:rPr>
                <w:rFonts w:asciiTheme="minorHAnsi" w:hAnsiTheme="minorHAnsi"/>
                <w:szCs w:val="24"/>
                <w:lang w:eastAsia="en-NZ"/>
              </w:rPr>
              <w:t>GDB’s</w:t>
            </w:r>
            <w:proofErr w:type="spellEnd"/>
            <w:r w:rsidRPr="006B142F">
              <w:rPr>
                <w:rFonts w:asciiTheme="minorHAnsi" w:hAnsiTheme="minorHAnsi"/>
                <w:szCs w:val="24"/>
                <w:lang w:eastAsia="en-NZ"/>
              </w:rPr>
              <w:t xml:space="preserve"> personnel arrives at the location of the emergency.</w:t>
            </w:r>
          </w:p>
        </w:tc>
      </w:tr>
      <w:tr w:rsidR="0089227F" w:rsidRPr="006B142F" w:rsidTr="00B20AEC">
        <w:trPr>
          <w:cantSplit/>
        </w:trPr>
        <w:tc>
          <w:tcPr>
            <w:tcW w:w="4621" w:type="dxa"/>
          </w:tcPr>
          <w:p w:rsidR="0089227F" w:rsidRPr="006B142F" w:rsidRDefault="0089227F" w:rsidP="0089227F">
            <w:pPr>
              <w:spacing w:line="264" w:lineRule="auto"/>
              <w:rPr>
                <w:rFonts w:asciiTheme="minorHAnsi" w:hAnsiTheme="minorHAnsi" w:cs="Arial"/>
                <w:bCs/>
                <w:lang w:eastAsia="en-NZ"/>
              </w:rPr>
            </w:pPr>
            <w:r w:rsidRPr="006B142F">
              <w:rPr>
                <w:rFonts w:asciiTheme="minorHAnsi" w:hAnsiTheme="minorHAnsi" w:cs="Arial"/>
                <w:bCs/>
                <w:lang w:eastAsia="en-NZ"/>
              </w:rPr>
              <w:t>Revaluation rate</w:t>
            </w:r>
          </w:p>
        </w:tc>
        <w:tc>
          <w:tcPr>
            <w:tcW w:w="4622" w:type="dxa"/>
          </w:tcPr>
          <w:p w:rsidR="0089227F" w:rsidRPr="006B142F" w:rsidRDefault="0089227F" w:rsidP="0089227F">
            <w:pPr>
              <w:spacing w:line="264" w:lineRule="auto"/>
              <w:rPr>
                <w:rFonts w:asciiTheme="minorHAnsi" w:hAnsiTheme="minorHAnsi" w:cs="Arial"/>
                <w:lang w:eastAsia="en-NZ"/>
              </w:rPr>
            </w:pPr>
            <w:r w:rsidRPr="006B142F">
              <w:rPr>
                <w:rFonts w:asciiTheme="minorHAnsi" w:hAnsiTheme="minorHAnsi" w:cs="Arial"/>
                <w:lang w:eastAsia="en-NZ"/>
              </w:rPr>
              <w:t xml:space="preserve">has the meaning set out in the </w:t>
            </w:r>
            <w:r w:rsidRPr="006B142F">
              <w:rPr>
                <w:rFonts w:asciiTheme="minorHAnsi" w:hAnsiTheme="minorHAnsi" w:cs="Arial"/>
                <w:bCs/>
                <w:lang w:eastAsia="en-NZ"/>
              </w:rPr>
              <w:t>IM determination</w:t>
            </w:r>
          </w:p>
        </w:tc>
      </w:tr>
      <w:tr w:rsidR="0089227F" w:rsidRPr="006B142F" w:rsidTr="00B20AEC">
        <w:trPr>
          <w:cantSplit/>
        </w:trPr>
        <w:tc>
          <w:tcPr>
            <w:tcW w:w="4621" w:type="dxa"/>
          </w:tcPr>
          <w:p w:rsidR="0089227F" w:rsidRPr="006B142F" w:rsidRDefault="0089227F" w:rsidP="0089227F">
            <w:pPr>
              <w:spacing w:line="264" w:lineRule="auto"/>
              <w:rPr>
                <w:rFonts w:asciiTheme="minorHAnsi" w:hAnsiTheme="minorHAnsi" w:cs="Arial"/>
                <w:bCs/>
                <w:lang w:eastAsia="en-NZ"/>
              </w:rPr>
            </w:pPr>
            <w:r w:rsidRPr="006B142F">
              <w:rPr>
                <w:rFonts w:asciiTheme="minorHAnsi" w:hAnsiTheme="minorHAnsi" w:cs="Arial"/>
                <w:bCs/>
                <w:lang w:eastAsia="en-NZ"/>
              </w:rPr>
              <w:t>Revenue related working capital</w:t>
            </w:r>
          </w:p>
        </w:tc>
        <w:tc>
          <w:tcPr>
            <w:tcW w:w="4622" w:type="dxa"/>
          </w:tcPr>
          <w:p w:rsidR="0089227F" w:rsidRPr="006B142F" w:rsidRDefault="0089227F" w:rsidP="0089227F">
            <w:pPr>
              <w:spacing w:line="264" w:lineRule="auto"/>
              <w:rPr>
                <w:rFonts w:asciiTheme="minorHAnsi" w:hAnsiTheme="minorHAnsi" w:cs="Arial"/>
                <w:lang w:eastAsia="en-NZ"/>
              </w:rPr>
            </w:pPr>
            <w:r w:rsidRPr="006B142F">
              <w:rPr>
                <w:rFonts w:asciiTheme="minorHAnsi" w:hAnsiTheme="minorHAnsi"/>
              </w:rPr>
              <w:t>means for the opening RIV and closing RIV, the revenue for the last month of the disclosure year</w:t>
            </w:r>
          </w:p>
        </w:tc>
      </w:tr>
      <w:tr w:rsidR="0089227F" w:rsidRPr="006B142F" w:rsidTr="00B20AEC">
        <w:trPr>
          <w:cantSplit/>
        </w:trPr>
        <w:tc>
          <w:tcPr>
            <w:tcW w:w="4621" w:type="dxa"/>
          </w:tcPr>
          <w:p w:rsidR="0089227F" w:rsidRPr="006B142F" w:rsidRDefault="0089227F" w:rsidP="0089227F">
            <w:pPr>
              <w:spacing w:line="264" w:lineRule="auto"/>
              <w:rPr>
                <w:rFonts w:asciiTheme="minorHAnsi" w:hAnsiTheme="minorHAnsi" w:cs="Arial"/>
                <w:bCs/>
                <w:lang w:eastAsia="en-NZ"/>
              </w:rPr>
            </w:pPr>
            <w:r w:rsidRPr="006B142F">
              <w:rPr>
                <w:rFonts w:asciiTheme="minorHAnsi" w:hAnsiTheme="minorHAnsi" w:cs="Arial"/>
                <w:bCs/>
                <w:lang w:eastAsia="en-NZ"/>
              </w:rPr>
              <w:t>ROI</w:t>
            </w:r>
          </w:p>
        </w:tc>
        <w:tc>
          <w:tcPr>
            <w:tcW w:w="4622" w:type="dxa"/>
          </w:tcPr>
          <w:p w:rsidR="0089227F" w:rsidRPr="006B142F" w:rsidRDefault="0089227F" w:rsidP="0089227F">
            <w:pPr>
              <w:spacing w:line="264" w:lineRule="auto"/>
              <w:rPr>
                <w:rFonts w:asciiTheme="minorHAnsi" w:hAnsiTheme="minorHAnsi" w:cs="Arial"/>
                <w:lang w:eastAsia="en-NZ"/>
              </w:rPr>
            </w:pPr>
            <w:r w:rsidRPr="006B142F">
              <w:rPr>
                <w:rFonts w:asciiTheme="minorHAnsi" w:hAnsiTheme="minorHAnsi" w:cs="Arial"/>
                <w:lang w:eastAsia="en-NZ"/>
              </w:rPr>
              <w:t>means return on investment</w:t>
            </w:r>
          </w:p>
        </w:tc>
      </w:tr>
      <w:tr w:rsidR="0089227F" w:rsidRPr="006B142F" w:rsidTr="00B20AEC">
        <w:trPr>
          <w:cantSplit/>
        </w:trPr>
        <w:tc>
          <w:tcPr>
            <w:tcW w:w="4621" w:type="dxa"/>
          </w:tcPr>
          <w:p w:rsidR="0089227F" w:rsidRPr="006B142F" w:rsidRDefault="0089227F" w:rsidP="0089227F">
            <w:pPr>
              <w:spacing w:line="264" w:lineRule="auto"/>
              <w:rPr>
                <w:rFonts w:asciiTheme="minorHAnsi" w:hAnsiTheme="minorHAnsi"/>
              </w:rPr>
            </w:pPr>
            <w:r w:rsidRPr="006B142F">
              <w:rPr>
                <w:rFonts w:asciiTheme="minorHAnsi" w:hAnsiTheme="minorHAnsi"/>
              </w:rPr>
              <w:t>ROI comparable to a post-tax WACC</w:t>
            </w:r>
          </w:p>
        </w:tc>
        <w:tc>
          <w:tcPr>
            <w:tcW w:w="4622" w:type="dxa"/>
          </w:tcPr>
          <w:p w:rsidR="0089227F" w:rsidRPr="006B142F" w:rsidRDefault="0089227F" w:rsidP="0089227F">
            <w:pPr>
              <w:rPr>
                <w:rFonts w:asciiTheme="minorHAnsi" w:hAnsiTheme="minorHAnsi"/>
              </w:rPr>
            </w:pPr>
            <w:r w:rsidRPr="006B142F">
              <w:rPr>
                <w:rFonts w:asciiTheme="minorHAnsi" w:hAnsiTheme="minorHAnsi"/>
              </w:rPr>
              <w:t xml:space="preserve">means the </w:t>
            </w:r>
            <w:r w:rsidRPr="006B142F">
              <w:rPr>
                <w:rFonts w:asciiTheme="minorHAnsi" w:hAnsiTheme="minorHAnsi"/>
                <w:bCs/>
              </w:rPr>
              <w:t>ROI comparable to the vanilla WACC</w:t>
            </w:r>
            <w:r w:rsidRPr="006B142F">
              <w:rPr>
                <w:rFonts w:asciiTheme="minorHAnsi" w:hAnsiTheme="minorHAnsi"/>
              </w:rPr>
              <w:t xml:space="preserve"> less the product of the </w:t>
            </w:r>
            <w:r w:rsidRPr="006B142F">
              <w:rPr>
                <w:rFonts w:asciiTheme="minorHAnsi" w:hAnsiTheme="minorHAnsi"/>
                <w:bCs/>
              </w:rPr>
              <w:t>cost of debt (%),</w:t>
            </w:r>
            <w:r w:rsidRPr="006B142F">
              <w:rPr>
                <w:rFonts w:asciiTheme="minorHAnsi" w:hAnsiTheme="minorHAnsi"/>
              </w:rPr>
              <w:t xml:space="preserve"> the </w:t>
            </w:r>
            <w:r w:rsidRPr="006B142F">
              <w:rPr>
                <w:rFonts w:asciiTheme="minorHAnsi" w:hAnsiTheme="minorHAnsi"/>
                <w:bCs/>
              </w:rPr>
              <w:t>leverage</w:t>
            </w:r>
            <w:r w:rsidRPr="006B142F">
              <w:rPr>
                <w:rFonts w:asciiTheme="minorHAnsi" w:hAnsiTheme="minorHAnsi"/>
              </w:rPr>
              <w:t xml:space="preserve"> and the </w:t>
            </w:r>
            <w:r w:rsidRPr="006B142F">
              <w:rPr>
                <w:rFonts w:asciiTheme="minorHAnsi" w:hAnsiTheme="minorHAnsi"/>
                <w:bCs/>
              </w:rPr>
              <w:t>corporate tax rate</w:t>
            </w:r>
          </w:p>
        </w:tc>
      </w:tr>
      <w:tr w:rsidR="0089227F" w:rsidRPr="006B142F" w:rsidTr="00B20AEC">
        <w:trPr>
          <w:cantSplit/>
        </w:trPr>
        <w:tc>
          <w:tcPr>
            <w:tcW w:w="4621" w:type="dxa"/>
          </w:tcPr>
          <w:p w:rsidR="0089227F" w:rsidRPr="006B142F" w:rsidRDefault="0089227F" w:rsidP="0089227F">
            <w:pPr>
              <w:spacing w:line="264" w:lineRule="auto"/>
              <w:rPr>
                <w:rFonts w:asciiTheme="minorHAnsi" w:hAnsiTheme="minorHAnsi"/>
              </w:rPr>
            </w:pPr>
            <w:r w:rsidRPr="006B142F">
              <w:rPr>
                <w:rFonts w:asciiTheme="minorHAnsi" w:hAnsiTheme="minorHAnsi"/>
              </w:rPr>
              <w:t>ROI comparable to a vanilla WACC</w:t>
            </w:r>
          </w:p>
        </w:tc>
        <w:tc>
          <w:tcPr>
            <w:tcW w:w="4622" w:type="dxa"/>
          </w:tcPr>
          <w:p w:rsidR="0089227F" w:rsidRPr="006B142F" w:rsidRDefault="0089227F" w:rsidP="0089227F">
            <w:pPr>
              <w:spacing w:line="264" w:lineRule="auto"/>
              <w:rPr>
                <w:rFonts w:asciiTheme="minorHAnsi" w:hAnsiTheme="minorHAnsi"/>
              </w:rPr>
            </w:pPr>
            <w:r w:rsidRPr="006B142F">
              <w:rPr>
                <w:rFonts w:asciiTheme="minorHAnsi" w:hAnsiTheme="minorHAnsi"/>
              </w:rPr>
              <w:t>means:</w:t>
            </w:r>
          </w:p>
          <w:p w:rsidR="0089227F" w:rsidRPr="006B142F" w:rsidRDefault="0089227F" w:rsidP="0089227F">
            <w:pPr>
              <w:spacing w:before="120" w:after="120" w:line="264" w:lineRule="auto"/>
              <w:rPr>
                <w:rFonts w:asciiTheme="minorHAnsi" w:hAnsiTheme="minorHAnsi"/>
                <w:i/>
              </w:rPr>
            </w:pPr>
            <w:r w:rsidRPr="006B142F">
              <w:rPr>
                <w:rFonts w:asciiTheme="minorHAnsi" w:hAnsiTheme="minorHAnsi"/>
                <w:i/>
              </w:rPr>
              <w:tab/>
              <w:t>q  = (1 + half-yearly IRR)</w:t>
            </w:r>
            <w:r w:rsidRPr="006B142F">
              <w:rPr>
                <w:rFonts w:asciiTheme="minorHAnsi" w:hAnsiTheme="minorHAnsi"/>
                <w:i/>
                <w:vertAlign w:val="superscript"/>
              </w:rPr>
              <w:t>2</w:t>
            </w:r>
            <w:r w:rsidRPr="006B142F">
              <w:rPr>
                <w:rFonts w:asciiTheme="minorHAnsi" w:hAnsiTheme="minorHAnsi"/>
                <w:i/>
              </w:rPr>
              <w:t xml:space="preserve"> – 1</w:t>
            </w:r>
          </w:p>
          <w:p w:rsidR="0089227F" w:rsidRPr="006B142F" w:rsidRDefault="0089227F" w:rsidP="0089227F">
            <w:pPr>
              <w:spacing w:line="264" w:lineRule="auto"/>
              <w:ind w:left="34"/>
              <w:rPr>
                <w:rFonts w:asciiTheme="minorHAnsi" w:hAnsiTheme="minorHAnsi"/>
              </w:rPr>
            </w:pPr>
            <w:r w:rsidRPr="006B142F">
              <w:rPr>
                <w:rFonts w:asciiTheme="minorHAnsi" w:hAnsiTheme="minorHAnsi"/>
              </w:rPr>
              <w:t>where:</w:t>
            </w:r>
          </w:p>
          <w:p w:rsidR="0089227F" w:rsidRPr="006B142F" w:rsidRDefault="0089227F" w:rsidP="0089227F">
            <w:pPr>
              <w:spacing w:line="264" w:lineRule="auto"/>
              <w:ind w:left="34"/>
              <w:rPr>
                <w:rFonts w:asciiTheme="minorHAnsi" w:hAnsiTheme="minorHAnsi"/>
              </w:rPr>
            </w:pPr>
            <w:r w:rsidRPr="006B142F">
              <w:rPr>
                <w:rFonts w:asciiTheme="minorHAnsi" w:hAnsiTheme="minorHAnsi"/>
              </w:rPr>
              <w:t>half-yearly IRR = IRR (3 half-yearly amounts)</w:t>
            </w:r>
          </w:p>
          <w:p w:rsidR="0089227F" w:rsidRPr="006B142F" w:rsidRDefault="0089227F" w:rsidP="0089227F">
            <w:pPr>
              <w:spacing w:line="264" w:lineRule="auto"/>
              <w:ind w:left="34"/>
              <w:rPr>
                <w:rFonts w:asciiTheme="minorHAnsi" w:hAnsiTheme="minorHAnsi"/>
              </w:rPr>
            </w:pPr>
          </w:p>
          <w:p w:rsidR="0089227F" w:rsidRPr="006B142F" w:rsidRDefault="0089227F" w:rsidP="0089227F">
            <w:pPr>
              <w:spacing w:line="264" w:lineRule="auto"/>
              <w:ind w:left="34"/>
              <w:rPr>
                <w:rFonts w:asciiTheme="minorHAnsi" w:hAnsiTheme="minorHAnsi"/>
              </w:rPr>
            </w:pPr>
            <w:r w:rsidRPr="006B142F">
              <w:rPr>
                <w:rFonts w:asciiTheme="minorHAnsi" w:hAnsiTheme="minorHAnsi"/>
              </w:rPr>
              <w:t>where the 3 half-yearly amounts are:</w:t>
            </w:r>
          </w:p>
          <w:p w:rsidR="0089227F" w:rsidRPr="006B142F" w:rsidRDefault="0089227F" w:rsidP="0089227F">
            <w:pPr>
              <w:pStyle w:val="Tablebullet"/>
              <w:tabs>
                <w:tab w:val="clear" w:pos="284"/>
                <w:tab w:val="num" w:pos="317"/>
              </w:tabs>
              <w:spacing w:before="60" w:after="60" w:line="264" w:lineRule="auto"/>
              <w:ind w:left="317" w:hanging="283"/>
              <w:rPr>
                <w:rFonts w:asciiTheme="minorHAnsi" w:hAnsiTheme="minorHAnsi"/>
                <w:szCs w:val="24"/>
              </w:rPr>
            </w:pPr>
            <w:r w:rsidRPr="006B142F">
              <w:rPr>
                <w:rFonts w:asciiTheme="minorHAnsi" w:hAnsiTheme="minorHAnsi"/>
                <w:szCs w:val="24"/>
              </w:rPr>
              <w:t xml:space="preserve">the negative of </w:t>
            </w:r>
            <w:r w:rsidRPr="006B142F">
              <w:rPr>
                <w:rFonts w:asciiTheme="minorHAnsi" w:hAnsiTheme="minorHAnsi"/>
                <w:bCs/>
                <w:szCs w:val="24"/>
              </w:rPr>
              <w:t>opening RIV (year-start)</w:t>
            </w:r>
          </w:p>
          <w:p w:rsidR="0089227F" w:rsidRPr="006B142F" w:rsidRDefault="0089227F" w:rsidP="0089227F">
            <w:pPr>
              <w:pStyle w:val="Tablebullet"/>
              <w:tabs>
                <w:tab w:val="clear" w:pos="284"/>
                <w:tab w:val="num" w:pos="317"/>
              </w:tabs>
              <w:spacing w:before="60" w:after="60" w:line="264" w:lineRule="auto"/>
              <w:ind w:left="317" w:hanging="283"/>
              <w:rPr>
                <w:rFonts w:asciiTheme="minorHAnsi" w:hAnsiTheme="minorHAnsi"/>
                <w:szCs w:val="24"/>
              </w:rPr>
            </w:pPr>
            <w:r w:rsidRPr="006B142F">
              <w:rPr>
                <w:rFonts w:asciiTheme="minorHAnsi" w:hAnsiTheme="minorHAnsi"/>
                <w:bCs/>
                <w:szCs w:val="24"/>
              </w:rPr>
              <w:t>notional net cash flows (mid-year)</w:t>
            </w:r>
          </w:p>
          <w:p w:rsidR="0089227F" w:rsidRPr="006B142F" w:rsidRDefault="0089227F" w:rsidP="0089227F">
            <w:pPr>
              <w:pStyle w:val="Tablebullet"/>
              <w:tabs>
                <w:tab w:val="clear" w:pos="284"/>
                <w:tab w:val="num" w:pos="317"/>
              </w:tabs>
              <w:spacing w:before="60" w:after="60" w:line="264" w:lineRule="auto"/>
              <w:ind w:left="317" w:hanging="283"/>
              <w:rPr>
                <w:rFonts w:asciiTheme="minorHAnsi" w:hAnsiTheme="minorHAnsi"/>
                <w:szCs w:val="24"/>
              </w:rPr>
            </w:pPr>
            <w:proofErr w:type="gramStart"/>
            <w:r w:rsidRPr="006B142F">
              <w:rPr>
                <w:rFonts w:asciiTheme="minorHAnsi" w:hAnsiTheme="minorHAnsi"/>
                <w:szCs w:val="24"/>
              </w:rPr>
              <w:t>the</w:t>
            </w:r>
            <w:proofErr w:type="gramEnd"/>
            <w:r w:rsidRPr="006B142F">
              <w:rPr>
                <w:rFonts w:asciiTheme="minorHAnsi" w:hAnsiTheme="minorHAnsi"/>
                <w:szCs w:val="24"/>
              </w:rPr>
              <w:t xml:space="preserve"> </w:t>
            </w:r>
            <w:r w:rsidRPr="006B142F">
              <w:rPr>
                <w:rFonts w:asciiTheme="minorHAnsi" w:hAnsiTheme="minorHAnsi"/>
                <w:bCs/>
                <w:szCs w:val="24"/>
              </w:rPr>
              <w:t xml:space="preserve">closing RIV </w:t>
            </w:r>
            <w:r w:rsidRPr="006B142F">
              <w:rPr>
                <w:rFonts w:asciiTheme="minorHAnsi" w:hAnsiTheme="minorHAnsi"/>
                <w:szCs w:val="24"/>
              </w:rPr>
              <w:t xml:space="preserve">less </w:t>
            </w:r>
            <w:r w:rsidRPr="006B142F">
              <w:rPr>
                <w:rFonts w:asciiTheme="minorHAnsi" w:hAnsiTheme="minorHAnsi"/>
                <w:bCs/>
                <w:szCs w:val="24"/>
              </w:rPr>
              <w:t>term credit spread differential allowance (year-end).</w:t>
            </w:r>
          </w:p>
        </w:tc>
      </w:tr>
      <w:tr w:rsidR="0089227F" w:rsidRPr="006B142F" w:rsidTr="00B20AEC">
        <w:trPr>
          <w:cantSplit/>
        </w:trPr>
        <w:tc>
          <w:tcPr>
            <w:tcW w:w="4621" w:type="dxa"/>
          </w:tcPr>
          <w:p w:rsidR="0089227F" w:rsidRPr="006B142F" w:rsidRDefault="0089227F" w:rsidP="0089227F">
            <w:pPr>
              <w:pStyle w:val="BodyText"/>
              <w:spacing w:line="264" w:lineRule="auto"/>
              <w:rPr>
                <w:rFonts w:asciiTheme="minorHAnsi" w:hAnsiTheme="minorHAnsi"/>
              </w:rPr>
            </w:pPr>
            <w:r w:rsidRPr="006B142F">
              <w:rPr>
                <w:rFonts w:asciiTheme="minorHAnsi" w:hAnsiTheme="minorHAnsi"/>
                <w:bCs/>
              </w:rPr>
              <w:t>SAIDI</w:t>
            </w:r>
            <w:r w:rsidRPr="006B142F">
              <w:rPr>
                <w:rFonts w:asciiTheme="minorHAnsi" w:hAnsiTheme="minorHAnsi"/>
              </w:rPr>
              <w:t xml:space="preserve"> (System Average Interruption Duration Index)</w:t>
            </w:r>
          </w:p>
        </w:tc>
        <w:tc>
          <w:tcPr>
            <w:tcW w:w="4622" w:type="dxa"/>
          </w:tcPr>
          <w:p w:rsidR="0089227F" w:rsidRPr="006B142F" w:rsidRDefault="0089227F" w:rsidP="0089227F">
            <w:pPr>
              <w:tabs>
                <w:tab w:val="left" w:pos="4045"/>
              </w:tabs>
              <w:spacing w:line="264" w:lineRule="auto"/>
              <w:rPr>
                <w:rFonts w:asciiTheme="minorHAnsi" w:hAnsiTheme="minorHAnsi"/>
              </w:rPr>
            </w:pPr>
            <w:r w:rsidRPr="006B142F">
              <w:rPr>
                <w:rFonts w:asciiTheme="minorHAnsi" w:hAnsiTheme="minorHAnsi"/>
              </w:rPr>
              <w:t>means [(Sum of (unplanned interruption durations) - Sum of (unplanned interruption durations caused by transmission faults))/ average total customer numbers] x1000</w:t>
            </w:r>
          </w:p>
        </w:tc>
      </w:tr>
      <w:tr w:rsidR="0089227F" w:rsidRPr="006B142F" w:rsidTr="00B20AEC">
        <w:trPr>
          <w:cantSplit/>
        </w:trPr>
        <w:tc>
          <w:tcPr>
            <w:tcW w:w="4621" w:type="dxa"/>
          </w:tcPr>
          <w:p w:rsidR="0089227F" w:rsidRPr="006B142F" w:rsidRDefault="0089227F" w:rsidP="0089227F">
            <w:pPr>
              <w:pStyle w:val="BodyText"/>
              <w:spacing w:line="264" w:lineRule="auto"/>
              <w:rPr>
                <w:rFonts w:asciiTheme="minorHAnsi" w:hAnsiTheme="minorHAnsi"/>
              </w:rPr>
            </w:pPr>
            <w:r w:rsidRPr="006B142F">
              <w:rPr>
                <w:rFonts w:asciiTheme="minorHAnsi" w:hAnsiTheme="minorHAnsi"/>
                <w:bCs/>
              </w:rPr>
              <w:t>SAIFI (System Average Interruption Frequency Index)</w:t>
            </w:r>
          </w:p>
        </w:tc>
        <w:tc>
          <w:tcPr>
            <w:tcW w:w="4622" w:type="dxa"/>
          </w:tcPr>
          <w:p w:rsidR="0089227F" w:rsidRPr="006B142F" w:rsidRDefault="0089227F" w:rsidP="0089227F">
            <w:pPr>
              <w:tabs>
                <w:tab w:val="left" w:pos="4045"/>
              </w:tabs>
              <w:spacing w:line="264" w:lineRule="auto"/>
              <w:rPr>
                <w:rFonts w:asciiTheme="minorHAnsi" w:hAnsiTheme="minorHAnsi"/>
              </w:rPr>
            </w:pPr>
            <w:r w:rsidRPr="006B142F">
              <w:rPr>
                <w:rFonts w:asciiTheme="minorHAnsi" w:hAnsiTheme="minorHAnsi"/>
              </w:rPr>
              <w:t>means [Sum of (no of customers affected by each unplanned interruption not caused by transmission faults)/ average total customer numbers] x 1000</w:t>
            </w:r>
          </w:p>
        </w:tc>
      </w:tr>
      <w:tr w:rsidR="0089227F" w:rsidRPr="006B142F" w:rsidTr="00B20AEC">
        <w:trPr>
          <w:cantSplit/>
        </w:trPr>
        <w:tc>
          <w:tcPr>
            <w:tcW w:w="4621" w:type="dxa"/>
          </w:tcPr>
          <w:p w:rsidR="0089227F" w:rsidRPr="006B142F" w:rsidRDefault="0089227F" w:rsidP="0089227F">
            <w:pPr>
              <w:pStyle w:val="BodyText"/>
              <w:spacing w:line="264" w:lineRule="auto"/>
              <w:rPr>
                <w:rFonts w:asciiTheme="minorHAnsi" w:hAnsiTheme="minorHAnsi"/>
                <w:bCs/>
              </w:rPr>
            </w:pPr>
            <w:r w:rsidRPr="006B142F">
              <w:rPr>
                <w:rFonts w:asciiTheme="minorHAnsi" w:hAnsiTheme="minorHAnsi"/>
              </w:rPr>
              <w:t>Secondary assets</w:t>
            </w:r>
          </w:p>
        </w:tc>
        <w:tc>
          <w:tcPr>
            <w:tcW w:w="4622" w:type="dxa"/>
          </w:tcPr>
          <w:p w:rsidR="0089227F" w:rsidRPr="006B142F" w:rsidRDefault="0089227F" w:rsidP="0089227F">
            <w:pPr>
              <w:tabs>
                <w:tab w:val="left" w:pos="4045"/>
              </w:tabs>
              <w:spacing w:line="264" w:lineRule="auto"/>
              <w:rPr>
                <w:rFonts w:asciiTheme="minorHAnsi" w:hAnsiTheme="minorHAnsi"/>
              </w:rPr>
            </w:pPr>
            <w:proofErr w:type="gramStart"/>
            <w:r w:rsidRPr="006B142F">
              <w:rPr>
                <w:rFonts w:asciiTheme="minorHAnsi" w:hAnsiTheme="minorHAnsi"/>
              </w:rPr>
              <w:t>means</w:t>
            </w:r>
            <w:proofErr w:type="gramEnd"/>
            <w:r w:rsidRPr="006B142F">
              <w:rPr>
                <w:rFonts w:asciiTheme="minorHAnsi" w:hAnsiTheme="minorHAnsi"/>
              </w:rPr>
              <w:t xml:space="preserve"> system fixed assets that support the conveyance of gas.  Secondary assets include monitoring &amp; control systems and cathodic protection systems</w:t>
            </w:r>
          </w:p>
        </w:tc>
      </w:tr>
      <w:tr w:rsidR="0089227F" w:rsidRPr="006B142F" w:rsidTr="00B20AEC">
        <w:trPr>
          <w:cantSplit/>
        </w:trPr>
        <w:tc>
          <w:tcPr>
            <w:tcW w:w="4621" w:type="dxa"/>
          </w:tcPr>
          <w:p w:rsidR="0089227F" w:rsidRPr="006B142F" w:rsidRDefault="0089227F" w:rsidP="0089227F">
            <w:pPr>
              <w:pStyle w:val="BodyText"/>
              <w:spacing w:line="264" w:lineRule="auto"/>
              <w:rPr>
                <w:rFonts w:asciiTheme="minorHAnsi" w:hAnsiTheme="minorHAnsi" w:cs="Arial"/>
                <w:bCs/>
                <w:lang w:eastAsia="en-NZ"/>
              </w:rPr>
            </w:pPr>
            <w:r w:rsidRPr="006B142F">
              <w:rPr>
                <w:rFonts w:asciiTheme="minorHAnsi" w:hAnsiTheme="minorHAnsi"/>
              </w:rPr>
              <w:t>Self-insurance allowance</w:t>
            </w:r>
          </w:p>
        </w:tc>
        <w:tc>
          <w:tcPr>
            <w:tcW w:w="4622" w:type="dxa"/>
          </w:tcPr>
          <w:p w:rsidR="0089227F" w:rsidRPr="006B142F" w:rsidRDefault="0089227F" w:rsidP="0089227F">
            <w:pPr>
              <w:tabs>
                <w:tab w:val="left" w:pos="4045"/>
              </w:tabs>
              <w:spacing w:line="264" w:lineRule="auto"/>
              <w:rPr>
                <w:rFonts w:asciiTheme="minorHAnsi" w:hAnsiTheme="minorHAnsi"/>
              </w:rPr>
            </w:pPr>
            <w:r w:rsidRPr="006B142F">
              <w:rPr>
                <w:rFonts w:asciiTheme="minorHAnsi" w:hAnsiTheme="minorHAnsi"/>
              </w:rPr>
              <w:t>means any self-insurance allowance allowed by the Commission through a CPP</w:t>
            </w:r>
          </w:p>
        </w:tc>
      </w:tr>
      <w:tr w:rsidR="005F0E1C" w:rsidRPr="006B142F" w:rsidTr="00B20AEC">
        <w:trPr>
          <w:cantSplit/>
        </w:trPr>
        <w:tc>
          <w:tcPr>
            <w:tcW w:w="4621" w:type="dxa"/>
          </w:tcPr>
          <w:p w:rsidR="005F0E1C" w:rsidRPr="006B142F" w:rsidRDefault="005F0E1C" w:rsidP="0089227F">
            <w:pPr>
              <w:pStyle w:val="BodyText"/>
              <w:spacing w:line="264" w:lineRule="auto"/>
              <w:rPr>
                <w:rFonts w:asciiTheme="minorHAnsi" w:hAnsiTheme="minorHAnsi"/>
              </w:rPr>
            </w:pPr>
            <w:r w:rsidRPr="006B142F">
              <w:rPr>
                <w:rFonts w:asciiTheme="minorHAnsi" w:hAnsiTheme="minorHAnsi"/>
              </w:rPr>
              <w:t>Service interruptions, incidents and emergencies</w:t>
            </w:r>
          </w:p>
        </w:tc>
        <w:tc>
          <w:tcPr>
            <w:tcW w:w="4622" w:type="dxa"/>
          </w:tcPr>
          <w:p w:rsidR="005F0E1C" w:rsidRDefault="005F0E1C" w:rsidP="00A472A3">
            <w:pPr>
              <w:spacing w:line="264" w:lineRule="auto"/>
            </w:pPr>
            <w:r>
              <w:rPr>
                <w:rFonts w:asciiTheme="minorHAnsi" w:hAnsiTheme="minorHAnsi"/>
              </w:rPr>
              <w:t xml:space="preserve">In relation to expenditure, means </w:t>
            </w:r>
            <w:r>
              <w:rPr>
                <w:rFonts w:asciiTheme="minorHAnsi" w:hAnsiTheme="minorHAnsi"/>
                <w:b/>
              </w:rPr>
              <w:t>operational expenditure</w:t>
            </w:r>
            <w:r>
              <w:rPr>
                <w:rFonts w:asciiTheme="minorHAnsi" w:hAnsiTheme="minorHAnsi"/>
              </w:rPr>
              <w:t xml:space="preserve"> </w:t>
            </w:r>
            <w:r>
              <w:t xml:space="preserve">where the </w:t>
            </w:r>
            <w:r>
              <w:rPr>
                <w:b/>
              </w:rPr>
              <w:t xml:space="preserve">primary driver </w:t>
            </w:r>
            <w:r>
              <w:t xml:space="preserve">is an unplanned instantaneous event or incident that impairs the normal operation of </w:t>
            </w:r>
            <w:r>
              <w:rPr>
                <w:b/>
              </w:rPr>
              <w:t>network</w:t>
            </w:r>
            <w:r>
              <w:t xml:space="preserve"> assets. This relates to reactive work (either temporary or permanent) undertaken in the immediate or short term in response to an unplanned event.  This category also includes the direct cost of providing a service to respond to reported gas escapes, loss of supply and low pressure reports to make safe, including a repair allowance, the cost of rechecks, restoring supply, provision for 24/7 response and any waiting/non-productive time for response teams.  Includes back-up assistance required to restore supply, repair leaks or make safe.  It also includes operational support used during the outage or emergency response. It also includes any necessary response to events arising upstream.  It does not include expenditure on activities performed proactively to mitigate the impact such an event would have should it occur.</w:t>
            </w:r>
          </w:p>
          <w:p w:rsidR="005F0E1C" w:rsidRDefault="005F0E1C" w:rsidP="00A472A3">
            <w:pPr>
              <w:spacing w:line="264" w:lineRule="auto"/>
            </w:pPr>
            <w:r>
              <w:t xml:space="preserve">Planned follow-up activities resulting from an event which were unable to be permanently repaired in the short term are to be included under </w:t>
            </w:r>
            <w:r>
              <w:rPr>
                <w:b/>
              </w:rPr>
              <w:t>routine and corrective maintenance and inspection</w:t>
            </w:r>
          </w:p>
        </w:tc>
      </w:tr>
      <w:tr w:rsidR="0089227F" w:rsidRPr="006B142F" w:rsidTr="00B20AEC">
        <w:trPr>
          <w:cantSplit/>
        </w:trPr>
        <w:tc>
          <w:tcPr>
            <w:tcW w:w="4621" w:type="dxa"/>
          </w:tcPr>
          <w:p w:rsidR="0089227F" w:rsidRPr="006B142F" w:rsidRDefault="0089227F" w:rsidP="0089227F">
            <w:pPr>
              <w:pStyle w:val="Tablebodytext"/>
              <w:rPr>
                <w:rFonts w:asciiTheme="minorHAnsi" w:hAnsiTheme="minorHAnsi"/>
                <w:szCs w:val="24"/>
              </w:rPr>
            </w:pPr>
            <w:r w:rsidRPr="006B142F">
              <w:rPr>
                <w:rFonts w:asciiTheme="minorHAnsi" w:hAnsiTheme="minorHAnsi"/>
                <w:szCs w:val="24"/>
              </w:rPr>
              <w:t>Standard consumer</w:t>
            </w:r>
          </w:p>
        </w:tc>
        <w:tc>
          <w:tcPr>
            <w:tcW w:w="4622" w:type="dxa"/>
          </w:tcPr>
          <w:p w:rsidR="0089227F" w:rsidRPr="006B142F" w:rsidRDefault="0089227F" w:rsidP="0089227F">
            <w:pPr>
              <w:pStyle w:val="BodyText"/>
              <w:rPr>
                <w:rFonts w:asciiTheme="minorHAnsi" w:hAnsiTheme="minorHAnsi"/>
              </w:rPr>
            </w:pPr>
            <w:r w:rsidRPr="006B142F">
              <w:rPr>
                <w:rFonts w:asciiTheme="minorHAnsi" w:hAnsiTheme="minorHAnsi"/>
              </w:rPr>
              <w:t xml:space="preserve">means a </w:t>
            </w:r>
            <w:r w:rsidRPr="006B142F">
              <w:rPr>
                <w:rFonts w:asciiTheme="minorHAnsi" w:hAnsiTheme="minorHAnsi"/>
                <w:bCs/>
              </w:rPr>
              <w:t>consumer</w:t>
            </w:r>
            <w:r w:rsidRPr="006B142F">
              <w:rPr>
                <w:rFonts w:asciiTheme="minorHAnsi" w:hAnsiTheme="minorHAnsi"/>
              </w:rPr>
              <w:t xml:space="preserve"> of the GDB that has a </w:t>
            </w:r>
            <w:r w:rsidRPr="006B142F">
              <w:rPr>
                <w:rFonts w:asciiTheme="minorHAnsi" w:hAnsiTheme="minorHAnsi"/>
                <w:bCs/>
              </w:rPr>
              <w:t>standard contract</w:t>
            </w:r>
            <w:r w:rsidRPr="006B142F">
              <w:rPr>
                <w:rFonts w:asciiTheme="minorHAnsi" w:hAnsiTheme="minorHAnsi"/>
              </w:rPr>
              <w:t xml:space="preserve"> with that </w:t>
            </w:r>
            <w:r w:rsidRPr="006B142F">
              <w:rPr>
                <w:rFonts w:asciiTheme="minorHAnsi" w:hAnsiTheme="minorHAnsi"/>
                <w:bCs/>
              </w:rPr>
              <w:t>GDB</w:t>
            </w:r>
            <w:r w:rsidRPr="006B142F">
              <w:rPr>
                <w:rFonts w:asciiTheme="minorHAnsi" w:hAnsiTheme="minorHAnsi"/>
              </w:rPr>
              <w:t xml:space="preserve"> for the provision of gas pipeline services</w:t>
            </w:r>
          </w:p>
        </w:tc>
      </w:tr>
      <w:tr w:rsidR="0089227F" w:rsidRPr="006B142F" w:rsidTr="00B20AEC">
        <w:trPr>
          <w:cantSplit/>
        </w:trPr>
        <w:tc>
          <w:tcPr>
            <w:tcW w:w="4621" w:type="dxa"/>
          </w:tcPr>
          <w:p w:rsidR="0089227F" w:rsidRPr="006B142F" w:rsidRDefault="0089227F" w:rsidP="0089227F">
            <w:pPr>
              <w:pStyle w:val="BodyText"/>
              <w:rPr>
                <w:rFonts w:asciiTheme="minorHAnsi" w:hAnsiTheme="minorHAnsi"/>
                <w:color w:val="000000"/>
                <w:lang w:val="en-AU"/>
              </w:rPr>
            </w:pPr>
            <w:r w:rsidRPr="006B142F">
              <w:rPr>
                <w:rFonts w:asciiTheme="minorHAnsi" w:hAnsiTheme="minorHAnsi"/>
                <w:color w:val="000000"/>
                <w:lang w:val="en-AU"/>
              </w:rPr>
              <w:t>System length (km) (at year end)</w:t>
            </w:r>
          </w:p>
          <w:p w:rsidR="0089227F" w:rsidRPr="006B142F" w:rsidRDefault="0089227F" w:rsidP="0089227F">
            <w:pPr>
              <w:pStyle w:val="Tablebodytext"/>
              <w:rPr>
                <w:rFonts w:asciiTheme="minorHAnsi" w:hAnsiTheme="minorHAnsi"/>
                <w:szCs w:val="24"/>
              </w:rPr>
            </w:pPr>
          </w:p>
        </w:tc>
        <w:tc>
          <w:tcPr>
            <w:tcW w:w="4622" w:type="dxa"/>
          </w:tcPr>
          <w:p w:rsidR="0089227F" w:rsidRPr="006B142F" w:rsidRDefault="0089227F" w:rsidP="0089227F">
            <w:pPr>
              <w:pStyle w:val="Tablebodytext"/>
              <w:rPr>
                <w:rFonts w:asciiTheme="minorHAnsi" w:hAnsiTheme="minorHAnsi"/>
                <w:szCs w:val="24"/>
              </w:rPr>
            </w:pPr>
            <w:r w:rsidRPr="006B142F">
              <w:rPr>
                <w:rFonts w:asciiTheme="minorHAnsi" w:hAnsiTheme="minorHAnsi"/>
                <w:szCs w:val="24"/>
                <w:lang w:val="en-AU"/>
              </w:rPr>
              <w:t>The total length of pipeline (in kilometres) that form the network as at the end of the current disclosure year</w:t>
            </w:r>
          </w:p>
        </w:tc>
      </w:tr>
      <w:tr w:rsidR="005F0E1C" w:rsidRPr="006B142F" w:rsidTr="00B20AEC">
        <w:trPr>
          <w:cantSplit/>
        </w:trPr>
        <w:tc>
          <w:tcPr>
            <w:tcW w:w="4621" w:type="dxa"/>
          </w:tcPr>
          <w:p w:rsidR="005F0E1C" w:rsidRPr="006B142F" w:rsidRDefault="005F0E1C" w:rsidP="0089227F">
            <w:pPr>
              <w:pStyle w:val="BodyText"/>
              <w:spacing w:line="264" w:lineRule="auto"/>
              <w:rPr>
                <w:rFonts w:asciiTheme="minorHAnsi" w:hAnsiTheme="minorHAnsi"/>
              </w:rPr>
            </w:pPr>
            <w:r w:rsidRPr="006B142F">
              <w:rPr>
                <w:rFonts w:asciiTheme="minorHAnsi" w:hAnsiTheme="minorHAnsi"/>
              </w:rPr>
              <w:t>System operations</w:t>
            </w:r>
            <w:r>
              <w:rPr>
                <w:rFonts w:asciiTheme="minorHAnsi" w:hAnsiTheme="minorHAnsi"/>
              </w:rPr>
              <w:t xml:space="preserve"> and network support</w:t>
            </w:r>
          </w:p>
        </w:tc>
        <w:tc>
          <w:tcPr>
            <w:tcW w:w="4622" w:type="dxa"/>
          </w:tcPr>
          <w:p w:rsidR="005F0E1C" w:rsidRPr="005F0E1C" w:rsidRDefault="005F0E1C" w:rsidP="00A472A3">
            <w:pPr>
              <w:spacing w:line="264" w:lineRule="auto"/>
              <w:rPr>
                <w:rFonts w:asciiTheme="minorHAnsi" w:hAnsiTheme="minorHAnsi"/>
              </w:rPr>
            </w:pPr>
            <w:r w:rsidRPr="005F0E1C">
              <w:rPr>
                <w:rFonts w:asciiTheme="minorHAnsi" w:hAnsiTheme="minorHAnsi"/>
                <w:szCs w:val="20"/>
              </w:rPr>
              <w:t xml:space="preserve">In relation to expenditure, means </w:t>
            </w:r>
            <w:r w:rsidRPr="005F0E1C">
              <w:rPr>
                <w:rFonts w:asciiTheme="minorHAnsi" w:hAnsiTheme="minorHAnsi"/>
                <w:b/>
                <w:szCs w:val="20"/>
              </w:rPr>
              <w:t>operational expenditure</w:t>
            </w:r>
            <w:r w:rsidRPr="005F0E1C">
              <w:rPr>
                <w:rFonts w:asciiTheme="minorHAnsi" w:hAnsiTheme="minorHAnsi"/>
                <w:szCs w:val="20"/>
              </w:rPr>
              <w:t xml:space="preserve"> where the </w:t>
            </w:r>
            <w:r w:rsidRPr="005F0E1C">
              <w:rPr>
                <w:rFonts w:asciiTheme="minorHAnsi" w:hAnsiTheme="minorHAnsi"/>
                <w:b/>
                <w:szCs w:val="20"/>
              </w:rPr>
              <w:t xml:space="preserve">primary driver </w:t>
            </w:r>
            <w:r w:rsidRPr="005F0E1C">
              <w:rPr>
                <w:rFonts w:asciiTheme="minorHAnsi" w:hAnsiTheme="minorHAnsi"/>
                <w:szCs w:val="20"/>
              </w:rPr>
              <w:t xml:space="preserve">is the management of the </w:t>
            </w:r>
            <w:r w:rsidRPr="005F0E1C">
              <w:rPr>
                <w:rFonts w:asciiTheme="minorHAnsi" w:hAnsiTheme="minorHAnsi"/>
                <w:b/>
                <w:szCs w:val="20"/>
              </w:rPr>
              <w:t xml:space="preserve">network </w:t>
            </w:r>
            <w:r w:rsidRPr="005F0E1C">
              <w:rPr>
                <w:rFonts w:asciiTheme="minorHAnsi" w:hAnsiTheme="minorHAnsi"/>
                <w:szCs w:val="20"/>
              </w:rPr>
              <w:t>and includes expenditure relating to control centre and office-based system operations, including:</w:t>
            </w:r>
          </w:p>
          <w:p w:rsidR="005F0E1C" w:rsidRPr="005F0E1C" w:rsidRDefault="005F0E1C" w:rsidP="005F0E1C">
            <w:pPr>
              <w:pStyle w:val="Bullet"/>
              <w:numPr>
                <w:ilvl w:val="0"/>
                <w:numId w:val="157"/>
              </w:numPr>
              <w:tabs>
                <w:tab w:val="num" w:pos="317"/>
              </w:tabs>
              <w:spacing w:after="120" w:line="264" w:lineRule="auto"/>
              <w:ind w:left="318" w:hanging="318"/>
              <w:rPr>
                <w:rFonts w:asciiTheme="minorHAnsi" w:hAnsiTheme="minorHAnsi"/>
              </w:rPr>
            </w:pPr>
            <w:r w:rsidRPr="005F0E1C">
              <w:rPr>
                <w:rFonts w:asciiTheme="minorHAnsi" w:hAnsiTheme="minorHAnsi"/>
                <w:szCs w:val="20"/>
              </w:rPr>
              <w:t xml:space="preserve">asset management planning including preparation of the </w:t>
            </w:r>
            <w:r w:rsidRPr="005F0E1C">
              <w:rPr>
                <w:rFonts w:asciiTheme="minorHAnsi" w:hAnsiTheme="minorHAnsi"/>
                <w:b/>
                <w:szCs w:val="20"/>
              </w:rPr>
              <w:t>AMP</w:t>
            </w:r>
            <w:r w:rsidRPr="005F0E1C">
              <w:rPr>
                <w:rFonts w:asciiTheme="minorHAnsi" w:hAnsiTheme="minorHAnsi"/>
                <w:szCs w:val="20"/>
              </w:rPr>
              <w:t xml:space="preserve">, load forecasting, </w:t>
            </w:r>
            <w:r w:rsidRPr="005F0E1C">
              <w:rPr>
                <w:rFonts w:asciiTheme="minorHAnsi" w:hAnsiTheme="minorHAnsi"/>
                <w:b/>
                <w:szCs w:val="20"/>
              </w:rPr>
              <w:t xml:space="preserve">network </w:t>
            </w:r>
            <w:r w:rsidRPr="005F0E1C">
              <w:rPr>
                <w:rFonts w:asciiTheme="minorHAnsi" w:hAnsiTheme="minorHAnsi"/>
                <w:szCs w:val="20"/>
              </w:rPr>
              <w:t>modelling</w:t>
            </w:r>
          </w:p>
          <w:p w:rsidR="005F0E1C" w:rsidRPr="005F0E1C" w:rsidRDefault="005F0E1C" w:rsidP="005F0E1C">
            <w:pPr>
              <w:pStyle w:val="Bullet"/>
              <w:numPr>
                <w:ilvl w:val="0"/>
                <w:numId w:val="157"/>
              </w:numPr>
              <w:tabs>
                <w:tab w:val="num" w:pos="317"/>
              </w:tabs>
              <w:spacing w:after="120" w:line="264" w:lineRule="auto"/>
              <w:ind w:left="318" w:hanging="318"/>
              <w:rPr>
                <w:rFonts w:asciiTheme="minorHAnsi" w:hAnsiTheme="minorHAnsi"/>
              </w:rPr>
            </w:pPr>
            <w:r w:rsidRPr="005F0E1C">
              <w:rPr>
                <w:rFonts w:asciiTheme="minorHAnsi" w:hAnsiTheme="minorHAnsi"/>
                <w:b/>
                <w:szCs w:val="20"/>
              </w:rPr>
              <w:t>network</w:t>
            </w:r>
            <w:r w:rsidRPr="005F0E1C">
              <w:rPr>
                <w:rFonts w:asciiTheme="minorHAnsi" w:hAnsiTheme="minorHAnsi"/>
                <w:szCs w:val="20"/>
              </w:rPr>
              <w:t xml:space="preserve"> and engineering design (excluding design costs capitalised for capital projects)</w:t>
            </w:r>
          </w:p>
          <w:p w:rsidR="005F0E1C" w:rsidRPr="005F0E1C" w:rsidRDefault="005F0E1C" w:rsidP="005F0E1C">
            <w:pPr>
              <w:pStyle w:val="Bullet"/>
              <w:numPr>
                <w:ilvl w:val="0"/>
                <w:numId w:val="157"/>
              </w:numPr>
              <w:tabs>
                <w:tab w:val="num" w:pos="317"/>
              </w:tabs>
              <w:spacing w:after="120" w:line="264" w:lineRule="auto"/>
              <w:ind w:left="318" w:hanging="318"/>
              <w:rPr>
                <w:rFonts w:asciiTheme="minorHAnsi" w:hAnsiTheme="minorHAnsi"/>
              </w:rPr>
            </w:pPr>
            <w:r w:rsidRPr="005F0E1C">
              <w:rPr>
                <w:rFonts w:asciiTheme="minorHAnsi" w:hAnsiTheme="minorHAnsi"/>
                <w:b/>
                <w:szCs w:val="20"/>
              </w:rPr>
              <w:t>network</w:t>
            </w:r>
            <w:r w:rsidRPr="005F0E1C">
              <w:rPr>
                <w:rFonts w:asciiTheme="minorHAnsi" w:hAnsiTheme="minorHAnsi"/>
                <w:szCs w:val="20"/>
              </w:rPr>
              <w:t xml:space="preserve"> policy development (including the development of environmental, technical and engineering policies) </w:t>
            </w:r>
          </w:p>
          <w:p w:rsidR="005F0E1C" w:rsidRPr="005F0E1C" w:rsidRDefault="005F0E1C" w:rsidP="005F0E1C">
            <w:pPr>
              <w:pStyle w:val="Bullet"/>
              <w:numPr>
                <w:ilvl w:val="0"/>
                <w:numId w:val="157"/>
              </w:numPr>
              <w:tabs>
                <w:tab w:val="num" w:pos="317"/>
              </w:tabs>
              <w:spacing w:after="120" w:line="264" w:lineRule="auto"/>
              <w:ind w:left="318" w:hanging="318"/>
              <w:rPr>
                <w:rFonts w:asciiTheme="minorHAnsi" w:hAnsiTheme="minorHAnsi"/>
              </w:rPr>
            </w:pPr>
            <w:r w:rsidRPr="005F0E1C">
              <w:rPr>
                <w:rFonts w:asciiTheme="minorHAnsi" w:hAnsiTheme="minorHAnsi"/>
                <w:szCs w:val="20"/>
              </w:rPr>
              <w:t xml:space="preserve">standards and manuals for </w:t>
            </w:r>
            <w:r w:rsidRPr="005F0E1C">
              <w:rPr>
                <w:rFonts w:asciiTheme="minorHAnsi" w:hAnsiTheme="minorHAnsi"/>
                <w:b/>
                <w:szCs w:val="20"/>
              </w:rPr>
              <w:t>network</w:t>
            </w:r>
            <w:r w:rsidRPr="005F0E1C">
              <w:rPr>
                <w:rFonts w:asciiTheme="minorHAnsi" w:hAnsiTheme="minorHAnsi"/>
                <w:szCs w:val="20"/>
              </w:rPr>
              <w:t xml:space="preserve"> management</w:t>
            </w:r>
          </w:p>
          <w:p w:rsidR="005F0E1C" w:rsidRPr="005F0E1C" w:rsidRDefault="005F0E1C" w:rsidP="005F0E1C">
            <w:pPr>
              <w:pStyle w:val="Bullet"/>
              <w:numPr>
                <w:ilvl w:val="0"/>
                <w:numId w:val="157"/>
              </w:numPr>
              <w:tabs>
                <w:tab w:val="num" w:pos="317"/>
              </w:tabs>
              <w:spacing w:after="120" w:line="264" w:lineRule="auto"/>
              <w:ind w:left="318" w:hanging="318"/>
              <w:rPr>
                <w:rFonts w:asciiTheme="minorHAnsi" w:hAnsiTheme="minorHAnsi"/>
              </w:rPr>
            </w:pPr>
            <w:r w:rsidRPr="005F0E1C">
              <w:rPr>
                <w:rFonts w:asciiTheme="minorHAnsi" w:hAnsiTheme="minorHAnsi"/>
                <w:b/>
                <w:szCs w:val="20"/>
              </w:rPr>
              <w:t>network record</w:t>
            </w:r>
            <w:r w:rsidRPr="005F0E1C">
              <w:rPr>
                <w:rFonts w:asciiTheme="minorHAnsi" w:hAnsiTheme="minorHAnsi"/>
                <w:szCs w:val="20"/>
              </w:rPr>
              <w:t xml:space="preserve"> keeping and asset management databases including GIS</w:t>
            </w:r>
          </w:p>
          <w:p w:rsidR="005F0E1C" w:rsidRPr="005F0E1C" w:rsidRDefault="005F0E1C" w:rsidP="005F0E1C">
            <w:pPr>
              <w:pStyle w:val="Bullet"/>
              <w:numPr>
                <w:ilvl w:val="0"/>
                <w:numId w:val="157"/>
              </w:numPr>
              <w:tabs>
                <w:tab w:val="num" w:pos="317"/>
              </w:tabs>
              <w:spacing w:after="120" w:line="264" w:lineRule="auto"/>
              <w:ind w:left="318" w:hanging="318"/>
              <w:rPr>
                <w:rFonts w:asciiTheme="minorHAnsi" w:hAnsiTheme="minorHAnsi"/>
              </w:rPr>
            </w:pPr>
            <w:r w:rsidRPr="005F0E1C">
              <w:rPr>
                <w:rFonts w:asciiTheme="minorHAnsi" w:hAnsiTheme="minorHAnsi"/>
                <w:szCs w:val="20"/>
              </w:rPr>
              <w:t>outage recording</w:t>
            </w:r>
          </w:p>
          <w:p w:rsidR="005F0E1C" w:rsidRPr="005F0E1C" w:rsidRDefault="005F0E1C" w:rsidP="005F0E1C">
            <w:pPr>
              <w:pStyle w:val="Bullet"/>
              <w:numPr>
                <w:ilvl w:val="0"/>
                <w:numId w:val="157"/>
              </w:numPr>
              <w:tabs>
                <w:tab w:val="num" w:pos="317"/>
              </w:tabs>
              <w:spacing w:after="120" w:line="264" w:lineRule="auto"/>
              <w:ind w:left="318" w:hanging="318"/>
              <w:rPr>
                <w:rFonts w:asciiTheme="minorHAnsi" w:hAnsiTheme="minorHAnsi"/>
              </w:rPr>
            </w:pPr>
            <w:r w:rsidRPr="005F0E1C">
              <w:rPr>
                <w:rFonts w:asciiTheme="minorHAnsi" w:hAnsiTheme="minorHAnsi"/>
                <w:szCs w:val="20"/>
              </w:rPr>
              <w:t>connection and customer records/customer management databases (including embedded generators)</w:t>
            </w:r>
          </w:p>
          <w:p w:rsidR="005F0E1C" w:rsidRPr="005F0E1C" w:rsidRDefault="005F0E1C" w:rsidP="005F0E1C">
            <w:pPr>
              <w:pStyle w:val="Bullet"/>
              <w:numPr>
                <w:ilvl w:val="0"/>
                <w:numId w:val="157"/>
              </w:numPr>
              <w:tabs>
                <w:tab w:val="num" w:pos="317"/>
              </w:tabs>
              <w:spacing w:after="120" w:line="264" w:lineRule="auto"/>
              <w:ind w:left="318" w:hanging="318"/>
              <w:rPr>
                <w:rFonts w:asciiTheme="minorHAnsi" w:hAnsiTheme="minorHAnsi"/>
              </w:rPr>
            </w:pPr>
            <w:r w:rsidRPr="005F0E1C">
              <w:rPr>
                <w:rFonts w:asciiTheme="minorHAnsi" w:hAnsiTheme="minorHAnsi"/>
                <w:szCs w:val="20"/>
              </w:rPr>
              <w:t xml:space="preserve">customer queries and call centres (not associated with </w:t>
            </w:r>
            <w:r w:rsidRPr="005F0E1C">
              <w:rPr>
                <w:rFonts w:asciiTheme="minorHAnsi" w:hAnsiTheme="minorHAnsi"/>
                <w:b/>
                <w:szCs w:val="20"/>
              </w:rPr>
              <w:t>direct billing</w:t>
            </w:r>
            <w:r w:rsidRPr="005F0E1C">
              <w:rPr>
                <w:rFonts w:asciiTheme="minorHAnsi" w:hAnsiTheme="minorHAnsi"/>
                <w:szCs w:val="20"/>
              </w:rPr>
              <w:t>)</w:t>
            </w:r>
          </w:p>
          <w:p w:rsidR="005F0E1C" w:rsidRPr="005F0E1C" w:rsidRDefault="005F0E1C" w:rsidP="005F0E1C">
            <w:pPr>
              <w:pStyle w:val="Bullet"/>
              <w:numPr>
                <w:ilvl w:val="0"/>
                <w:numId w:val="157"/>
              </w:numPr>
              <w:tabs>
                <w:tab w:val="num" w:pos="317"/>
              </w:tabs>
              <w:spacing w:after="120" w:line="264" w:lineRule="auto"/>
              <w:ind w:left="318" w:hanging="318"/>
              <w:rPr>
                <w:rFonts w:asciiTheme="minorHAnsi" w:hAnsiTheme="minorHAnsi"/>
              </w:rPr>
            </w:pPr>
            <w:r w:rsidRPr="005F0E1C">
              <w:rPr>
                <w:rFonts w:asciiTheme="minorHAnsi" w:hAnsiTheme="minorHAnsi"/>
                <w:szCs w:val="20"/>
              </w:rPr>
              <w:t xml:space="preserve">operational training for </w:t>
            </w:r>
            <w:r w:rsidRPr="005F0E1C">
              <w:rPr>
                <w:rFonts w:asciiTheme="minorHAnsi" w:hAnsiTheme="minorHAnsi"/>
                <w:b/>
                <w:szCs w:val="20"/>
              </w:rPr>
              <w:t>network</w:t>
            </w:r>
            <w:r w:rsidRPr="005F0E1C">
              <w:rPr>
                <w:rFonts w:asciiTheme="minorHAnsi" w:hAnsiTheme="minorHAnsi"/>
                <w:szCs w:val="20"/>
              </w:rPr>
              <w:t xml:space="preserve"> management and field staff</w:t>
            </w:r>
          </w:p>
          <w:p w:rsidR="005F0E1C" w:rsidRPr="005F0E1C" w:rsidRDefault="005F0E1C" w:rsidP="005F0E1C">
            <w:pPr>
              <w:pStyle w:val="Bullet"/>
              <w:numPr>
                <w:ilvl w:val="0"/>
                <w:numId w:val="157"/>
              </w:numPr>
              <w:tabs>
                <w:tab w:val="num" w:pos="317"/>
              </w:tabs>
              <w:spacing w:after="120" w:line="264" w:lineRule="auto"/>
              <w:ind w:left="318" w:hanging="318"/>
              <w:rPr>
                <w:rFonts w:asciiTheme="minorHAnsi" w:hAnsiTheme="minorHAnsi"/>
              </w:rPr>
            </w:pPr>
            <w:r w:rsidRPr="005F0E1C">
              <w:rPr>
                <w:rFonts w:asciiTheme="minorHAnsi" w:hAnsiTheme="minorHAnsi"/>
                <w:szCs w:val="20"/>
              </w:rPr>
              <w:t>operational vehicles and transport</w:t>
            </w:r>
          </w:p>
          <w:p w:rsidR="005F0E1C" w:rsidRPr="005F0E1C" w:rsidRDefault="005F0E1C" w:rsidP="005F0E1C">
            <w:pPr>
              <w:pStyle w:val="Bullet"/>
              <w:numPr>
                <w:ilvl w:val="0"/>
                <w:numId w:val="157"/>
              </w:numPr>
              <w:tabs>
                <w:tab w:val="num" w:pos="317"/>
              </w:tabs>
              <w:spacing w:after="120" w:line="264" w:lineRule="auto"/>
              <w:ind w:left="318" w:hanging="318"/>
              <w:rPr>
                <w:rFonts w:asciiTheme="minorHAnsi" w:hAnsiTheme="minorHAnsi"/>
              </w:rPr>
            </w:pPr>
            <w:r w:rsidRPr="005F0E1C">
              <w:rPr>
                <w:rFonts w:asciiTheme="minorHAnsi" w:hAnsiTheme="minorHAnsi"/>
                <w:szCs w:val="20"/>
              </w:rPr>
              <w:t>IT &amp; telecoms for network management (including IT support for asset management systems)</w:t>
            </w:r>
          </w:p>
          <w:p w:rsidR="005F0E1C" w:rsidRPr="005F0E1C" w:rsidRDefault="005F0E1C" w:rsidP="005F0E1C">
            <w:pPr>
              <w:pStyle w:val="Bullet"/>
              <w:numPr>
                <w:ilvl w:val="0"/>
                <w:numId w:val="157"/>
              </w:numPr>
              <w:tabs>
                <w:tab w:val="num" w:pos="317"/>
              </w:tabs>
              <w:spacing w:after="120" w:line="264" w:lineRule="auto"/>
              <w:ind w:left="318" w:hanging="318"/>
              <w:rPr>
                <w:rFonts w:asciiTheme="minorHAnsi" w:hAnsiTheme="minorHAnsi"/>
              </w:rPr>
            </w:pPr>
            <w:r w:rsidRPr="005F0E1C">
              <w:rPr>
                <w:rFonts w:asciiTheme="minorHAnsi" w:hAnsiTheme="minorHAnsi"/>
                <w:szCs w:val="20"/>
              </w:rPr>
              <w:t>day to day customer management including responding to queries on new connections, disconnections and reconnections, embedded generators</w:t>
            </w:r>
          </w:p>
          <w:p w:rsidR="005F0E1C" w:rsidRPr="005F0E1C" w:rsidRDefault="005F0E1C" w:rsidP="005F0E1C">
            <w:pPr>
              <w:pStyle w:val="Bullet"/>
              <w:numPr>
                <w:ilvl w:val="0"/>
                <w:numId w:val="157"/>
              </w:numPr>
              <w:tabs>
                <w:tab w:val="num" w:pos="317"/>
              </w:tabs>
              <w:spacing w:after="120" w:line="264" w:lineRule="auto"/>
              <w:ind w:left="318" w:hanging="318"/>
              <w:rPr>
                <w:rFonts w:asciiTheme="minorHAnsi" w:hAnsiTheme="minorHAnsi"/>
              </w:rPr>
            </w:pPr>
            <w:r w:rsidRPr="005F0E1C">
              <w:rPr>
                <w:rFonts w:asciiTheme="minorHAnsi" w:hAnsiTheme="minorHAnsi"/>
                <w:szCs w:val="20"/>
              </w:rPr>
              <w:t>engineering and technical consulting</w:t>
            </w:r>
          </w:p>
          <w:p w:rsidR="005F0E1C" w:rsidRPr="005F0E1C" w:rsidRDefault="005F0E1C" w:rsidP="005F0E1C">
            <w:pPr>
              <w:pStyle w:val="Bullet"/>
              <w:numPr>
                <w:ilvl w:val="0"/>
                <w:numId w:val="157"/>
              </w:numPr>
              <w:tabs>
                <w:tab w:val="num" w:pos="317"/>
              </w:tabs>
              <w:spacing w:before="60" w:after="60" w:line="264" w:lineRule="auto"/>
              <w:ind w:left="318" w:hanging="318"/>
              <w:rPr>
                <w:rFonts w:asciiTheme="minorHAnsi" w:hAnsiTheme="minorHAnsi"/>
              </w:rPr>
            </w:pPr>
            <w:r w:rsidRPr="005F0E1C">
              <w:rPr>
                <w:rFonts w:asciiTheme="minorHAnsi" w:hAnsiTheme="minorHAnsi"/>
                <w:b/>
                <w:szCs w:val="20"/>
              </w:rPr>
              <w:t>network</w:t>
            </w:r>
            <w:r w:rsidRPr="005F0E1C">
              <w:rPr>
                <w:rFonts w:asciiTheme="minorHAnsi" w:hAnsiTheme="minorHAnsi"/>
                <w:szCs w:val="20"/>
              </w:rPr>
              <w:t xml:space="preserve"> planning and system studies</w:t>
            </w:r>
          </w:p>
          <w:p w:rsidR="005F0E1C" w:rsidRPr="005F0E1C" w:rsidRDefault="005F0E1C" w:rsidP="005F0E1C">
            <w:pPr>
              <w:pStyle w:val="Bullet"/>
              <w:numPr>
                <w:ilvl w:val="0"/>
                <w:numId w:val="157"/>
              </w:numPr>
              <w:tabs>
                <w:tab w:val="num" w:pos="317"/>
              </w:tabs>
              <w:spacing w:before="60" w:after="60" w:line="264" w:lineRule="auto"/>
              <w:ind w:left="318" w:hanging="318"/>
              <w:rPr>
                <w:rFonts w:asciiTheme="minorHAnsi" w:hAnsiTheme="minorHAnsi"/>
              </w:rPr>
            </w:pPr>
            <w:r w:rsidRPr="005F0E1C">
              <w:rPr>
                <w:rFonts w:asciiTheme="minorHAnsi" w:hAnsiTheme="minorHAnsi"/>
                <w:szCs w:val="20"/>
              </w:rPr>
              <w:t>logistics (procurement) and stores</w:t>
            </w:r>
          </w:p>
          <w:p w:rsidR="005F0E1C" w:rsidRPr="005F0E1C" w:rsidRDefault="005F0E1C" w:rsidP="005F0E1C">
            <w:pPr>
              <w:pStyle w:val="Bullet"/>
              <w:numPr>
                <w:ilvl w:val="0"/>
                <w:numId w:val="157"/>
              </w:numPr>
              <w:tabs>
                <w:tab w:val="num" w:pos="317"/>
              </w:tabs>
              <w:spacing w:before="60" w:after="60" w:line="264" w:lineRule="auto"/>
              <w:ind w:left="318" w:hanging="318"/>
              <w:rPr>
                <w:rFonts w:asciiTheme="minorHAnsi" w:hAnsiTheme="minorHAnsi"/>
              </w:rPr>
            </w:pPr>
            <w:r w:rsidRPr="005F0E1C">
              <w:rPr>
                <w:rFonts w:asciiTheme="minorHAnsi" w:hAnsiTheme="minorHAnsi"/>
                <w:b/>
                <w:szCs w:val="20"/>
              </w:rPr>
              <w:t>network</w:t>
            </w:r>
            <w:r w:rsidRPr="005F0E1C">
              <w:rPr>
                <w:rFonts w:asciiTheme="minorHAnsi" w:hAnsiTheme="minorHAnsi"/>
                <w:szCs w:val="20"/>
              </w:rPr>
              <w:t xml:space="preserve"> asset site expenses and leases</w:t>
            </w:r>
          </w:p>
          <w:p w:rsidR="005F0E1C" w:rsidRPr="005F0E1C" w:rsidRDefault="005F0E1C" w:rsidP="00A472A3">
            <w:pPr>
              <w:spacing w:line="264" w:lineRule="auto"/>
            </w:pPr>
          </w:p>
        </w:tc>
      </w:tr>
      <w:tr w:rsidR="0089227F" w:rsidRPr="006B142F" w:rsidTr="00B20AEC">
        <w:trPr>
          <w:cantSplit/>
        </w:trPr>
        <w:tc>
          <w:tcPr>
            <w:tcW w:w="4621" w:type="dxa"/>
          </w:tcPr>
          <w:p w:rsidR="0089227F" w:rsidRPr="006B142F" w:rsidRDefault="0089227F" w:rsidP="0089227F">
            <w:pPr>
              <w:pStyle w:val="BodyText"/>
              <w:spacing w:line="264" w:lineRule="auto"/>
              <w:rPr>
                <w:rFonts w:asciiTheme="minorHAnsi" w:hAnsiTheme="minorHAnsi" w:cs="Arial"/>
                <w:bCs/>
                <w:lang w:eastAsia="en-NZ"/>
              </w:rPr>
            </w:pPr>
            <w:r w:rsidRPr="006B142F">
              <w:rPr>
                <w:rFonts w:asciiTheme="minorHAnsi" w:hAnsiTheme="minorHAnsi" w:cs="Arial"/>
                <w:bCs/>
                <w:lang w:eastAsia="en-NZ"/>
              </w:rPr>
              <w:t>Tax depreciation</w:t>
            </w:r>
          </w:p>
        </w:tc>
        <w:tc>
          <w:tcPr>
            <w:tcW w:w="4622" w:type="dxa"/>
          </w:tcPr>
          <w:p w:rsidR="0089227F" w:rsidRPr="006B142F" w:rsidRDefault="0089227F" w:rsidP="0089227F">
            <w:pPr>
              <w:tabs>
                <w:tab w:val="left" w:pos="4045"/>
              </w:tabs>
              <w:spacing w:line="264" w:lineRule="auto"/>
              <w:rPr>
                <w:rFonts w:asciiTheme="minorHAnsi" w:hAnsiTheme="minorHAnsi"/>
              </w:rPr>
            </w:pPr>
            <w:r w:rsidRPr="006B142F">
              <w:rPr>
                <w:rFonts w:asciiTheme="minorHAnsi" w:hAnsiTheme="minorHAnsi" w:cs="Arial"/>
                <w:lang w:eastAsia="en-NZ"/>
              </w:rPr>
              <w:t>has the meaning set out in clause 2.3.8(3) of the</w:t>
            </w:r>
            <w:r w:rsidRPr="006B142F">
              <w:rPr>
                <w:rFonts w:asciiTheme="minorHAnsi" w:hAnsiTheme="minorHAnsi" w:cs="Arial"/>
                <w:bCs/>
                <w:lang w:eastAsia="en-NZ"/>
              </w:rPr>
              <w:t xml:space="preserve"> IM determination</w:t>
            </w:r>
          </w:p>
        </w:tc>
      </w:tr>
      <w:tr w:rsidR="0089227F" w:rsidRPr="006B142F" w:rsidTr="00B20AEC">
        <w:trPr>
          <w:cantSplit/>
        </w:trPr>
        <w:tc>
          <w:tcPr>
            <w:tcW w:w="4621" w:type="dxa"/>
          </w:tcPr>
          <w:p w:rsidR="0089227F" w:rsidRPr="006B142F" w:rsidRDefault="0089227F" w:rsidP="0089227F">
            <w:pPr>
              <w:pStyle w:val="BodyText"/>
              <w:spacing w:line="264" w:lineRule="auto"/>
              <w:rPr>
                <w:rFonts w:asciiTheme="minorHAnsi" w:hAnsiTheme="minorHAnsi" w:cs="Arial"/>
                <w:bCs/>
                <w:lang w:eastAsia="en-NZ"/>
              </w:rPr>
            </w:pPr>
            <w:r w:rsidRPr="006B142F">
              <w:rPr>
                <w:rFonts w:asciiTheme="minorHAnsi" w:hAnsiTheme="minorHAnsi" w:cs="Arial"/>
                <w:bCs/>
                <w:lang w:eastAsia="en-NZ"/>
              </w:rPr>
              <w:t xml:space="preserve">Tax effect  </w:t>
            </w:r>
          </w:p>
        </w:tc>
        <w:tc>
          <w:tcPr>
            <w:tcW w:w="4622" w:type="dxa"/>
          </w:tcPr>
          <w:p w:rsidR="0089227F" w:rsidRPr="006B142F" w:rsidRDefault="0089227F" w:rsidP="0089227F">
            <w:pPr>
              <w:tabs>
                <w:tab w:val="left" w:pos="4045"/>
              </w:tabs>
              <w:spacing w:line="264" w:lineRule="auto"/>
              <w:rPr>
                <w:rFonts w:asciiTheme="minorHAnsi" w:hAnsiTheme="minorHAnsi" w:cs="Arial"/>
                <w:lang w:eastAsia="en-NZ"/>
              </w:rPr>
            </w:pPr>
            <w:r w:rsidRPr="006B142F">
              <w:rPr>
                <w:rFonts w:asciiTheme="minorHAnsi" w:hAnsiTheme="minorHAnsi" w:cs="Arial"/>
                <w:lang w:eastAsia="en-NZ"/>
              </w:rPr>
              <w:t>has the meaning set out in the</w:t>
            </w:r>
            <w:r w:rsidRPr="006B142F">
              <w:rPr>
                <w:rFonts w:asciiTheme="minorHAnsi" w:hAnsiTheme="minorHAnsi" w:cs="Arial"/>
                <w:bCs/>
                <w:lang w:eastAsia="en-NZ"/>
              </w:rPr>
              <w:t xml:space="preserve"> IM determination</w:t>
            </w:r>
          </w:p>
        </w:tc>
      </w:tr>
      <w:tr w:rsidR="0089227F" w:rsidRPr="006B142F" w:rsidTr="00B20AEC">
        <w:trPr>
          <w:cantSplit/>
        </w:trPr>
        <w:tc>
          <w:tcPr>
            <w:tcW w:w="4621" w:type="dxa"/>
          </w:tcPr>
          <w:p w:rsidR="0089227F" w:rsidRPr="006B142F" w:rsidRDefault="0089227F" w:rsidP="0089227F">
            <w:pPr>
              <w:pStyle w:val="BodyText"/>
              <w:spacing w:line="264" w:lineRule="auto"/>
              <w:rPr>
                <w:rFonts w:asciiTheme="minorHAnsi" w:hAnsiTheme="minorHAnsi" w:cs="Arial"/>
                <w:bCs/>
                <w:lang w:eastAsia="en-NZ"/>
              </w:rPr>
            </w:pPr>
            <w:r w:rsidRPr="006B142F">
              <w:rPr>
                <w:rFonts w:asciiTheme="minorHAnsi" w:hAnsiTheme="minorHAnsi" w:cs="Arial"/>
                <w:bCs/>
                <w:lang w:eastAsia="en-NZ"/>
              </w:rPr>
              <w:t>Tax effect of adjusted depreciation</w:t>
            </w:r>
          </w:p>
        </w:tc>
        <w:tc>
          <w:tcPr>
            <w:tcW w:w="4622" w:type="dxa"/>
          </w:tcPr>
          <w:p w:rsidR="0089227F" w:rsidRPr="006B142F" w:rsidRDefault="0089227F" w:rsidP="0089227F">
            <w:pPr>
              <w:tabs>
                <w:tab w:val="left" w:pos="4045"/>
              </w:tabs>
              <w:spacing w:line="264" w:lineRule="auto"/>
              <w:rPr>
                <w:rFonts w:asciiTheme="minorHAnsi" w:hAnsiTheme="minorHAnsi" w:cs="Arial"/>
                <w:lang w:eastAsia="en-NZ"/>
              </w:rPr>
            </w:pPr>
            <w:r w:rsidRPr="006B142F">
              <w:rPr>
                <w:rFonts w:asciiTheme="minorHAnsi" w:hAnsiTheme="minorHAnsi" w:cs="Arial"/>
                <w:lang w:eastAsia="en-NZ"/>
              </w:rPr>
              <w:t xml:space="preserve">means the </w:t>
            </w:r>
            <w:r w:rsidRPr="006B142F">
              <w:rPr>
                <w:rFonts w:asciiTheme="minorHAnsi" w:hAnsiTheme="minorHAnsi" w:cs="Arial"/>
                <w:bCs/>
                <w:lang w:eastAsia="en-NZ"/>
              </w:rPr>
              <w:t>tax effect</w:t>
            </w:r>
            <w:r w:rsidRPr="006B142F">
              <w:rPr>
                <w:rFonts w:asciiTheme="minorHAnsi" w:hAnsiTheme="minorHAnsi" w:cs="Arial"/>
                <w:lang w:eastAsia="en-NZ"/>
              </w:rPr>
              <w:t xml:space="preserve"> of </w:t>
            </w:r>
            <w:r w:rsidRPr="006B142F">
              <w:rPr>
                <w:rFonts w:asciiTheme="minorHAnsi" w:hAnsiTheme="minorHAnsi" w:cs="Arial"/>
                <w:bCs/>
                <w:lang w:eastAsia="en-NZ"/>
              </w:rPr>
              <w:t>adjusted depreciation</w:t>
            </w:r>
          </w:p>
        </w:tc>
      </w:tr>
      <w:tr w:rsidR="0089227F" w:rsidRPr="006B142F" w:rsidTr="00B20AEC">
        <w:trPr>
          <w:cantSplit/>
        </w:trPr>
        <w:tc>
          <w:tcPr>
            <w:tcW w:w="4621" w:type="dxa"/>
          </w:tcPr>
          <w:p w:rsidR="0089227F" w:rsidRPr="006B142F" w:rsidRDefault="0089227F" w:rsidP="0089227F">
            <w:pPr>
              <w:pStyle w:val="BodyText"/>
              <w:spacing w:line="264" w:lineRule="auto"/>
              <w:rPr>
                <w:rFonts w:asciiTheme="minorHAnsi" w:hAnsiTheme="minorHAnsi" w:cs="Arial"/>
                <w:bCs/>
                <w:lang w:eastAsia="en-NZ"/>
              </w:rPr>
            </w:pPr>
            <w:r w:rsidRPr="006B142F">
              <w:rPr>
                <w:rFonts w:asciiTheme="minorHAnsi" w:hAnsiTheme="minorHAnsi" w:cs="Arial"/>
                <w:bCs/>
                <w:lang w:eastAsia="en-NZ"/>
              </w:rPr>
              <w:t>Tax effect of amortisation of initial differences in asset values</w:t>
            </w:r>
          </w:p>
        </w:tc>
        <w:tc>
          <w:tcPr>
            <w:tcW w:w="4622" w:type="dxa"/>
          </w:tcPr>
          <w:p w:rsidR="0089227F" w:rsidRPr="006B142F" w:rsidRDefault="0089227F" w:rsidP="0089227F">
            <w:pPr>
              <w:tabs>
                <w:tab w:val="left" w:pos="4045"/>
              </w:tabs>
              <w:spacing w:line="264" w:lineRule="auto"/>
              <w:rPr>
                <w:rFonts w:asciiTheme="minorHAnsi" w:hAnsiTheme="minorHAnsi" w:cs="Arial"/>
                <w:lang w:eastAsia="en-NZ"/>
              </w:rPr>
            </w:pPr>
            <w:r w:rsidRPr="006B142F">
              <w:rPr>
                <w:rFonts w:asciiTheme="minorHAnsi" w:hAnsiTheme="minorHAnsi" w:cs="Arial"/>
                <w:lang w:eastAsia="en-NZ"/>
              </w:rPr>
              <w:t xml:space="preserve">means the </w:t>
            </w:r>
            <w:r w:rsidRPr="006B142F">
              <w:rPr>
                <w:rFonts w:asciiTheme="minorHAnsi" w:hAnsiTheme="minorHAnsi" w:cs="Arial"/>
                <w:bCs/>
                <w:lang w:eastAsia="en-NZ"/>
              </w:rPr>
              <w:t xml:space="preserve">tax effect </w:t>
            </w:r>
            <w:r w:rsidRPr="006B142F">
              <w:rPr>
                <w:rFonts w:asciiTheme="minorHAnsi" w:hAnsiTheme="minorHAnsi" w:cs="Arial"/>
                <w:lang w:eastAsia="en-NZ"/>
              </w:rPr>
              <w:t xml:space="preserve">of </w:t>
            </w:r>
            <w:r w:rsidRPr="006B142F">
              <w:rPr>
                <w:rFonts w:asciiTheme="minorHAnsi" w:hAnsiTheme="minorHAnsi" w:cs="Arial"/>
                <w:bCs/>
                <w:lang w:eastAsia="en-NZ"/>
              </w:rPr>
              <w:t>amortisation of initial differences in asset values</w:t>
            </w:r>
          </w:p>
        </w:tc>
      </w:tr>
      <w:tr w:rsidR="0089227F" w:rsidRPr="006B142F" w:rsidTr="00B20AEC">
        <w:trPr>
          <w:cantSplit/>
        </w:trPr>
        <w:tc>
          <w:tcPr>
            <w:tcW w:w="4621" w:type="dxa"/>
          </w:tcPr>
          <w:p w:rsidR="0089227F" w:rsidRPr="006B142F" w:rsidRDefault="0089227F" w:rsidP="0089227F">
            <w:pPr>
              <w:pStyle w:val="BodyText"/>
              <w:spacing w:line="264" w:lineRule="auto"/>
              <w:rPr>
                <w:rFonts w:asciiTheme="minorHAnsi" w:hAnsiTheme="minorHAnsi" w:cs="Arial"/>
                <w:bCs/>
                <w:lang w:eastAsia="en-NZ"/>
              </w:rPr>
            </w:pPr>
            <w:r w:rsidRPr="006B142F">
              <w:rPr>
                <w:rFonts w:asciiTheme="minorHAnsi" w:hAnsiTheme="minorHAnsi" w:cs="Arial"/>
                <w:bCs/>
                <w:lang w:eastAsia="en-NZ"/>
              </w:rPr>
              <w:t>Tax effect of other temporary differences</w:t>
            </w:r>
          </w:p>
        </w:tc>
        <w:tc>
          <w:tcPr>
            <w:tcW w:w="4622" w:type="dxa"/>
          </w:tcPr>
          <w:p w:rsidR="0089227F" w:rsidRPr="006B142F" w:rsidRDefault="0089227F" w:rsidP="0089227F">
            <w:pPr>
              <w:tabs>
                <w:tab w:val="left" w:pos="4045"/>
              </w:tabs>
              <w:spacing w:line="264" w:lineRule="auto"/>
              <w:rPr>
                <w:rFonts w:asciiTheme="minorHAnsi" w:hAnsiTheme="minorHAnsi" w:cs="Arial"/>
                <w:lang w:eastAsia="en-NZ"/>
              </w:rPr>
            </w:pPr>
            <w:proofErr w:type="gramStart"/>
            <w:r w:rsidRPr="006B142F">
              <w:rPr>
                <w:rFonts w:asciiTheme="minorHAnsi" w:hAnsiTheme="minorHAnsi" w:cs="Arial"/>
                <w:lang w:eastAsia="en-NZ"/>
              </w:rPr>
              <w:t>means</w:t>
            </w:r>
            <w:proofErr w:type="gramEnd"/>
            <w:r w:rsidRPr="006B142F">
              <w:rPr>
                <w:rFonts w:asciiTheme="minorHAnsi" w:hAnsiTheme="minorHAnsi" w:cs="Arial"/>
                <w:lang w:eastAsia="en-NZ"/>
              </w:rPr>
              <w:t xml:space="preserve"> the</w:t>
            </w:r>
            <w:r w:rsidRPr="006B142F">
              <w:rPr>
                <w:rFonts w:asciiTheme="minorHAnsi" w:hAnsiTheme="minorHAnsi" w:cs="Arial"/>
                <w:bCs/>
                <w:lang w:eastAsia="en-NZ"/>
              </w:rPr>
              <w:t xml:space="preserve"> tax effect</w:t>
            </w:r>
            <w:r w:rsidRPr="006B142F">
              <w:rPr>
                <w:rFonts w:asciiTheme="minorHAnsi" w:hAnsiTheme="minorHAnsi" w:cs="Arial"/>
                <w:lang w:eastAsia="en-NZ"/>
              </w:rPr>
              <w:t xml:space="preserve"> of positive temporary differences less negative temporary differences.  Positive temporary differences and negative temporary differences have the meanings set out in clause 2.3.8 of the IM determination</w:t>
            </w:r>
          </w:p>
        </w:tc>
      </w:tr>
      <w:tr w:rsidR="0089227F" w:rsidRPr="006B142F" w:rsidTr="00B20AEC">
        <w:trPr>
          <w:cantSplit/>
        </w:trPr>
        <w:tc>
          <w:tcPr>
            <w:tcW w:w="4621" w:type="dxa"/>
          </w:tcPr>
          <w:p w:rsidR="0089227F" w:rsidRPr="006B142F" w:rsidRDefault="0089227F" w:rsidP="0089227F">
            <w:pPr>
              <w:pStyle w:val="BodyText"/>
              <w:spacing w:line="264" w:lineRule="auto"/>
              <w:rPr>
                <w:rFonts w:asciiTheme="minorHAnsi" w:hAnsiTheme="minorHAnsi" w:cs="Arial"/>
                <w:bCs/>
                <w:lang w:eastAsia="en-NZ"/>
              </w:rPr>
            </w:pPr>
            <w:r w:rsidRPr="006B142F">
              <w:rPr>
                <w:rFonts w:asciiTheme="minorHAnsi" w:hAnsiTheme="minorHAnsi" w:cs="Arial"/>
                <w:bCs/>
                <w:lang w:eastAsia="en-NZ"/>
              </w:rPr>
              <w:t>Tax effect of total tax depreciation</w:t>
            </w:r>
          </w:p>
        </w:tc>
        <w:tc>
          <w:tcPr>
            <w:tcW w:w="4622" w:type="dxa"/>
          </w:tcPr>
          <w:p w:rsidR="0089227F" w:rsidRPr="006B142F" w:rsidRDefault="0089227F" w:rsidP="0089227F">
            <w:pPr>
              <w:tabs>
                <w:tab w:val="left" w:pos="4045"/>
              </w:tabs>
              <w:spacing w:line="264" w:lineRule="auto"/>
              <w:rPr>
                <w:rFonts w:asciiTheme="minorHAnsi" w:hAnsiTheme="minorHAnsi" w:cs="Arial"/>
                <w:lang w:eastAsia="en-NZ"/>
              </w:rPr>
            </w:pPr>
            <w:r w:rsidRPr="006B142F">
              <w:rPr>
                <w:rFonts w:asciiTheme="minorHAnsi" w:hAnsiTheme="minorHAnsi" w:cs="Arial"/>
                <w:lang w:eastAsia="en-NZ"/>
              </w:rPr>
              <w:t>means the</w:t>
            </w:r>
            <w:r w:rsidRPr="006B142F">
              <w:rPr>
                <w:rFonts w:asciiTheme="minorHAnsi" w:hAnsiTheme="minorHAnsi" w:cs="Arial"/>
                <w:bCs/>
                <w:lang w:eastAsia="en-NZ"/>
              </w:rPr>
              <w:t xml:space="preserve"> tax effect </w:t>
            </w:r>
            <w:r w:rsidRPr="006B142F">
              <w:rPr>
                <w:rFonts w:asciiTheme="minorHAnsi" w:hAnsiTheme="minorHAnsi" w:cs="Arial"/>
                <w:lang w:eastAsia="en-NZ"/>
              </w:rPr>
              <w:t xml:space="preserve">of </w:t>
            </w:r>
            <w:r w:rsidRPr="006B142F">
              <w:rPr>
                <w:rFonts w:asciiTheme="minorHAnsi" w:hAnsiTheme="minorHAnsi" w:cs="Arial"/>
                <w:bCs/>
                <w:lang w:eastAsia="en-NZ"/>
              </w:rPr>
              <w:t>tax depreciation</w:t>
            </w:r>
          </w:p>
        </w:tc>
      </w:tr>
      <w:tr w:rsidR="0089227F" w:rsidRPr="006B142F" w:rsidTr="00B20AEC">
        <w:trPr>
          <w:cantSplit/>
        </w:trPr>
        <w:tc>
          <w:tcPr>
            <w:tcW w:w="4621" w:type="dxa"/>
          </w:tcPr>
          <w:p w:rsidR="0089227F" w:rsidRPr="006B142F" w:rsidRDefault="0089227F" w:rsidP="0089227F">
            <w:pPr>
              <w:pStyle w:val="BodyText"/>
              <w:spacing w:line="264" w:lineRule="auto"/>
              <w:rPr>
                <w:rFonts w:asciiTheme="minorHAnsi" w:hAnsiTheme="minorHAnsi" w:cs="Arial"/>
                <w:bCs/>
                <w:lang w:eastAsia="en-NZ"/>
              </w:rPr>
            </w:pPr>
            <w:r w:rsidRPr="006B142F">
              <w:rPr>
                <w:rFonts w:asciiTheme="minorHAnsi" w:hAnsiTheme="minorHAnsi" w:cs="Arial"/>
                <w:bCs/>
                <w:lang w:eastAsia="en-NZ"/>
              </w:rPr>
              <w:t>Tax payments</w:t>
            </w:r>
          </w:p>
        </w:tc>
        <w:tc>
          <w:tcPr>
            <w:tcW w:w="4622" w:type="dxa"/>
          </w:tcPr>
          <w:p w:rsidR="0089227F" w:rsidRPr="006B142F" w:rsidRDefault="0089227F" w:rsidP="0089227F">
            <w:pPr>
              <w:rPr>
                <w:rFonts w:asciiTheme="minorHAnsi" w:hAnsiTheme="minorHAnsi"/>
              </w:rPr>
            </w:pPr>
            <w:r w:rsidRPr="006B142F">
              <w:rPr>
                <w:rFonts w:asciiTheme="minorHAnsi" w:hAnsiTheme="minorHAnsi"/>
              </w:rPr>
              <w:t>means regulatory tax allowance recognised proportionally to how the GDB has paid (or would have paid tax) over the tax year preceding the end of the disclosure year</w:t>
            </w:r>
          </w:p>
        </w:tc>
      </w:tr>
      <w:tr w:rsidR="0089227F" w:rsidRPr="006B142F" w:rsidTr="00B20AEC">
        <w:trPr>
          <w:cantSplit/>
        </w:trPr>
        <w:tc>
          <w:tcPr>
            <w:tcW w:w="4621" w:type="dxa"/>
          </w:tcPr>
          <w:p w:rsidR="0089227F" w:rsidRPr="006B142F" w:rsidRDefault="0089227F" w:rsidP="0089227F">
            <w:pPr>
              <w:pStyle w:val="BodyText"/>
              <w:spacing w:line="264" w:lineRule="auto"/>
              <w:rPr>
                <w:rFonts w:asciiTheme="minorHAnsi" w:hAnsiTheme="minorHAnsi" w:cs="Arial"/>
                <w:bCs/>
                <w:lang w:eastAsia="en-NZ"/>
              </w:rPr>
            </w:pPr>
            <w:r w:rsidRPr="006B142F">
              <w:rPr>
                <w:rFonts w:asciiTheme="minorHAnsi" w:hAnsiTheme="minorHAnsi" w:cs="Arial"/>
                <w:bCs/>
                <w:lang w:eastAsia="en-NZ"/>
              </w:rPr>
              <w:t>Term credit spread difference</w:t>
            </w:r>
          </w:p>
        </w:tc>
        <w:tc>
          <w:tcPr>
            <w:tcW w:w="4622" w:type="dxa"/>
          </w:tcPr>
          <w:p w:rsidR="0089227F" w:rsidRPr="006B142F" w:rsidRDefault="0089227F" w:rsidP="0089227F">
            <w:pPr>
              <w:tabs>
                <w:tab w:val="left" w:pos="4045"/>
              </w:tabs>
              <w:spacing w:line="264" w:lineRule="auto"/>
              <w:rPr>
                <w:rFonts w:asciiTheme="minorHAnsi" w:hAnsiTheme="minorHAnsi" w:cs="Arial"/>
                <w:lang w:eastAsia="en-NZ"/>
              </w:rPr>
            </w:pPr>
            <w:r w:rsidRPr="006B142F">
              <w:rPr>
                <w:rFonts w:asciiTheme="minorHAnsi" w:hAnsiTheme="minorHAnsi" w:cs="Arial"/>
                <w:lang w:eastAsia="en-NZ"/>
              </w:rPr>
              <w:t>has the meaning set out in the</w:t>
            </w:r>
            <w:r w:rsidRPr="006B142F">
              <w:rPr>
                <w:rFonts w:asciiTheme="minorHAnsi" w:hAnsiTheme="minorHAnsi" w:cs="Arial"/>
                <w:bCs/>
                <w:lang w:eastAsia="en-NZ"/>
              </w:rPr>
              <w:t xml:space="preserve"> IM determination</w:t>
            </w:r>
          </w:p>
        </w:tc>
      </w:tr>
      <w:tr w:rsidR="0089227F" w:rsidRPr="006B142F" w:rsidTr="00B20AEC">
        <w:trPr>
          <w:cantSplit/>
        </w:trPr>
        <w:tc>
          <w:tcPr>
            <w:tcW w:w="4621" w:type="dxa"/>
          </w:tcPr>
          <w:p w:rsidR="0089227F" w:rsidRPr="006B142F" w:rsidRDefault="0089227F" w:rsidP="0089227F">
            <w:pPr>
              <w:pStyle w:val="BodyText"/>
              <w:spacing w:line="264" w:lineRule="auto"/>
              <w:rPr>
                <w:rFonts w:asciiTheme="minorHAnsi" w:hAnsiTheme="minorHAnsi" w:cs="Arial"/>
                <w:bCs/>
                <w:lang w:eastAsia="en-NZ"/>
              </w:rPr>
            </w:pPr>
            <w:r w:rsidRPr="006B142F">
              <w:rPr>
                <w:rFonts w:asciiTheme="minorHAnsi" w:hAnsiTheme="minorHAnsi" w:cs="Arial"/>
                <w:bCs/>
                <w:lang w:eastAsia="en-NZ"/>
              </w:rPr>
              <w:t>Term credit spread differential allowance</w:t>
            </w:r>
          </w:p>
        </w:tc>
        <w:tc>
          <w:tcPr>
            <w:tcW w:w="4622" w:type="dxa"/>
          </w:tcPr>
          <w:p w:rsidR="0089227F" w:rsidRPr="006B142F" w:rsidRDefault="0089227F" w:rsidP="0089227F">
            <w:pPr>
              <w:tabs>
                <w:tab w:val="left" w:pos="4045"/>
              </w:tabs>
              <w:spacing w:line="264" w:lineRule="auto"/>
              <w:rPr>
                <w:rFonts w:asciiTheme="minorHAnsi" w:hAnsiTheme="minorHAnsi" w:cs="Arial"/>
                <w:lang w:eastAsia="en-NZ"/>
              </w:rPr>
            </w:pPr>
            <w:r w:rsidRPr="006B142F">
              <w:rPr>
                <w:rFonts w:asciiTheme="minorHAnsi" w:hAnsiTheme="minorHAnsi" w:cs="Arial"/>
                <w:lang w:eastAsia="en-NZ"/>
              </w:rPr>
              <w:t xml:space="preserve">has the same meaning as the 'term credit spread differential' as set out in clause 2.4.11(3) of the </w:t>
            </w:r>
            <w:r w:rsidRPr="006B142F">
              <w:rPr>
                <w:rFonts w:asciiTheme="minorHAnsi" w:hAnsiTheme="minorHAnsi" w:cs="Arial"/>
                <w:bCs/>
                <w:lang w:eastAsia="en-NZ"/>
              </w:rPr>
              <w:t>IM determination</w:t>
            </w:r>
          </w:p>
        </w:tc>
      </w:tr>
      <w:tr w:rsidR="0089227F" w:rsidRPr="006B142F" w:rsidTr="00B20AEC">
        <w:trPr>
          <w:cantSplit/>
        </w:trPr>
        <w:tc>
          <w:tcPr>
            <w:tcW w:w="4621" w:type="dxa"/>
          </w:tcPr>
          <w:p w:rsidR="0089227F" w:rsidRPr="006B142F" w:rsidRDefault="0089227F" w:rsidP="0089227F">
            <w:pPr>
              <w:pStyle w:val="BodyText"/>
              <w:spacing w:line="264" w:lineRule="auto"/>
              <w:rPr>
                <w:rFonts w:asciiTheme="minorHAnsi" w:hAnsiTheme="minorHAnsi" w:cs="Arial"/>
                <w:bCs/>
                <w:lang w:eastAsia="en-NZ"/>
              </w:rPr>
            </w:pPr>
            <w:r w:rsidRPr="006B142F">
              <w:rPr>
                <w:rFonts w:asciiTheme="minorHAnsi" w:hAnsiTheme="minorHAnsi" w:cs="Arial"/>
                <w:bCs/>
                <w:lang w:eastAsia="en-NZ"/>
              </w:rPr>
              <w:t>Third party damage event</w:t>
            </w:r>
          </w:p>
        </w:tc>
        <w:tc>
          <w:tcPr>
            <w:tcW w:w="4622" w:type="dxa"/>
          </w:tcPr>
          <w:p w:rsidR="0089227F" w:rsidRPr="006B142F" w:rsidRDefault="0089227F" w:rsidP="0089227F">
            <w:pPr>
              <w:tabs>
                <w:tab w:val="left" w:pos="4045"/>
              </w:tabs>
              <w:spacing w:line="264" w:lineRule="auto"/>
              <w:rPr>
                <w:rFonts w:asciiTheme="minorHAnsi" w:hAnsiTheme="minorHAnsi" w:cs="Arial"/>
                <w:lang w:eastAsia="en-NZ"/>
              </w:rPr>
            </w:pPr>
            <w:r w:rsidRPr="006B142F">
              <w:rPr>
                <w:rFonts w:asciiTheme="minorHAnsi" w:hAnsiTheme="minorHAnsi" w:cs="Arial"/>
                <w:lang w:eastAsia="en-NZ"/>
              </w:rPr>
              <w:t xml:space="preserve">means an event whereby damage to the </w:t>
            </w:r>
            <w:proofErr w:type="spellStart"/>
            <w:r w:rsidRPr="006B142F">
              <w:rPr>
                <w:rFonts w:asciiTheme="minorHAnsi" w:hAnsiTheme="minorHAnsi" w:cs="Arial"/>
                <w:lang w:eastAsia="en-NZ"/>
              </w:rPr>
              <w:t>GDB’s</w:t>
            </w:r>
            <w:proofErr w:type="spellEnd"/>
            <w:r w:rsidRPr="006B142F">
              <w:rPr>
                <w:rFonts w:asciiTheme="minorHAnsi" w:hAnsiTheme="minorHAnsi" w:cs="Arial"/>
                <w:lang w:eastAsia="en-NZ"/>
              </w:rPr>
              <w:t xml:space="preserve"> network (both mains and services) by a third party has resulted in an interruption </w:t>
            </w:r>
          </w:p>
          <w:p w:rsidR="0089227F" w:rsidRPr="006B142F" w:rsidRDefault="0089227F" w:rsidP="0089227F">
            <w:pPr>
              <w:tabs>
                <w:tab w:val="left" w:pos="4045"/>
              </w:tabs>
              <w:spacing w:line="264" w:lineRule="auto"/>
              <w:rPr>
                <w:rFonts w:asciiTheme="minorHAnsi" w:hAnsiTheme="minorHAnsi" w:cs="Arial"/>
                <w:i/>
                <w:lang w:eastAsia="en-NZ"/>
              </w:rPr>
            </w:pPr>
            <w:r w:rsidRPr="006B142F">
              <w:rPr>
                <w:rFonts w:asciiTheme="minorHAnsi" w:hAnsiTheme="minorHAnsi" w:cs="Arial"/>
                <w:i/>
                <w:lang w:eastAsia="en-NZ"/>
              </w:rPr>
              <w:t>(Note: third party damage excludes damage caused by related parties or by contractors in the service of the GDB)</w:t>
            </w:r>
          </w:p>
        </w:tc>
      </w:tr>
      <w:tr w:rsidR="0089227F" w:rsidRPr="006B142F" w:rsidTr="00B20AEC">
        <w:trPr>
          <w:cantSplit/>
        </w:trPr>
        <w:tc>
          <w:tcPr>
            <w:tcW w:w="4621" w:type="dxa"/>
          </w:tcPr>
          <w:p w:rsidR="0089227F" w:rsidRPr="006B142F" w:rsidRDefault="0089227F" w:rsidP="0089227F">
            <w:pPr>
              <w:pStyle w:val="BodyText"/>
              <w:spacing w:line="264" w:lineRule="auto"/>
              <w:rPr>
                <w:rFonts w:asciiTheme="minorHAnsi" w:hAnsiTheme="minorHAnsi" w:cs="Arial"/>
                <w:bCs/>
                <w:lang w:eastAsia="en-NZ"/>
              </w:rPr>
            </w:pPr>
            <w:r w:rsidRPr="006B142F">
              <w:rPr>
                <w:rFonts w:asciiTheme="minorHAnsi" w:hAnsiTheme="minorHAnsi" w:cs="Arial"/>
                <w:bCs/>
                <w:lang w:eastAsia="en-NZ"/>
              </w:rPr>
              <w:t>Total attributable to regulated service</w:t>
            </w:r>
          </w:p>
        </w:tc>
        <w:tc>
          <w:tcPr>
            <w:tcW w:w="4622" w:type="dxa"/>
          </w:tcPr>
          <w:p w:rsidR="0089227F" w:rsidRPr="006B142F" w:rsidRDefault="0089227F" w:rsidP="0089227F">
            <w:pPr>
              <w:tabs>
                <w:tab w:val="left" w:pos="4045"/>
              </w:tabs>
              <w:spacing w:line="264" w:lineRule="auto"/>
              <w:rPr>
                <w:rFonts w:asciiTheme="minorHAnsi" w:hAnsiTheme="minorHAnsi" w:cs="Arial"/>
                <w:lang w:eastAsia="en-NZ"/>
              </w:rPr>
            </w:pPr>
            <w:r w:rsidRPr="006B142F">
              <w:rPr>
                <w:rFonts w:asciiTheme="minorHAnsi" w:hAnsiTheme="minorHAnsi" w:cs="Arial"/>
                <w:lang w:eastAsia="en-NZ"/>
              </w:rPr>
              <w:t>means the sum of directly attributable and not directly attributable that is attributable to gas pipeline services</w:t>
            </w:r>
          </w:p>
        </w:tc>
      </w:tr>
      <w:tr w:rsidR="0089227F" w:rsidRPr="006B142F" w:rsidTr="00B20AEC">
        <w:trPr>
          <w:cantSplit/>
        </w:trPr>
        <w:tc>
          <w:tcPr>
            <w:tcW w:w="4621" w:type="dxa"/>
          </w:tcPr>
          <w:p w:rsidR="0089227F" w:rsidRPr="006B142F" w:rsidRDefault="0089227F" w:rsidP="0089227F">
            <w:pPr>
              <w:pStyle w:val="BodyText"/>
              <w:spacing w:line="264" w:lineRule="auto"/>
              <w:rPr>
                <w:rFonts w:asciiTheme="minorHAnsi" w:hAnsiTheme="minorHAnsi" w:cs="Arial"/>
                <w:bCs/>
                <w:lang w:eastAsia="en-NZ"/>
              </w:rPr>
            </w:pPr>
            <w:r w:rsidRPr="006B142F">
              <w:rPr>
                <w:rFonts w:asciiTheme="minorHAnsi" w:hAnsiTheme="minorHAnsi" w:cs="Arial"/>
                <w:bCs/>
                <w:lang w:eastAsia="en-NZ"/>
              </w:rPr>
              <w:t>Total book value of interest bearing debt</w:t>
            </w:r>
          </w:p>
        </w:tc>
        <w:tc>
          <w:tcPr>
            <w:tcW w:w="4622" w:type="dxa"/>
          </w:tcPr>
          <w:p w:rsidR="0089227F" w:rsidRPr="006B142F" w:rsidRDefault="0089227F" w:rsidP="0089227F">
            <w:pPr>
              <w:tabs>
                <w:tab w:val="left" w:pos="4045"/>
              </w:tabs>
              <w:spacing w:line="264" w:lineRule="auto"/>
              <w:rPr>
                <w:rFonts w:asciiTheme="minorHAnsi" w:hAnsiTheme="minorHAnsi" w:cs="Arial"/>
                <w:lang w:eastAsia="en-NZ"/>
              </w:rPr>
            </w:pPr>
            <w:r w:rsidRPr="006B142F">
              <w:rPr>
                <w:rFonts w:asciiTheme="minorHAnsi" w:hAnsiTheme="minorHAnsi" w:cs="Arial"/>
                <w:lang w:eastAsia="en-NZ"/>
              </w:rPr>
              <w:t xml:space="preserve">means the sum of </w:t>
            </w:r>
            <w:r w:rsidRPr="006B142F">
              <w:rPr>
                <w:rFonts w:asciiTheme="minorHAnsi" w:hAnsiTheme="minorHAnsi" w:cs="Arial"/>
                <w:bCs/>
                <w:lang w:eastAsia="en-NZ"/>
              </w:rPr>
              <w:t>book value</w:t>
            </w:r>
            <w:r w:rsidRPr="006B142F">
              <w:rPr>
                <w:rFonts w:asciiTheme="minorHAnsi" w:hAnsiTheme="minorHAnsi" w:cs="Arial"/>
                <w:lang w:eastAsia="en-NZ"/>
              </w:rPr>
              <w:t xml:space="preserve"> of </w:t>
            </w:r>
            <w:r w:rsidRPr="006B142F">
              <w:rPr>
                <w:rFonts w:asciiTheme="minorHAnsi" w:hAnsiTheme="minorHAnsi" w:cs="Arial"/>
                <w:bCs/>
                <w:lang w:eastAsia="en-NZ"/>
              </w:rPr>
              <w:t>qualifying debt</w:t>
            </w:r>
            <w:r w:rsidRPr="006B142F">
              <w:rPr>
                <w:rFonts w:asciiTheme="minorHAnsi" w:hAnsiTheme="minorHAnsi" w:cs="Arial"/>
                <w:lang w:eastAsia="en-NZ"/>
              </w:rPr>
              <w:t xml:space="preserve"> and </w:t>
            </w:r>
            <w:r w:rsidRPr="006B142F">
              <w:rPr>
                <w:rFonts w:asciiTheme="minorHAnsi" w:hAnsiTheme="minorHAnsi" w:cs="Arial"/>
                <w:bCs/>
                <w:lang w:eastAsia="en-NZ"/>
              </w:rPr>
              <w:t>non-qualifying debt</w:t>
            </w:r>
            <w:r w:rsidRPr="006B142F">
              <w:rPr>
                <w:rFonts w:asciiTheme="minorHAnsi" w:hAnsiTheme="minorHAnsi" w:cs="Arial"/>
                <w:lang w:eastAsia="en-NZ"/>
              </w:rPr>
              <w:t xml:space="preserve"> at the date of the latest general purpose financial statements</w:t>
            </w:r>
          </w:p>
        </w:tc>
      </w:tr>
      <w:tr w:rsidR="0089227F" w:rsidRPr="006B142F" w:rsidTr="00B20AEC">
        <w:trPr>
          <w:cantSplit/>
        </w:trPr>
        <w:tc>
          <w:tcPr>
            <w:tcW w:w="4621" w:type="dxa"/>
          </w:tcPr>
          <w:p w:rsidR="0089227F" w:rsidRPr="006B142F" w:rsidRDefault="0089227F" w:rsidP="0089227F">
            <w:pPr>
              <w:pStyle w:val="BodyText"/>
              <w:spacing w:line="264" w:lineRule="auto"/>
              <w:rPr>
                <w:rFonts w:asciiTheme="minorHAnsi" w:hAnsiTheme="minorHAnsi" w:cs="Arial"/>
                <w:bCs/>
                <w:lang w:eastAsia="en-NZ"/>
              </w:rPr>
            </w:pPr>
            <w:r w:rsidRPr="006B142F">
              <w:rPr>
                <w:rFonts w:asciiTheme="minorHAnsi" w:hAnsiTheme="minorHAnsi" w:cs="Arial"/>
                <w:bCs/>
                <w:lang w:eastAsia="en-NZ"/>
              </w:rPr>
              <w:t>Total closing RAB values</w:t>
            </w:r>
          </w:p>
        </w:tc>
        <w:tc>
          <w:tcPr>
            <w:tcW w:w="4622" w:type="dxa"/>
          </w:tcPr>
          <w:p w:rsidR="0089227F" w:rsidRPr="006B142F" w:rsidRDefault="0089227F" w:rsidP="0089227F">
            <w:pPr>
              <w:tabs>
                <w:tab w:val="left" w:pos="4045"/>
              </w:tabs>
              <w:spacing w:line="264" w:lineRule="auto"/>
              <w:rPr>
                <w:rFonts w:asciiTheme="minorHAnsi" w:hAnsiTheme="minorHAnsi" w:cs="Arial"/>
                <w:lang w:eastAsia="en-NZ"/>
              </w:rPr>
            </w:pPr>
            <w:r w:rsidRPr="006B142F">
              <w:rPr>
                <w:rFonts w:asciiTheme="minorHAnsi" w:hAnsiTheme="minorHAnsi" w:cs="Arial"/>
                <w:lang w:eastAsia="en-NZ"/>
              </w:rPr>
              <w:t>means:</w:t>
            </w:r>
          </w:p>
          <w:p w:rsidR="0089227F" w:rsidRPr="006B142F" w:rsidRDefault="0089227F" w:rsidP="0089227F">
            <w:pPr>
              <w:tabs>
                <w:tab w:val="left" w:pos="4045"/>
              </w:tabs>
              <w:spacing w:line="264" w:lineRule="auto"/>
              <w:ind w:left="459" w:hanging="425"/>
              <w:rPr>
                <w:rFonts w:asciiTheme="minorHAnsi" w:hAnsiTheme="minorHAnsi" w:cs="Arial"/>
                <w:bCs/>
                <w:lang w:eastAsia="en-NZ"/>
              </w:rPr>
            </w:pPr>
            <w:r w:rsidRPr="006B142F">
              <w:rPr>
                <w:rFonts w:asciiTheme="minorHAnsi" w:hAnsiTheme="minorHAnsi" w:cs="Arial"/>
                <w:lang w:eastAsia="en-NZ"/>
              </w:rPr>
              <w:t>(a)</w:t>
            </w:r>
            <w:r w:rsidRPr="006B142F">
              <w:rPr>
                <w:rFonts w:asciiTheme="minorHAnsi" w:hAnsiTheme="minorHAnsi" w:cs="Arial"/>
                <w:lang w:eastAsia="en-NZ"/>
              </w:rPr>
              <w:tab/>
              <w:t xml:space="preserve">in relation to the </w:t>
            </w:r>
            <w:r w:rsidRPr="006B142F">
              <w:rPr>
                <w:rFonts w:asciiTheme="minorHAnsi" w:hAnsiTheme="minorHAnsi" w:cs="Arial"/>
                <w:bCs/>
                <w:lang w:eastAsia="en-NZ"/>
              </w:rPr>
              <w:t>unallocated RAB</w:t>
            </w:r>
            <w:r w:rsidRPr="006B142F">
              <w:rPr>
                <w:rFonts w:asciiTheme="minorHAnsi" w:hAnsiTheme="minorHAnsi" w:cs="Arial"/>
                <w:lang w:eastAsia="en-NZ"/>
              </w:rPr>
              <w:t xml:space="preserve">, the sum of unallocated closing RAB values as determined in accordance with the </w:t>
            </w:r>
            <w:r w:rsidRPr="006B142F">
              <w:rPr>
                <w:rFonts w:asciiTheme="minorHAnsi" w:hAnsiTheme="minorHAnsi" w:cs="Arial"/>
                <w:bCs/>
                <w:lang w:eastAsia="en-NZ"/>
              </w:rPr>
              <w:t>IM determination;</w:t>
            </w:r>
          </w:p>
          <w:p w:rsidR="0089227F" w:rsidRPr="006B142F" w:rsidRDefault="0089227F" w:rsidP="0089227F">
            <w:pPr>
              <w:tabs>
                <w:tab w:val="left" w:pos="4045"/>
              </w:tabs>
              <w:spacing w:line="264" w:lineRule="auto"/>
              <w:ind w:left="459" w:hanging="425"/>
              <w:rPr>
                <w:rFonts w:asciiTheme="minorHAnsi" w:hAnsiTheme="minorHAnsi" w:cs="Arial"/>
                <w:lang w:eastAsia="en-NZ"/>
              </w:rPr>
            </w:pPr>
            <w:r w:rsidRPr="006B142F">
              <w:rPr>
                <w:rFonts w:asciiTheme="minorHAnsi" w:hAnsiTheme="minorHAnsi" w:cs="Arial"/>
                <w:lang w:eastAsia="en-NZ"/>
              </w:rPr>
              <w:t>(b)</w:t>
            </w:r>
            <w:r w:rsidRPr="006B142F">
              <w:rPr>
                <w:rFonts w:asciiTheme="minorHAnsi" w:hAnsiTheme="minorHAnsi" w:cs="Arial"/>
                <w:lang w:eastAsia="en-NZ"/>
              </w:rPr>
              <w:tab/>
              <w:t xml:space="preserve">in relation to the </w:t>
            </w:r>
            <w:r w:rsidRPr="006B142F">
              <w:rPr>
                <w:rFonts w:asciiTheme="minorHAnsi" w:hAnsiTheme="minorHAnsi" w:cs="Arial"/>
                <w:bCs/>
                <w:lang w:eastAsia="en-NZ"/>
              </w:rPr>
              <w:t>RAB</w:t>
            </w:r>
            <w:r w:rsidRPr="006B142F">
              <w:rPr>
                <w:rFonts w:asciiTheme="minorHAnsi" w:hAnsiTheme="minorHAnsi" w:cs="Arial"/>
                <w:lang w:eastAsia="en-NZ"/>
              </w:rPr>
              <w:t xml:space="preserve">, the sum of closing RAB values as determined in accordance with the </w:t>
            </w:r>
            <w:r w:rsidRPr="006B142F">
              <w:rPr>
                <w:rFonts w:asciiTheme="minorHAnsi" w:hAnsiTheme="minorHAnsi" w:cs="Arial"/>
                <w:bCs/>
                <w:lang w:eastAsia="en-NZ"/>
              </w:rPr>
              <w:t>IM determination</w:t>
            </w:r>
          </w:p>
        </w:tc>
      </w:tr>
      <w:tr w:rsidR="0089227F" w:rsidRPr="006B142F" w:rsidTr="00B20AEC">
        <w:trPr>
          <w:cantSplit/>
        </w:trPr>
        <w:tc>
          <w:tcPr>
            <w:tcW w:w="4621" w:type="dxa"/>
          </w:tcPr>
          <w:p w:rsidR="0089227F" w:rsidRPr="006B142F" w:rsidRDefault="0089227F" w:rsidP="0089227F">
            <w:pPr>
              <w:pStyle w:val="BodyText"/>
              <w:spacing w:line="264" w:lineRule="auto"/>
              <w:rPr>
                <w:rFonts w:asciiTheme="minorHAnsi" w:hAnsiTheme="minorHAnsi" w:cs="Arial"/>
                <w:bCs/>
                <w:lang w:eastAsia="en-NZ"/>
              </w:rPr>
            </w:pPr>
            <w:r w:rsidRPr="006B142F">
              <w:rPr>
                <w:rFonts w:asciiTheme="minorHAnsi" w:hAnsiTheme="minorHAnsi" w:cs="Arial"/>
                <w:bCs/>
                <w:lang w:eastAsia="en-NZ"/>
              </w:rPr>
              <w:t>Total CPI revaluations</w:t>
            </w:r>
          </w:p>
        </w:tc>
        <w:tc>
          <w:tcPr>
            <w:tcW w:w="4622" w:type="dxa"/>
          </w:tcPr>
          <w:p w:rsidR="0089227F" w:rsidRPr="006B142F" w:rsidRDefault="0089227F" w:rsidP="0089227F">
            <w:pPr>
              <w:tabs>
                <w:tab w:val="left" w:pos="4045"/>
              </w:tabs>
              <w:spacing w:line="264" w:lineRule="auto"/>
              <w:rPr>
                <w:rFonts w:asciiTheme="minorHAnsi" w:hAnsiTheme="minorHAnsi" w:cs="Arial"/>
                <w:lang w:eastAsia="en-NZ"/>
              </w:rPr>
            </w:pPr>
            <w:r w:rsidRPr="006B142F">
              <w:rPr>
                <w:rFonts w:asciiTheme="minorHAnsi" w:hAnsiTheme="minorHAnsi" w:cs="Arial"/>
                <w:lang w:eastAsia="en-NZ"/>
              </w:rPr>
              <w:t>means:</w:t>
            </w:r>
          </w:p>
          <w:p w:rsidR="0089227F" w:rsidRPr="006B142F" w:rsidRDefault="0089227F" w:rsidP="0089227F">
            <w:pPr>
              <w:tabs>
                <w:tab w:val="left" w:pos="4045"/>
              </w:tabs>
              <w:spacing w:line="264" w:lineRule="auto"/>
              <w:ind w:left="459" w:hanging="459"/>
              <w:rPr>
                <w:rFonts w:asciiTheme="minorHAnsi" w:hAnsiTheme="minorHAnsi" w:cs="Arial"/>
                <w:lang w:eastAsia="en-NZ"/>
              </w:rPr>
            </w:pPr>
            <w:r w:rsidRPr="006B142F">
              <w:rPr>
                <w:rFonts w:asciiTheme="minorHAnsi" w:hAnsiTheme="minorHAnsi" w:cs="Arial"/>
                <w:lang w:eastAsia="en-NZ"/>
              </w:rPr>
              <w:t>(a)</w:t>
            </w:r>
            <w:r w:rsidRPr="006B142F">
              <w:rPr>
                <w:rFonts w:asciiTheme="minorHAnsi" w:hAnsiTheme="minorHAnsi" w:cs="Arial"/>
                <w:lang w:eastAsia="en-NZ"/>
              </w:rPr>
              <w:tab/>
              <w:t xml:space="preserve">in relation to the </w:t>
            </w:r>
            <w:r w:rsidRPr="006B142F">
              <w:rPr>
                <w:rFonts w:asciiTheme="minorHAnsi" w:hAnsiTheme="minorHAnsi" w:cs="Arial"/>
                <w:bCs/>
                <w:lang w:eastAsia="en-NZ"/>
              </w:rPr>
              <w:t>unallocated RAB</w:t>
            </w:r>
            <w:r w:rsidRPr="006B142F">
              <w:rPr>
                <w:rFonts w:asciiTheme="minorHAnsi" w:hAnsiTheme="minorHAnsi" w:cs="Arial"/>
                <w:lang w:eastAsia="en-NZ"/>
              </w:rPr>
              <w:t xml:space="preserve">, the sum of unallocated revaluation as determined in accordance with the </w:t>
            </w:r>
            <w:r w:rsidRPr="006B142F">
              <w:rPr>
                <w:rFonts w:asciiTheme="minorHAnsi" w:hAnsiTheme="minorHAnsi" w:cs="Arial"/>
                <w:bCs/>
                <w:lang w:eastAsia="en-NZ"/>
              </w:rPr>
              <w:t>IM determination</w:t>
            </w:r>
            <w:r w:rsidRPr="006B142F">
              <w:rPr>
                <w:rFonts w:asciiTheme="minorHAnsi" w:hAnsiTheme="minorHAnsi" w:cs="Arial"/>
                <w:lang w:eastAsia="en-NZ"/>
              </w:rPr>
              <w:t>;</w:t>
            </w:r>
          </w:p>
          <w:p w:rsidR="0089227F" w:rsidRPr="006B142F" w:rsidRDefault="0089227F" w:rsidP="0089227F">
            <w:pPr>
              <w:tabs>
                <w:tab w:val="left" w:pos="4045"/>
              </w:tabs>
              <w:spacing w:line="264" w:lineRule="auto"/>
              <w:ind w:left="459" w:hanging="459"/>
              <w:rPr>
                <w:rFonts w:asciiTheme="minorHAnsi" w:hAnsiTheme="minorHAnsi" w:cs="Arial"/>
                <w:lang w:eastAsia="en-NZ"/>
              </w:rPr>
            </w:pPr>
            <w:r w:rsidRPr="006B142F">
              <w:rPr>
                <w:rFonts w:asciiTheme="minorHAnsi" w:hAnsiTheme="minorHAnsi" w:cs="Arial"/>
                <w:lang w:eastAsia="en-NZ"/>
              </w:rPr>
              <w:t>(b)</w:t>
            </w:r>
            <w:r w:rsidRPr="006B142F">
              <w:rPr>
                <w:rFonts w:asciiTheme="minorHAnsi" w:hAnsiTheme="minorHAnsi" w:cs="Arial"/>
                <w:lang w:eastAsia="en-NZ"/>
              </w:rPr>
              <w:tab/>
              <w:t xml:space="preserve">in relation to the </w:t>
            </w:r>
            <w:r w:rsidRPr="006B142F">
              <w:rPr>
                <w:rFonts w:asciiTheme="minorHAnsi" w:hAnsiTheme="minorHAnsi" w:cs="Arial"/>
                <w:bCs/>
                <w:lang w:eastAsia="en-NZ"/>
              </w:rPr>
              <w:t>RAB or regulatory profit,</w:t>
            </w:r>
            <w:r w:rsidRPr="006B142F">
              <w:rPr>
                <w:rFonts w:asciiTheme="minorHAnsi" w:hAnsiTheme="minorHAnsi" w:cs="Arial"/>
                <w:lang w:eastAsia="en-NZ"/>
              </w:rPr>
              <w:t xml:space="preserve"> the sum of revaluations as determined in accordance with the </w:t>
            </w:r>
            <w:r w:rsidRPr="006B142F">
              <w:rPr>
                <w:rFonts w:asciiTheme="minorHAnsi" w:hAnsiTheme="minorHAnsi" w:cs="Arial"/>
                <w:bCs/>
                <w:lang w:eastAsia="en-NZ"/>
              </w:rPr>
              <w:t>IM determination</w:t>
            </w:r>
          </w:p>
        </w:tc>
      </w:tr>
      <w:tr w:rsidR="0089227F" w:rsidRPr="006B142F" w:rsidTr="00B20AEC">
        <w:trPr>
          <w:cantSplit/>
        </w:trPr>
        <w:tc>
          <w:tcPr>
            <w:tcW w:w="4621" w:type="dxa"/>
          </w:tcPr>
          <w:p w:rsidR="0089227F" w:rsidRPr="006B142F" w:rsidRDefault="0089227F" w:rsidP="0089227F">
            <w:pPr>
              <w:pStyle w:val="BodyText"/>
              <w:spacing w:line="264" w:lineRule="auto"/>
              <w:rPr>
                <w:rFonts w:asciiTheme="minorHAnsi" w:hAnsiTheme="minorHAnsi" w:cs="Arial"/>
                <w:bCs/>
                <w:lang w:eastAsia="en-NZ"/>
              </w:rPr>
            </w:pPr>
            <w:r w:rsidRPr="006B142F">
              <w:rPr>
                <w:rFonts w:asciiTheme="minorHAnsi" w:hAnsiTheme="minorHAnsi" w:cs="Arial"/>
                <w:bCs/>
                <w:lang w:eastAsia="en-NZ"/>
              </w:rPr>
              <w:t>Total depreciation</w:t>
            </w:r>
          </w:p>
        </w:tc>
        <w:tc>
          <w:tcPr>
            <w:tcW w:w="4622" w:type="dxa"/>
          </w:tcPr>
          <w:p w:rsidR="0089227F" w:rsidRPr="006B142F" w:rsidRDefault="0089227F" w:rsidP="0089227F">
            <w:pPr>
              <w:tabs>
                <w:tab w:val="left" w:pos="4045"/>
              </w:tabs>
              <w:spacing w:line="264" w:lineRule="auto"/>
              <w:rPr>
                <w:rFonts w:asciiTheme="minorHAnsi" w:hAnsiTheme="minorHAnsi" w:cs="Arial"/>
                <w:lang w:eastAsia="en-NZ"/>
              </w:rPr>
            </w:pPr>
            <w:r w:rsidRPr="006B142F">
              <w:rPr>
                <w:rFonts w:asciiTheme="minorHAnsi" w:hAnsiTheme="minorHAnsi" w:cs="Arial"/>
                <w:lang w:eastAsia="en-NZ"/>
              </w:rPr>
              <w:t>means:</w:t>
            </w:r>
          </w:p>
          <w:p w:rsidR="0089227F" w:rsidRPr="006B142F" w:rsidRDefault="0089227F" w:rsidP="0089227F">
            <w:pPr>
              <w:tabs>
                <w:tab w:val="left" w:pos="4045"/>
              </w:tabs>
              <w:spacing w:line="264" w:lineRule="auto"/>
              <w:ind w:left="459" w:hanging="459"/>
              <w:rPr>
                <w:rFonts w:asciiTheme="minorHAnsi" w:hAnsiTheme="minorHAnsi" w:cs="Arial"/>
                <w:lang w:eastAsia="en-NZ"/>
              </w:rPr>
            </w:pPr>
            <w:r w:rsidRPr="006B142F">
              <w:rPr>
                <w:rFonts w:asciiTheme="minorHAnsi" w:hAnsiTheme="minorHAnsi" w:cs="Arial"/>
                <w:lang w:eastAsia="en-NZ"/>
              </w:rPr>
              <w:t>(a)</w:t>
            </w:r>
            <w:r w:rsidRPr="006B142F">
              <w:rPr>
                <w:rFonts w:asciiTheme="minorHAnsi" w:hAnsiTheme="minorHAnsi" w:cs="Arial"/>
                <w:lang w:eastAsia="en-NZ"/>
              </w:rPr>
              <w:tab/>
              <w:t>in relation to the unallocated RAB, the sum of unallocated depreciation as determined in accordance with the IM determination;</w:t>
            </w:r>
          </w:p>
          <w:p w:rsidR="0089227F" w:rsidRPr="006B142F" w:rsidRDefault="0089227F" w:rsidP="0089227F">
            <w:pPr>
              <w:tabs>
                <w:tab w:val="left" w:pos="4045"/>
              </w:tabs>
              <w:spacing w:line="264" w:lineRule="auto"/>
              <w:ind w:left="459" w:hanging="459"/>
              <w:rPr>
                <w:rFonts w:asciiTheme="minorHAnsi" w:hAnsiTheme="minorHAnsi" w:cs="Arial"/>
                <w:lang w:eastAsia="en-NZ"/>
              </w:rPr>
            </w:pPr>
            <w:r w:rsidRPr="006B142F">
              <w:rPr>
                <w:rFonts w:asciiTheme="minorHAnsi" w:hAnsiTheme="minorHAnsi" w:cs="Arial"/>
                <w:lang w:eastAsia="en-NZ"/>
              </w:rPr>
              <w:t>(b)</w:t>
            </w:r>
            <w:r w:rsidRPr="006B142F">
              <w:rPr>
                <w:rFonts w:asciiTheme="minorHAnsi" w:hAnsiTheme="minorHAnsi" w:cs="Arial"/>
                <w:lang w:eastAsia="en-NZ"/>
              </w:rPr>
              <w:tab/>
              <w:t>in relation to the RAB or regulatory profit, the sum of depreciation as determined in accordance with the IM determination</w:t>
            </w:r>
          </w:p>
        </w:tc>
      </w:tr>
      <w:tr w:rsidR="0089227F" w:rsidRPr="006B142F" w:rsidTr="00B20AEC">
        <w:trPr>
          <w:cantSplit/>
        </w:trPr>
        <w:tc>
          <w:tcPr>
            <w:tcW w:w="4621" w:type="dxa"/>
          </w:tcPr>
          <w:p w:rsidR="0089227F" w:rsidRPr="006B142F" w:rsidRDefault="0089227F" w:rsidP="0089227F">
            <w:pPr>
              <w:pStyle w:val="BodyText"/>
              <w:spacing w:line="264" w:lineRule="auto"/>
              <w:rPr>
                <w:rFonts w:asciiTheme="minorHAnsi" w:hAnsiTheme="minorHAnsi" w:cs="Arial"/>
                <w:bCs/>
                <w:lang w:eastAsia="en-NZ"/>
              </w:rPr>
            </w:pPr>
            <w:r w:rsidRPr="006B142F">
              <w:rPr>
                <w:rFonts w:asciiTheme="minorHAnsi" w:hAnsiTheme="minorHAnsi" w:cs="Arial"/>
                <w:bCs/>
                <w:lang w:eastAsia="en-NZ"/>
              </w:rPr>
              <w:t>Total expenditure on distribution network</w:t>
            </w:r>
          </w:p>
        </w:tc>
        <w:tc>
          <w:tcPr>
            <w:tcW w:w="4622" w:type="dxa"/>
          </w:tcPr>
          <w:p w:rsidR="0089227F" w:rsidRPr="006B142F" w:rsidRDefault="0089227F" w:rsidP="0089227F">
            <w:pPr>
              <w:tabs>
                <w:tab w:val="left" w:pos="4045"/>
              </w:tabs>
              <w:spacing w:line="264" w:lineRule="auto"/>
              <w:rPr>
                <w:rFonts w:asciiTheme="minorHAnsi" w:hAnsiTheme="minorHAnsi" w:cs="Arial"/>
                <w:lang w:eastAsia="en-NZ"/>
              </w:rPr>
            </w:pPr>
            <w:r w:rsidRPr="006B142F">
              <w:rPr>
                <w:rFonts w:asciiTheme="minorHAnsi" w:hAnsiTheme="minorHAnsi" w:cs="Arial"/>
                <w:lang w:eastAsia="en-NZ"/>
              </w:rPr>
              <w:t xml:space="preserve">means the sum of gross </w:t>
            </w:r>
            <w:r w:rsidRPr="006B142F">
              <w:rPr>
                <w:rFonts w:asciiTheme="minorHAnsi" w:hAnsiTheme="minorHAnsi" w:cs="Arial"/>
                <w:bCs/>
                <w:lang w:eastAsia="en-NZ"/>
              </w:rPr>
              <w:t>capital expenditure on distribution network</w:t>
            </w:r>
            <w:r w:rsidRPr="006B142F">
              <w:rPr>
                <w:rFonts w:asciiTheme="minorHAnsi" w:hAnsiTheme="minorHAnsi" w:cs="Arial"/>
                <w:lang w:eastAsia="en-NZ"/>
              </w:rPr>
              <w:t xml:space="preserve"> and o</w:t>
            </w:r>
            <w:r w:rsidRPr="006B142F">
              <w:rPr>
                <w:rFonts w:asciiTheme="minorHAnsi" w:hAnsiTheme="minorHAnsi" w:cs="Arial"/>
                <w:bCs/>
                <w:lang w:eastAsia="en-NZ"/>
              </w:rPr>
              <w:t>perational expenditure on distribution network</w:t>
            </w:r>
          </w:p>
        </w:tc>
      </w:tr>
      <w:tr w:rsidR="0089227F" w:rsidRPr="006B142F" w:rsidTr="00B20AEC">
        <w:trPr>
          <w:cantSplit/>
        </w:trPr>
        <w:tc>
          <w:tcPr>
            <w:tcW w:w="4621" w:type="dxa"/>
          </w:tcPr>
          <w:p w:rsidR="0089227F" w:rsidRPr="006B142F" w:rsidRDefault="0089227F" w:rsidP="0089227F">
            <w:pPr>
              <w:pStyle w:val="BodyText"/>
              <w:spacing w:line="264" w:lineRule="auto"/>
              <w:rPr>
                <w:rFonts w:asciiTheme="minorHAnsi" w:hAnsiTheme="minorHAnsi" w:cs="Arial"/>
                <w:bCs/>
                <w:lang w:eastAsia="en-NZ"/>
              </w:rPr>
            </w:pPr>
            <w:r w:rsidRPr="006B142F">
              <w:rPr>
                <w:rFonts w:asciiTheme="minorHAnsi" w:hAnsiTheme="minorHAnsi" w:cs="Arial"/>
                <w:bCs/>
                <w:lang w:eastAsia="en-NZ"/>
              </w:rPr>
              <w:t>Total expenditure on distribution network business</w:t>
            </w:r>
          </w:p>
        </w:tc>
        <w:tc>
          <w:tcPr>
            <w:tcW w:w="4622" w:type="dxa"/>
          </w:tcPr>
          <w:p w:rsidR="0089227F" w:rsidRPr="006B142F" w:rsidRDefault="0089227F" w:rsidP="0089227F">
            <w:pPr>
              <w:tabs>
                <w:tab w:val="left" w:pos="4045"/>
              </w:tabs>
              <w:spacing w:line="264" w:lineRule="auto"/>
              <w:rPr>
                <w:rFonts w:asciiTheme="minorHAnsi" w:hAnsiTheme="minorHAnsi" w:cs="Arial"/>
                <w:lang w:eastAsia="en-NZ"/>
              </w:rPr>
            </w:pPr>
            <w:r w:rsidRPr="006B142F">
              <w:rPr>
                <w:rFonts w:asciiTheme="minorHAnsi" w:hAnsiTheme="minorHAnsi" w:cs="Arial"/>
                <w:lang w:eastAsia="en-NZ"/>
              </w:rPr>
              <w:t xml:space="preserve">means the sum of </w:t>
            </w:r>
            <w:r w:rsidRPr="006B142F">
              <w:rPr>
                <w:rFonts w:asciiTheme="minorHAnsi" w:hAnsiTheme="minorHAnsi" w:cs="Arial"/>
                <w:bCs/>
                <w:lang w:eastAsia="en-NZ"/>
              </w:rPr>
              <w:t>non-system fixed assets plus business support plus direct billing</w:t>
            </w:r>
          </w:p>
        </w:tc>
      </w:tr>
      <w:tr w:rsidR="0089227F" w:rsidRPr="006B142F" w:rsidTr="00B20AEC">
        <w:trPr>
          <w:cantSplit/>
        </w:trPr>
        <w:tc>
          <w:tcPr>
            <w:tcW w:w="4621" w:type="dxa"/>
          </w:tcPr>
          <w:p w:rsidR="0089227F" w:rsidRPr="006B142F" w:rsidRDefault="0089227F" w:rsidP="0089227F">
            <w:pPr>
              <w:pStyle w:val="Tablebodytext"/>
              <w:rPr>
                <w:rFonts w:asciiTheme="minorHAnsi" w:hAnsiTheme="minorHAnsi"/>
                <w:szCs w:val="24"/>
              </w:rPr>
            </w:pPr>
            <w:r w:rsidRPr="006B142F">
              <w:rPr>
                <w:rFonts w:asciiTheme="minorHAnsi" w:hAnsiTheme="minorHAnsi"/>
                <w:szCs w:val="24"/>
              </w:rPr>
              <w:t>Total gas conveyed (GJ/annum)</w:t>
            </w:r>
          </w:p>
        </w:tc>
        <w:tc>
          <w:tcPr>
            <w:tcW w:w="4622" w:type="dxa"/>
          </w:tcPr>
          <w:p w:rsidR="0089227F" w:rsidRPr="006B142F" w:rsidRDefault="0089227F" w:rsidP="0089227F">
            <w:pPr>
              <w:pStyle w:val="Tablebodytext"/>
              <w:rPr>
                <w:rFonts w:asciiTheme="minorHAnsi" w:hAnsiTheme="minorHAnsi"/>
                <w:i/>
                <w:szCs w:val="24"/>
              </w:rPr>
            </w:pPr>
            <w:r w:rsidRPr="006B142F">
              <w:rPr>
                <w:rFonts w:asciiTheme="minorHAnsi" w:hAnsiTheme="minorHAnsi"/>
                <w:szCs w:val="24"/>
              </w:rPr>
              <w:t>Means the maximum amount  of gas entering a network, or sub-network, in the disclosure year, measured in GJ</w:t>
            </w:r>
          </w:p>
        </w:tc>
      </w:tr>
      <w:tr w:rsidR="0089227F" w:rsidRPr="006B142F" w:rsidTr="00B20AEC">
        <w:trPr>
          <w:cantSplit/>
        </w:trPr>
        <w:tc>
          <w:tcPr>
            <w:tcW w:w="4621" w:type="dxa"/>
          </w:tcPr>
          <w:p w:rsidR="0089227F" w:rsidRPr="006B142F" w:rsidRDefault="0089227F" w:rsidP="0089227F">
            <w:pPr>
              <w:pStyle w:val="BodyText"/>
              <w:spacing w:line="264" w:lineRule="auto"/>
              <w:rPr>
                <w:rFonts w:asciiTheme="minorHAnsi" w:hAnsiTheme="minorHAnsi" w:cs="Arial"/>
                <w:bCs/>
                <w:lang w:eastAsia="en-NZ"/>
              </w:rPr>
            </w:pPr>
            <w:r w:rsidRPr="006B142F">
              <w:rPr>
                <w:rFonts w:asciiTheme="minorHAnsi" w:hAnsiTheme="minorHAnsi" w:cs="Arial"/>
                <w:bCs/>
                <w:lang w:eastAsia="en-NZ"/>
              </w:rPr>
              <w:t>Total opening RAB values subject to revaluations</w:t>
            </w:r>
          </w:p>
        </w:tc>
        <w:tc>
          <w:tcPr>
            <w:tcW w:w="4622" w:type="dxa"/>
          </w:tcPr>
          <w:p w:rsidR="0089227F" w:rsidRPr="006B142F" w:rsidRDefault="0089227F" w:rsidP="0089227F">
            <w:pPr>
              <w:spacing w:line="264" w:lineRule="auto"/>
              <w:rPr>
                <w:rFonts w:asciiTheme="minorHAnsi" w:hAnsiTheme="minorHAnsi" w:cs="Arial"/>
                <w:lang w:eastAsia="en-NZ"/>
              </w:rPr>
            </w:pPr>
            <w:r w:rsidRPr="006B142F">
              <w:rPr>
                <w:rFonts w:asciiTheme="minorHAnsi" w:hAnsiTheme="minorHAnsi" w:cs="Arial"/>
                <w:lang w:eastAsia="en-NZ"/>
              </w:rPr>
              <w:t>means:</w:t>
            </w:r>
          </w:p>
          <w:p w:rsidR="0089227F" w:rsidRPr="006B142F" w:rsidRDefault="0089227F" w:rsidP="0089227F">
            <w:pPr>
              <w:pStyle w:val="ListParagraph"/>
              <w:numPr>
                <w:ilvl w:val="4"/>
                <w:numId w:val="72"/>
              </w:numPr>
              <w:spacing w:line="264" w:lineRule="auto"/>
              <w:ind w:left="426" w:hanging="426"/>
              <w:rPr>
                <w:rFonts w:asciiTheme="minorHAnsi" w:hAnsiTheme="minorHAnsi" w:cs="Arial"/>
                <w:lang w:eastAsia="en-NZ"/>
              </w:rPr>
            </w:pPr>
            <w:r w:rsidRPr="006B142F">
              <w:rPr>
                <w:rFonts w:asciiTheme="minorHAnsi" w:hAnsiTheme="minorHAnsi" w:cs="Arial"/>
                <w:lang w:eastAsia="en-NZ"/>
              </w:rPr>
              <w:t xml:space="preserve">in relation to the </w:t>
            </w:r>
            <w:r w:rsidRPr="006B142F">
              <w:rPr>
                <w:rFonts w:asciiTheme="minorHAnsi" w:hAnsiTheme="minorHAnsi" w:cs="Arial"/>
                <w:bCs/>
                <w:lang w:eastAsia="en-NZ"/>
              </w:rPr>
              <w:t>unallocated RAB</w:t>
            </w:r>
            <w:r w:rsidRPr="006B142F">
              <w:rPr>
                <w:rFonts w:asciiTheme="minorHAnsi" w:hAnsiTheme="minorHAnsi" w:cs="Arial"/>
                <w:lang w:eastAsia="en-NZ"/>
              </w:rPr>
              <w:t>,</w:t>
            </w:r>
            <w:r w:rsidRPr="006B142F">
              <w:rPr>
                <w:rFonts w:asciiTheme="minorHAnsi" w:hAnsiTheme="minorHAnsi" w:cs="Arial"/>
                <w:bCs/>
                <w:lang w:eastAsia="en-NZ"/>
              </w:rPr>
              <w:t xml:space="preserve"> total opening RAB values</w:t>
            </w:r>
            <w:r w:rsidRPr="006B142F">
              <w:rPr>
                <w:rFonts w:asciiTheme="minorHAnsi" w:hAnsiTheme="minorHAnsi" w:cs="Arial"/>
                <w:lang w:eastAsia="en-NZ"/>
              </w:rPr>
              <w:t xml:space="preserve"> - </w:t>
            </w:r>
            <w:r w:rsidRPr="006B142F">
              <w:rPr>
                <w:rFonts w:asciiTheme="minorHAnsi" w:hAnsiTheme="minorHAnsi" w:cs="Arial"/>
                <w:bCs/>
                <w:lang w:eastAsia="en-NZ"/>
              </w:rPr>
              <w:t>unallocated RAB</w:t>
            </w:r>
            <w:r w:rsidRPr="006B142F">
              <w:rPr>
                <w:rFonts w:asciiTheme="minorHAnsi" w:hAnsiTheme="minorHAnsi" w:cs="Arial"/>
                <w:lang w:eastAsia="en-NZ"/>
              </w:rPr>
              <w:t xml:space="preserve"> less </w:t>
            </w:r>
            <w:r w:rsidRPr="006B142F">
              <w:rPr>
                <w:rFonts w:asciiTheme="minorHAnsi" w:hAnsiTheme="minorHAnsi" w:cs="Arial"/>
                <w:bCs/>
                <w:lang w:eastAsia="en-NZ"/>
              </w:rPr>
              <w:t>opening RAB value of fully depreciated, disposed and lost assets</w:t>
            </w:r>
            <w:r w:rsidRPr="006B142F">
              <w:rPr>
                <w:rFonts w:asciiTheme="minorHAnsi" w:hAnsiTheme="minorHAnsi" w:cs="Arial"/>
                <w:lang w:eastAsia="en-NZ"/>
              </w:rPr>
              <w:t xml:space="preserve"> - </w:t>
            </w:r>
            <w:r w:rsidRPr="006B142F">
              <w:rPr>
                <w:rFonts w:asciiTheme="minorHAnsi" w:hAnsiTheme="minorHAnsi" w:cs="Arial"/>
                <w:bCs/>
                <w:lang w:eastAsia="en-NZ"/>
              </w:rPr>
              <w:t>unallocated RAB</w:t>
            </w:r>
            <w:r w:rsidRPr="006B142F">
              <w:rPr>
                <w:rFonts w:asciiTheme="minorHAnsi" w:hAnsiTheme="minorHAnsi" w:cs="Arial"/>
                <w:lang w:eastAsia="en-NZ"/>
              </w:rPr>
              <w:t>;</w:t>
            </w:r>
          </w:p>
          <w:p w:rsidR="0089227F" w:rsidRPr="006B142F" w:rsidRDefault="0089227F" w:rsidP="0089227F">
            <w:pPr>
              <w:pStyle w:val="ListParagraph"/>
              <w:numPr>
                <w:ilvl w:val="4"/>
                <w:numId w:val="72"/>
              </w:numPr>
              <w:spacing w:line="264" w:lineRule="auto"/>
              <w:ind w:left="426" w:hanging="426"/>
              <w:rPr>
                <w:rFonts w:asciiTheme="minorHAnsi" w:hAnsiTheme="minorHAnsi" w:cs="Arial"/>
                <w:lang w:eastAsia="en-NZ"/>
              </w:rPr>
            </w:pPr>
            <w:r w:rsidRPr="006B142F">
              <w:rPr>
                <w:rFonts w:asciiTheme="minorHAnsi" w:hAnsiTheme="minorHAnsi" w:cs="Arial"/>
                <w:lang w:eastAsia="en-NZ"/>
              </w:rPr>
              <w:t xml:space="preserve">in relation to the </w:t>
            </w:r>
            <w:r w:rsidRPr="006B142F">
              <w:rPr>
                <w:rFonts w:asciiTheme="minorHAnsi" w:hAnsiTheme="minorHAnsi" w:cs="Arial"/>
                <w:bCs/>
                <w:lang w:eastAsia="en-NZ"/>
              </w:rPr>
              <w:t>RAB</w:t>
            </w:r>
            <w:r w:rsidRPr="006B142F">
              <w:rPr>
                <w:rFonts w:asciiTheme="minorHAnsi" w:hAnsiTheme="minorHAnsi" w:cs="Arial"/>
                <w:lang w:eastAsia="en-NZ"/>
              </w:rPr>
              <w:t xml:space="preserve">, </w:t>
            </w:r>
            <w:r w:rsidRPr="006B142F">
              <w:rPr>
                <w:rFonts w:asciiTheme="minorHAnsi" w:hAnsiTheme="minorHAnsi" w:cs="Arial"/>
                <w:bCs/>
                <w:lang w:eastAsia="en-NZ"/>
              </w:rPr>
              <w:t>total opening RAB values</w:t>
            </w:r>
            <w:r w:rsidRPr="006B142F">
              <w:rPr>
                <w:rFonts w:asciiTheme="minorHAnsi" w:hAnsiTheme="minorHAnsi" w:cs="Arial"/>
                <w:lang w:eastAsia="en-NZ"/>
              </w:rPr>
              <w:t xml:space="preserve"> - </w:t>
            </w:r>
            <w:r w:rsidRPr="006B142F">
              <w:rPr>
                <w:rFonts w:asciiTheme="minorHAnsi" w:hAnsiTheme="minorHAnsi" w:cs="Arial"/>
                <w:bCs/>
                <w:lang w:eastAsia="en-NZ"/>
              </w:rPr>
              <w:t>RAB</w:t>
            </w:r>
            <w:r w:rsidRPr="006B142F">
              <w:rPr>
                <w:rFonts w:asciiTheme="minorHAnsi" w:hAnsiTheme="minorHAnsi" w:cs="Arial"/>
                <w:lang w:eastAsia="en-NZ"/>
              </w:rPr>
              <w:t xml:space="preserve"> less </w:t>
            </w:r>
            <w:r w:rsidRPr="006B142F">
              <w:rPr>
                <w:rFonts w:asciiTheme="minorHAnsi" w:hAnsiTheme="minorHAnsi" w:cs="Arial"/>
                <w:bCs/>
                <w:lang w:eastAsia="en-NZ"/>
              </w:rPr>
              <w:t>opening RAB value of fully depreciated, disposed and lost assets</w:t>
            </w:r>
            <w:r w:rsidRPr="006B142F">
              <w:rPr>
                <w:rFonts w:asciiTheme="minorHAnsi" w:hAnsiTheme="minorHAnsi" w:cs="Arial"/>
                <w:lang w:eastAsia="en-NZ"/>
              </w:rPr>
              <w:t xml:space="preserve"> – </w:t>
            </w:r>
            <w:r w:rsidRPr="006B142F">
              <w:rPr>
                <w:rFonts w:asciiTheme="minorHAnsi" w:hAnsiTheme="minorHAnsi" w:cs="Arial"/>
                <w:bCs/>
                <w:lang w:eastAsia="en-NZ"/>
              </w:rPr>
              <w:t>RAB</w:t>
            </w:r>
          </w:p>
        </w:tc>
      </w:tr>
      <w:tr w:rsidR="0089227F" w:rsidRPr="006B142F" w:rsidTr="00B20AEC">
        <w:trPr>
          <w:cantSplit/>
        </w:trPr>
        <w:tc>
          <w:tcPr>
            <w:tcW w:w="4621" w:type="dxa"/>
          </w:tcPr>
          <w:p w:rsidR="0089227F" w:rsidRPr="006B142F" w:rsidRDefault="0089227F" w:rsidP="0089227F">
            <w:pPr>
              <w:pStyle w:val="BodyText"/>
              <w:spacing w:line="264" w:lineRule="auto"/>
              <w:rPr>
                <w:rFonts w:asciiTheme="minorHAnsi" w:hAnsiTheme="minorHAnsi"/>
                <w:bCs/>
              </w:rPr>
            </w:pPr>
            <w:r w:rsidRPr="006B142F">
              <w:rPr>
                <w:rFonts w:asciiTheme="minorHAnsi" w:hAnsiTheme="minorHAnsi"/>
                <w:bCs/>
              </w:rPr>
              <w:t>Total unadjusted asset values</w:t>
            </w:r>
          </w:p>
        </w:tc>
        <w:tc>
          <w:tcPr>
            <w:tcW w:w="4622" w:type="dxa"/>
          </w:tcPr>
          <w:p w:rsidR="0089227F" w:rsidRPr="006B142F" w:rsidRDefault="0089227F" w:rsidP="0089227F">
            <w:pPr>
              <w:tabs>
                <w:tab w:val="left" w:pos="4045"/>
              </w:tabs>
              <w:spacing w:line="264" w:lineRule="auto"/>
              <w:ind w:left="34"/>
              <w:rPr>
                <w:rFonts w:asciiTheme="minorHAnsi" w:hAnsiTheme="minorHAnsi"/>
              </w:rPr>
            </w:pPr>
            <w:r w:rsidRPr="006B142F">
              <w:rPr>
                <w:rFonts w:asciiTheme="minorHAnsi" w:hAnsiTheme="minorHAnsi"/>
              </w:rPr>
              <w:t>means the sum of 2009 authorisation assets and 2009 disclosed assets</w:t>
            </w:r>
          </w:p>
        </w:tc>
      </w:tr>
      <w:tr w:rsidR="0089227F" w:rsidRPr="006B142F" w:rsidTr="00B20AEC">
        <w:trPr>
          <w:cantSplit/>
        </w:trPr>
        <w:tc>
          <w:tcPr>
            <w:tcW w:w="4621" w:type="dxa"/>
          </w:tcPr>
          <w:p w:rsidR="0089227F" w:rsidRPr="006B142F" w:rsidRDefault="0089227F" w:rsidP="0089227F">
            <w:pPr>
              <w:pStyle w:val="BodyText"/>
              <w:spacing w:line="264" w:lineRule="auto"/>
              <w:rPr>
                <w:rFonts w:asciiTheme="minorHAnsi" w:hAnsiTheme="minorHAnsi"/>
                <w:bCs/>
              </w:rPr>
            </w:pPr>
            <w:r w:rsidRPr="006B142F">
              <w:rPr>
                <w:rFonts w:asciiTheme="minorHAnsi" w:hAnsiTheme="minorHAnsi"/>
                <w:bCs/>
              </w:rPr>
              <w:t>Transmission system</w:t>
            </w:r>
          </w:p>
        </w:tc>
        <w:tc>
          <w:tcPr>
            <w:tcW w:w="4622" w:type="dxa"/>
          </w:tcPr>
          <w:p w:rsidR="0089227F" w:rsidRPr="006B142F" w:rsidRDefault="0089227F" w:rsidP="0089227F">
            <w:pPr>
              <w:tabs>
                <w:tab w:val="left" w:pos="4045"/>
              </w:tabs>
              <w:spacing w:line="264" w:lineRule="auto"/>
              <w:ind w:left="34"/>
              <w:rPr>
                <w:rFonts w:asciiTheme="minorHAnsi" w:hAnsiTheme="minorHAnsi"/>
              </w:rPr>
            </w:pPr>
            <w:r w:rsidRPr="006B142F">
              <w:rPr>
                <w:rFonts w:asciiTheme="minorHAnsi" w:hAnsiTheme="minorHAnsi"/>
              </w:rPr>
              <w:t>means that part of the system that conveys gas from the point where the gas leaves a gas processing facility to the boundary of the gasworks or gate station outlet flange supplying gas-</w:t>
            </w:r>
          </w:p>
          <w:p w:rsidR="0089227F" w:rsidRPr="006B142F" w:rsidRDefault="0089227F" w:rsidP="0089227F">
            <w:pPr>
              <w:pStyle w:val="ListParagraph"/>
              <w:numPr>
                <w:ilvl w:val="3"/>
                <w:numId w:val="71"/>
              </w:numPr>
              <w:tabs>
                <w:tab w:val="clear" w:pos="2880"/>
                <w:tab w:val="num" w:pos="459"/>
                <w:tab w:val="left" w:pos="4045"/>
              </w:tabs>
              <w:spacing w:line="264" w:lineRule="auto"/>
              <w:ind w:left="459" w:hanging="425"/>
              <w:rPr>
                <w:rFonts w:asciiTheme="minorHAnsi" w:hAnsiTheme="minorHAnsi"/>
              </w:rPr>
            </w:pPr>
            <w:r w:rsidRPr="006B142F">
              <w:rPr>
                <w:rFonts w:asciiTheme="minorHAnsi" w:hAnsiTheme="minorHAnsi"/>
              </w:rPr>
              <w:t>for distribution; or</w:t>
            </w:r>
          </w:p>
          <w:p w:rsidR="0089227F" w:rsidRPr="006B142F" w:rsidRDefault="0089227F" w:rsidP="0089227F">
            <w:pPr>
              <w:pStyle w:val="ListParagraph"/>
              <w:numPr>
                <w:ilvl w:val="3"/>
                <w:numId w:val="71"/>
              </w:numPr>
              <w:tabs>
                <w:tab w:val="clear" w:pos="2880"/>
                <w:tab w:val="num" w:pos="459"/>
                <w:tab w:val="left" w:pos="4045"/>
              </w:tabs>
              <w:spacing w:line="264" w:lineRule="auto"/>
              <w:ind w:left="459" w:hanging="425"/>
              <w:rPr>
                <w:rFonts w:asciiTheme="minorHAnsi" w:hAnsiTheme="minorHAnsi"/>
              </w:rPr>
            </w:pPr>
            <w:r w:rsidRPr="006B142F">
              <w:rPr>
                <w:rFonts w:asciiTheme="minorHAnsi" w:hAnsiTheme="minorHAnsi"/>
              </w:rPr>
              <w:t>to a gas customer, where the gas does not enter a distribution system</w:t>
            </w:r>
          </w:p>
        </w:tc>
      </w:tr>
      <w:tr w:rsidR="0089227F" w:rsidRPr="006B142F" w:rsidTr="00B20AEC">
        <w:trPr>
          <w:cantSplit/>
        </w:trPr>
        <w:tc>
          <w:tcPr>
            <w:tcW w:w="4621" w:type="dxa"/>
          </w:tcPr>
          <w:p w:rsidR="0089227F" w:rsidRPr="006B142F" w:rsidRDefault="0089227F" w:rsidP="0089227F">
            <w:pPr>
              <w:pStyle w:val="BodyText"/>
              <w:spacing w:line="264" w:lineRule="auto"/>
              <w:rPr>
                <w:rFonts w:asciiTheme="minorHAnsi" w:hAnsiTheme="minorHAnsi" w:cs="Arial"/>
                <w:bCs/>
                <w:lang w:eastAsia="en-NZ"/>
              </w:rPr>
            </w:pPr>
            <w:r w:rsidRPr="006B142F">
              <w:rPr>
                <w:rFonts w:asciiTheme="minorHAnsi" w:hAnsiTheme="minorHAnsi" w:cs="Arial"/>
                <w:bCs/>
                <w:lang w:eastAsia="en-NZ"/>
              </w:rPr>
              <w:t>Unallocated 2009 modified asset values</w:t>
            </w:r>
          </w:p>
        </w:tc>
        <w:tc>
          <w:tcPr>
            <w:tcW w:w="4622" w:type="dxa"/>
          </w:tcPr>
          <w:p w:rsidR="0089227F" w:rsidRPr="006B142F" w:rsidRDefault="0089227F" w:rsidP="0089227F">
            <w:pPr>
              <w:tabs>
                <w:tab w:val="left" w:pos="4045"/>
              </w:tabs>
              <w:spacing w:line="264" w:lineRule="auto"/>
              <w:rPr>
                <w:rFonts w:asciiTheme="minorHAnsi" w:hAnsiTheme="minorHAnsi" w:cs="Arial"/>
                <w:lang w:eastAsia="en-NZ"/>
              </w:rPr>
            </w:pPr>
            <w:r w:rsidRPr="006B142F">
              <w:rPr>
                <w:rFonts w:asciiTheme="minorHAnsi" w:hAnsiTheme="minorHAnsi" w:cs="Arial"/>
                <w:lang w:eastAsia="en-NZ"/>
              </w:rPr>
              <w:t xml:space="preserve">means the value of the </w:t>
            </w:r>
            <w:r w:rsidRPr="006B142F">
              <w:rPr>
                <w:rFonts w:asciiTheme="minorHAnsi" w:hAnsiTheme="minorHAnsi" w:cs="Arial"/>
                <w:bCs/>
                <w:lang w:eastAsia="en-NZ"/>
              </w:rPr>
              <w:t xml:space="preserve">2009 modified asset values </w:t>
            </w:r>
            <w:r w:rsidRPr="006B142F">
              <w:rPr>
                <w:rFonts w:asciiTheme="minorHAnsi" w:hAnsiTheme="minorHAnsi" w:cs="Arial"/>
                <w:lang w:eastAsia="en-NZ"/>
              </w:rPr>
              <w:t>before any allocation of asset value relevant to the regulatory disclosures been undertaken</w:t>
            </w:r>
          </w:p>
        </w:tc>
      </w:tr>
      <w:tr w:rsidR="0089227F" w:rsidRPr="006B142F" w:rsidTr="00B20AEC">
        <w:trPr>
          <w:cantSplit/>
        </w:trPr>
        <w:tc>
          <w:tcPr>
            <w:tcW w:w="4621" w:type="dxa"/>
          </w:tcPr>
          <w:p w:rsidR="0089227F" w:rsidRPr="006B142F" w:rsidRDefault="0089227F" w:rsidP="0089227F">
            <w:pPr>
              <w:pStyle w:val="BodyText"/>
              <w:spacing w:line="264" w:lineRule="auto"/>
              <w:rPr>
                <w:rFonts w:asciiTheme="minorHAnsi" w:hAnsiTheme="minorHAnsi" w:cs="Arial"/>
                <w:bCs/>
                <w:lang w:eastAsia="en-NZ"/>
              </w:rPr>
            </w:pPr>
            <w:r w:rsidRPr="006B142F">
              <w:rPr>
                <w:rFonts w:asciiTheme="minorHAnsi" w:hAnsiTheme="minorHAnsi" w:cs="Arial"/>
                <w:bCs/>
                <w:lang w:eastAsia="en-NZ"/>
              </w:rPr>
              <w:t>Unallocated initial RAB value</w:t>
            </w:r>
          </w:p>
        </w:tc>
        <w:tc>
          <w:tcPr>
            <w:tcW w:w="4622" w:type="dxa"/>
          </w:tcPr>
          <w:p w:rsidR="0089227F" w:rsidRPr="006B142F" w:rsidRDefault="0089227F" w:rsidP="0089227F">
            <w:pPr>
              <w:tabs>
                <w:tab w:val="left" w:pos="4045"/>
              </w:tabs>
              <w:spacing w:line="264" w:lineRule="auto"/>
              <w:rPr>
                <w:rFonts w:asciiTheme="minorHAnsi" w:hAnsiTheme="minorHAnsi" w:cs="Arial"/>
                <w:lang w:eastAsia="en-NZ"/>
              </w:rPr>
            </w:pPr>
            <w:r w:rsidRPr="006B142F">
              <w:rPr>
                <w:rFonts w:asciiTheme="minorHAnsi" w:hAnsiTheme="minorHAnsi" w:cs="Arial"/>
                <w:lang w:eastAsia="en-NZ"/>
              </w:rPr>
              <w:t>means the values of assets as determined in accordance with clause 2.2.3(1) of the</w:t>
            </w:r>
            <w:r w:rsidRPr="006B142F">
              <w:rPr>
                <w:rFonts w:asciiTheme="minorHAnsi" w:hAnsiTheme="minorHAnsi" w:cs="Arial"/>
                <w:bCs/>
                <w:lang w:eastAsia="en-NZ"/>
              </w:rPr>
              <w:t xml:space="preserve"> IM determination</w:t>
            </w:r>
          </w:p>
        </w:tc>
      </w:tr>
      <w:tr w:rsidR="0089227F" w:rsidRPr="006B142F" w:rsidTr="00B20AEC">
        <w:trPr>
          <w:cantSplit/>
        </w:trPr>
        <w:tc>
          <w:tcPr>
            <w:tcW w:w="4621" w:type="dxa"/>
          </w:tcPr>
          <w:p w:rsidR="0089227F" w:rsidRPr="006B142F" w:rsidRDefault="0089227F" w:rsidP="0089227F">
            <w:pPr>
              <w:pStyle w:val="BodyText"/>
              <w:spacing w:line="264" w:lineRule="auto"/>
              <w:rPr>
                <w:rFonts w:asciiTheme="minorHAnsi" w:hAnsiTheme="minorHAnsi" w:cs="Arial"/>
                <w:bCs/>
                <w:lang w:eastAsia="en-NZ"/>
              </w:rPr>
            </w:pPr>
            <w:r w:rsidRPr="006B142F">
              <w:rPr>
                <w:rFonts w:asciiTheme="minorHAnsi" w:hAnsiTheme="minorHAnsi" w:cs="Arial"/>
                <w:bCs/>
                <w:lang w:eastAsia="en-NZ"/>
              </w:rPr>
              <w:t>Unallocated works under construction</w:t>
            </w:r>
          </w:p>
        </w:tc>
        <w:tc>
          <w:tcPr>
            <w:tcW w:w="4622" w:type="dxa"/>
          </w:tcPr>
          <w:p w:rsidR="0089227F" w:rsidRPr="006B142F" w:rsidRDefault="0089227F" w:rsidP="0089227F">
            <w:pPr>
              <w:tabs>
                <w:tab w:val="left" w:pos="4045"/>
              </w:tabs>
              <w:spacing w:line="264" w:lineRule="auto"/>
              <w:rPr>
                <w:rFonts w:asciiTheme="minorHAnsi" w:hAnsiTheme="minorHAnsi" w:cs="Arial"/>
                <w:lang w:eastAsia="en-NZ"/>
              </w:rPr>
            </w:pPr>
            <w:r w:rsidRPr="006B142F">
              <w:rPr>
                <w:rFonts w:asciiTheme="minorHAnsi" w:hAnsiTheme="minorHAnsi" w:cs="Arial"/>
                <w:lang w:eastAsia="en-NZ"/>
              </w:rPr>
              <w:t>means for the components of the works under construction roll-forward, the works under construction values before the application of clause 2.1.1 of the IM determination</w:t>
            </w:r>
          </w:p>
        </w:tc>
      </w:tr>
      <w:tr w:rsidR="0089227F" w:rsidRPr="006B142F" w:rsidTr="00B20AEC">
        <w:trPr>
          <w:cantSplit/>
        </w:trPr>
        <w:tc>
          <w:tcPr>
            <w:tcW w:w="4621" w:type="dxa"/>
          </w:tcPr>
          <w:p w:rsidR="0089227F" w:rsidRPr="006B142F" w:rsidRDefault="0089227F" w:rsidP="0089227F">
            <w:pPr>
              <w:pStyle w:val="BodyText"/>
              <w:spacing w:line="264" w:lineRule="auto"/>
              <w:rPr>
                <w:rFonts w:asciiTheme="minorHAnsi" w:hAnsiTheme="minorHAnsi" w:cs="Arial"/>
                <w:bCs/>
                <w:lang w:eastAsia="en-NZ"/>
              </w:rPr>
            </w:pPr>
            <w:r w:rsidRPr="006B142F">
              <w:rPr>
                <w:rFonts w:asciiTheme="minorHAnsi" w:hAnsiTheme="minorHAnsi" w:cs="Arial"/>
                <w:bCs/>
                <w:lang w:eastAsia="en-NZ"/>
              </w:rPr>
              <w:t>Unregulated services</w:t>
            </w:r>
          </w:p>
        </w:tc>
        <w:tc>
          <w:tcPr>
            <w:tcW w:w="4622" w:type="dxa"/>
          </w:tcPr>
          <w:p w:rsidR="0089227F" w:rsidRPr="006B142F" w:rsidRDefault="0089227F" w:rsidP="0089227F">
            <w:pPr>
              <w:tabs>
                <w:tab w:val="left" w:pos="4045"/>
              </w:tabs>
              <w:spacing w:line="264" w:lineRule="auto"/>
              <w:rPr>
                <w:rFonts w:asciiTheme="minorHAnsi" w:hAnsiTheme="minorHAnsi" w:cs="Arial"/>
                <w:lang w:eastAsia="en-NZ"/>
              </w:rPr>
            </w:pPr>
            <w:r w:rsidRPr="006B142F">
              <w:rPr>
                <w:rFonts w:asciiTheme="minorHAnsi" w:hAnsiTheme="minorHAnsi" w:cs="Arial"/>
                <w:lang w:eastAsia="en-NZ"/>
              </w:rPr>
              <w:t xml:space="preserve">has the meaning set out in the </w:t>
            </w:r>
            <w:r w:rsidRPr="006B142F">
              <w:rPr>
                <w:rFonts w:asciiTheme="minorHAnsi" w:hAnsiTheme="minorHAnsi" w:cs="Arial"/>
                <w:bCs/>
                <w:lang w:eastAsia="en-NZ"/>
              </w:rPr>
              <w:t>IM determination</w:t>
            </w:r>
          </w:p>
        </w:tc>
      </w:tr>
      <w:tr w:rsidR="0089227F" w:rsidRPr="006B142F" w:rsidTr="00B20AEC">
        <w:trPr>
          <w:cantSplit/>
        </w:trPr>
        <w:tc>
          <w:tcPr>
            <w:tcW w:w="4621" w:type="dxa"/>
          </w:tcPr>
          <w:p w:rsidR="0089227F" w:rsidRPr="006B142F" w:rsidRDefault="0089227F" w:rsidP="0089227F">
            <w:pPr>
              <w:pStyle w:val="BodyText"/>
              <w:spacing w:line="264" w:lineRule="auto"/>
              <w:rPr>
                <w:rFonts w:asciiTheme="minorHAnsi" w:hAnsiTheme="minorHAnsi" w:cs="Arial"/>
                <w:bCs/>
                <w:lang w:eastAsia="en-NZ"/>
              </w:rPr>
            </w:pPr>
            <w:r w:rsidRPr="006B142F">
              <w:rPr>
                <w:rFonts w:asciiTheme="minorHAnsi" w:hAnsiTheme="minorHAnsi" w:cs="Arial"/>
                <w:bCs/>
                <w:lang w:eastAsia="en-NZ"/>
              </w:rPr>
              <w:t>Utilised tax losses</w:t>
            </w:r>
          </w:p>
        </w:tc>
        <w:tc>
          <w:tcPr>
            <w:tcW w:w="4622" w:type="dxa"/>
          </w:tcPr>
          <w:p w:rsidR="0089227F" w:rsidRPr="006B142F" w:rsidRDefault="0089227F" w:rsidP="0089227F">
            <w:pPr>
              <w:tabs>
                <w:tab w:val="left" w:pos="4045"/>
              </w:tabs>
              <w:spacing w:line="264" w:lineRule="auto"/>
              <w:rPr>
                <w:rFonts w:asciiTheme="minorHAnsi" w:hAnsiTheme="minorHAnsi" w:cs="Arial"/>
                <w:lang w:eastAsia="en-NZ"/>
              </w:rPr>
            </w:pPr>
            <w:r w:rsidRPr="006B142F">
              <w:rPr>
                <w:rFonts w:asciiTheme="minorHAnsi" w:hAnsiTheme="minorHAnsi" w:cs="Arial"/>
                <w:lang w:eastAsia="en-NZ"/>
              </w:rPr>
              <w:t xml:space="preserve">has the meaning set out in paragraph (a) of the defined term in the </w:t>
            </w:r>
            <w:r w:rsidRPr="006B142F">
              <w:rPr>
                <w:rFonts w:asciiTheme="minorHAnsi" w:hAnsiTheme="minorHAnsi" w:cs="Arial"/>
                <w:bCs/>
                <w:lang w:eastAsia="en-NZ"/>
              </w:rPr>
              <w:t>IM determination</w:t>
            </w:r>
          </w:p>
        </w:tc>
      </w:tr>
      <w:tr w:rsidR="0089227F" w:rsidRPr="006B142F" w:rsidTr="00B20AEC">
        <w:trPr>
          <w:cantSplit/>
        </w:trPr>
        <w:tc>
          <w:tcPr>
            <w:tcW w:w="4621" w:type="dxa"/>
          </w:tcPr>
          <w:p w:rsidR="0089227F" w:rsidRPr="006B142F" w:rsidRDefault="0089227F" w:rsidP="0089227F">
            <w:pPr>
              <w:rPr>
                <w:rFonts w:asciiTheme="minorHAnsi" w:hAnsiTheme="minorHAnsi"/>
                <w:color w:val="000000"/>
                <w:lang w:val="en-AU"/>
              </w:rPr>
            </w:pPr>
            <w:r w:rsidRPr="006B142F">
              <w:rPr>
                <w:rFonts w:asciiTheme="minorHAnsi" w:hAnsiTheme="minorHAnsi"/>
                <w:color w:val="000000"/>
                <w:lang w:val="en-AU"/>
              </w:rPr>
              <w:t>Value of Commissioned assets</w:t>
            </w:r>
          </w:p>
        </w:tc>
        <w:tc>
          <w:tcPr>
            <w:tcW w:w="4622" w:type="dxa"/>
          </w:tcPr>
          <w:p w:rsidR="0089227F" w:rsidRPr="006B142F" w:rsidRDefault="0089227F" w:rsidP="0089227F">
            <w:pPr>
              <w:pStyle w:val="BodyText"/>
              <w:rPr>
                <w:rFonts w:asciiTheme="minorHAnsi" w:hAnsiTheme="minorHAnsi"/>
                <w:lang w:val="en-AU"/>
              </w:rPr>
            </w:pPr>
            <w:proofErr w:type="gramStart"/>
            <w:r w:rsidRPr="006B142F">
              <w:rPr>
                <w:rFonts w:asciiTheme="minorHAnsi" w:hAnsiTheme="minorHAnsi" w:cs="Arial"/>
                <w:lang w:eastAsia="en-NZ"/>
              </w:rPr>
              <w:t>has</w:t>
            </w:r>
            <w:proofErr w:type="gramEnd"/>
            <w:r w:rsidRPr="006B142F">
              <w:rPr>
                <w:rFonts w:asciiTheme="minorHAnsi" w:hAnsiTheme="minorHAnsi" w:cs="Arial"/>
                <w:lang w:eastAsia="en-NZ"/>
              </w:rPr>
              <w:t xml:space="preserve"> the meaning set out in the</w:t>
            </w:r>
            <w:r w:rsidRPr="006B142F">
              <w:rPr>
                <w:rFonts w:asciiTheme="minorHAnsi" w:hAnsiTheme="minorHAnsi" w:cs="Arial"/>
                <w:bCs/>
                <w:lang w:eastAsia="en-NZ"/>
              </w:rPr>
              <w:t xml:space="preserve"> IM determination.</w:t>
            </w:r>
          </w:p>
        </w:tc>
      </w:tr>
      <w:tr w:rsidR="0089227F" w:rsidRPr="006B142F" w:rsidTr="00B20AEC">
        <w:trPr>
          <w:cantSplit/>
        </w:trPr>
        <w:tc>
          <w:tcPr>
            <w:tcW w:w="4621" w:type="dxa"/>
          </w:tcPr>
          <w:p w:rsidR="0089227F" w:rsidRPr="006B142F" w:rsidRDefault="0089227F" w:rsidP="0089227F">
            <w:pPr>
              <w:pStyle w:val="BodyText"/>
              <w:spacing w:line="264" w:lineRule="auto"/>
              <w:rPr>
                <w:rFonts w:asciiTheme="minorHAnsi" w:hAnsiTheme="minorHAnsi" w:cs="Arial"/>
                <w:bCs/>
                <w:lang w:eastAsia="en-NZ"/>
              </w:rPr>
            </w:pPr>
            <w:r w:rsidRPr="006B142F">
              <w:rPr>
                <w:rFonts w:asciiTheme="minorHAnsi" w:hAnsiTheme="minorHAnsi" w:cs="Arial"/>
                <w:bCs/>
                <w:lang w:eastAsia="en-NZ"/>
              </w:rPr>
              <w:t>Value of transaction</w:t>
            </w:r>
          </w:p>
        </w:tc>
        <w:tc>
          <w:tcPr>
            <w:tcW w:w="4622" w:type="dxa"/>
          </w:tcPr>
          <w:p w:rsidR="0089227F" w:rsidRPr="006B142F" w:rsidRDefault="0089227F" w:rsidP="0089227F">
            <w:pPr>
              <w:tabs>
                <w:tab w:val="left" w:pos="4045"/>
              </w:tabs>
              <w:spacing w:line="264" w:lineRule="auto"/>
              <w:rPr>
                <w:rFonts w:asciiTheme="minorHAnsi" w:hAnsiTheme="minorHAnsi"/>
              </w:rPr>
            </w:pPr>
            <w:r w:rsidRPr="006B142F">
              <w:rPr>
                <w:rFonts w:asciiTheme="minorHAnsi" w:hAnsiTheme="minorHAnsi" w:cs="Arial"/>
                <w:lang w:eastAsia="en-NZ"/>
              </w:rPr>
              <w:t>means the value of the related party transaction as determined in accordance with clause 5 of section 2.3 of this determination</w:t>
            </w:r>
          </w:p>
        </w:tc>
      </w:tr>
      <w:tr w:rsidR="0089227F" w:rsidRPr="006B142F" w:rsidTr="00B20AEC">
        <w:trPr>
          <w:cantSplit/>
        </w:trPr>
        <w:tc>
          <w:tcPr>
            <w:tcW w:w="4621" w:type="dxa"/>
          </w:tcPr>
          <w:p w:rsidR="0089227F" w:rsidRPr="006B142F" w:rsidRDefault="0089227F" w:rsidP="0089227F">
            <w:pPr>
              <w:pStyle w:val="BodyText"/>
              <w:spacing w:line="264" w:lineRule="auto"/>
              <w:rPr>
                <w:rFonts w:asciiTheme="minorHAnsi" w:hAnsiTheme="minorHAnsi" w:cs="Arial"/>
                <w:bCs/>
                <w:lang w:eastAsia="en-NZ"/>
              </w:rPr>
            </w:pPr>
            <w:r w:rsidRPr="006B142F">
              <w:rPr>
                <w:rFonts w:asciiTheme="minorHAnsi" w:hAnsiTheme="minorHAnsi" w:cs="Arial"/>
                <w:bCs/>
                <w:lang w:eastAsia="en-NZ"/>
              </w:rPr>
              <w:t>Weighted average expected total asset life</w:t>
            </w:r>
          </w:p>
        </w:tc>
        <w:tc>
          <w:tcPr>
            <w:tcW w:w="4622" w:type="dxa"/>
          </w:tcPr>
          <w:p w:rsidR="0089227F" w:rsidRPr="006B142F" w:rsidRDefault="0089227F" w:rsidP="0089227F">
            <w:pPr>
              <w:tabs>
                <w:tab w:val="left" w:pos="4045"/>
              </w:tabs>
              <w:spacing w:line="264" w:lineRule="auto"/>
              <w:rPr>
                <w:rFonts w:asciiTheme="minorHAnsi" w:hAnsiTheme="minorHAnsi"/>
              </w:rPr>
            </w:pPr>
            <w:r w:rsidRPr="006B142F">
              <w:rPr>
                <w:rFonts w:asciiTheme="minorHAnsi" w:hAnsiTheme="minorHAnsi"/>
              </w:rPr>
              <w:t>means the weighted average expected total asset life of assets calculated by using the opening RAB values as weights where opening RAB value has the meaning set out in the IM Determination</w:t>
            </w:r>
          </w:p>
        </w:tc>
      </w:tr>
      <w:tr w:rsidR="0089227F" w:rsidRPr="006B142F" w:rsidTr="00B20AEC">
        <w:trPr>
          <w:cantSplit/>
        </w:trPr>
        <w:tc>
          <w:tcPr>
            <w:tcW w:w="4621" w:type="dxa"/>
          </w:tcPr>
          <w:p w:rsidR="0089227F" w:rsidRPr="006B142F" w:rsidRDefault="0089227F" w:rsidP="0089227F">
            <w:pPr>
              <w:pStyle w:val="Tablebodytext"/>
              <w:rPr>
                <w:rFonts w:asciiTheme="minorHAnsi" w:hAnsiTheme="minorHAnsi"/>
                <w:szCs w:val="24"/>
              </w:rPr>
            </w:pPr>
            <w:r w:rsidRPr="006B142F">
              <w:rPr>
                <w:rFonts w:asciiTheme="minorHAnsi" w:hAnsiTheme="minorHAnsi"/>
                <w:color w:val="000000"/>
                <w:szCs w:val="24"/>
                <w:lang w:val="en-AU"/>
              </w:rPr>
              <w:t>Weighted average pipe diameter (mm)</w:t>
            </w:r>
          </w:p>
        </w:tc>
        <w:tc>
          <w:tcPr>
            <w:tcW w:w="4622" w:type="dxa"/>
          </w:tcPr>
          <w:p w:rsidR="0089227F" w:rsidRPr="006B142F" w:rsidRDefault="0089227F" w:rsidP="0089227F">
            <w:pPr>
              <w:pStyle w:val="Tablebodytext"/>
              <w:rPr>
                <w:rFonts w:asciiTheme="minorHAnsi" w:hAnsiTheme="minorHAnsi"/>
                <w:szCs w:val="24"/>
              </w:rPr>
            </w:pPr>
            <w:r w:rsidRPr="006B142F">
              <w:rPr>
                <w:rFonts w:asciiTheme="minorHAnsi" w:hAnsiTheme="minorHAnsi"/>
                <w:szCs w:val="24"/>
                <w:lang w:val="en-AU"/>
              </w:rPr>
              <w:t>The weighted average pipe diameter, expressed in millimetres, based on the length of pipeline that form the network</w:t>
            </w:r>
          </w:p>
        </w:tc>
      </w:tr>
      <w:tr w:rsidR="0089227F" w:rsidRPr="006B142F" w:rsidTr="00B20AEC">
        <w:trPr>
          <w:cantSplit/>
        </w:trPr>
        <w:tc>
          <w:tcPr>
            <w:tcW w:w="4621" w:type="dxa"/>
          </w:tcPr>
          <w:p w:rsidR="0089227F" w:rsidRPr="006B142F" w:rsidRDefault="0089227F" w:rsidP="0089227F">
            <w:pPr>
              <w:pStyle w:val="BodyText"/>
              <w:spacing w:line="264" w:lineRule="auto"/>
              <w:rPr>
                <w:rFonts w:asciiTheme="minorHAnsi" w:hAnsiTheme="minorHAnsi" w:cs="Arial"/>
                <w:bCs/>
                <w:lang w:eastAsia="en-NZ"/>
              </w:rPr>
            </w:pPr>
            <w:r w:rsidRPr="006B142F">
              <w:rPr>
                <w:rFonts w:asciiTheme="minorHAnsi" w:hAnsiTheme="minorHAnsi" w:cs="Arial"/>
                <w:bCs/>
                <w:lang w:eastAsia="en-NZ"/>
              </w:rPr>
              <w:t xml:space="preserve">Weighted average remaining asset life </w:t>
            </w:r>
          </w:p>
        </w:tc>
        <w:tc>
          <w:tcPr>
            <w:tcW w:w="4622" w:type="dxa"/>
          </w:tcPr>
          <w:p w:rsidR="0089227F" w:rsidRPr="006B142F" w:rsidRDefault="0089227F" w:rsidP="0089227F">
            <w:pPr>
              <w:tabs>
                <w:tab w:val="left" w:pos="4045"/>
              </w:tabs>
              <w:spacing w:line="264" w:lineRule="auto"/>
              <w:rPr>
                <w:rFonts w:asciiTheme="minorHAnsi" w:hAnsiTheme="minorHAnsi" w:cs="Arial"/>
                <w:lang w:eastAsia="en-NZ"/>
              </w:rPr>
            </w:pPr>
            <w:r w:rsidRPr="006B142F">
              <w:rPr>
                <w:rFonts w:asciiTheme="minorHAnsi" w:hAnsiTheme="minorHAnsi"/>
              </w:rPr>
              <w:t xml:space="preserve">means the weighted average </w:t>
            </w:r>
            <w:r w:rsidRPr="006B142F">
              <w:rPr>
                <w:rFonts w:asciiTheme="minorHAnsi" w:hAnsiTheme="minorHAnsi"/>
                <w:bCs/>
              </w:rPr>
              <w:t>remaining asset life</w:t>
            </w:r>
            <w:r w:rsidRPr="006B142F">
              <w:rPr>
                <w:rFonts w:asciiTheme="minorHAnsi" w:hAnsiTheme="minorHAnsi"/>
              </w:rPr>
              <w:t xml:space="preserve"> of assets calculated by using the </w:t>
            </w:r>
            <w:r w:rsidRPr="006B142F">
              <w:rPr>
                <w:rFonts w:asciiTheme="minorHAnsi" w:hAnsiTheme="minorHAnsi"/>
                <w:bCs/>
              </w:rPr>
              <w:t xml:space="preserve">opening RAB values </w:t>
            </w:r>
            <w:r w:rsidRPr="006B142F">
              <w:rPr>
                <w:rFonts w:asciiTheme="minorHAnsi" w:hAnsiTheme="minorHAnsi"/>
              </w:rPr>
              <w:t>as weights where remaining asset life and opening RAB values has the meaning set out in the IM Determination</w:t>
            </w:r>
          </w:p>
        </w:tc>
      </w:tr>
      <w:tr w:rsidR="0089227F" w:rsidRPr="006B142F" w:rsidTr="00B20AEC">
        <w:trPr>
          <w:cantSplit/>
        </w:trPr>
        <w:tc>
          <w:tcPr>
            <w:tcW w:w="4621" w:type="dxa"/>
          </w:tcPr>
          <w:p w:rsidR="0089227F" w:rsidRPr="006B142F" w:rsidRDefault="0089227F" w:rsidP="0089227F">
            <w:pPr>
              <w:pStyle w:val="BodyText"/>
              <w:spacing w:line="264" w:lineRule="auto"/>
              <w:rPr>
                <w:rFonts w:asciiTheme="minorHAnsi" w:hAnsiTheme="minorHAnsi" w:cs="Arial"/>
                <w:bCs/>
                <w:lang w:eastAsia="en-NZ"/>
              </w:rPr>
            </w:pPr>
            <w:r w:rsidRPr="006B142F">
              <w:rPr>
                <w:rFonts w:asciiTheme="minorHAnsi" w:hAnsiTheme="minorHAnsi" w:cs="Arial"/>
                <w:bCs/>
                <w:lang w:eastAsia="en-NZ"/>
              </w:rPr>
              <w:t>Weighted average remaining useful life of relevant assets (years)</w:t>
            </w:r>
          </w:p>
        </w:tc>
        <w:tc>
          <w:tcPr>
            <w:tcW w:w="4622" w:type="dxa"/>
          </w:tcPr>
          <w:p w:rsidR="0089227F" w:rsidRPr="006B142F" w:rsidRDefault="0089227F" w:rsidP="0089227F">
            <w:pPr>
              <w:tabs>
                <w:tab w:val="left" w:pos="4045"/>
              </w:tabs>
              <w:spacing w:line="264" w:lineRule="auto"/>
              <w:rPr>
                <w:rFonts w:asciiTheme="minorHAnsi" w:hAnsiTheme="minorHAnsi"/>
              </w:rPr>
            </w:pPr>
            <w:r w:rsidRPr="006B142F">
              <w:rPr>
                <w:rFonts w:asciiTheme="minorHAnsi" w:hAnsiTheme="minorHAnsi" w:cs="Arial"/>
                <w:lang w:eastAsia="en-NZ"/>
              </w:rPr>
              <w:t xml:space="preserve">means the weighted average remaining useful life of assets included in </w:t>
            </w:r>
            <w:r w:rsidRPr="006B142F">
              <w:rPr>
                <w:rFonts w:asciiTheme="minorHAnsi" w:hAnsiTheme="minorHAnsi" w:cs="Arial"/>
                <w:bCs/>
                <w:lang w:eastAsia="en-NZ"/>
              </w:rPr>
              <w:t>opening unamortised initial differences in asset values calculated by using the opening unamortised initial difference in asset values as weights</w:t>
            </w:r>
          </w:p>
        </w:tc>
      </w:tr>
      <w:tr w:rsidR="0089227F" w:rsidRPr="006B142F" w:rsidTr="00B20AEC">
        <w:trPr>
          <w:cantSplit/>
        </w:trPr>
        <w:tc>
          <w:tcPr>
            <w:tcW w:w="4621" w:type="dxa"/>
          </w:tcPr>
          <w:p w:rsidR="0089227F" w:rsidRPr="006B142F" w:rsidRDefault="0089227F" w:rsidP="0089227F">
            <w:pPr>
              <w:pStyle w:val="BodyText"/>
              <w:spacing w:line="264" w:lineRule="auto"/>
              <w:rPr>
                <w:rFonts w:asciiTheme="minorHAnsi" w:hAnsiTheme="minorHAnsi" w:cs="Arial"/>
                <w:bCs/>
                <w:lang w:eastAsia="en-NZ"/>
              </w:rPr>
            </w:pPr>
            <w:r w:rsidRPr="006B142F">
              <w:rPr>
                <w:rFonts w:asciiTheme="minorHAnsi" w:hAnsiTheme="minorHAnsi" w:cs="Arial"/>
                <w:bCs/>
                <w:lang w:eastAsia="en-NZ"/>
              </w:rPr>
              <w:t>Works under construction</w:t>
            </w:r>
          </w:p>
        </w:tc>
        <w:tc>
          <w:tcPr>
            <w:tcW w:w="4622" w:type="dxa"/>
          </w:tcPr>
          <w:p w:rsidR="0089227F" w:rsidRPr="006B142F" w:rsidRDefault="0089227F" w:rsidP="0089227F">
            <w:pPr>
              <w:pStyle w:val="UnnumberedL3"/>
              <w:spacing w:line="264" w:lineRule="auto"/>
              <w:ind w:left="0"/>
              <w:rPr>
                <w:rFonts w:asciiTheme="minorHAnsi" w:hAnsiTheme="minorHAnsi" w:cs="Arial"/>
                <w:lang w:eastAsia="en-NZ"/>
              </w:rPr>
            </w:pPr>
            <w:r w:rsidRPr="006B142F">
              <w:rPr>
                <w:rFonts w:asciiTheme="minorHAnsi" w:hAnsiTheme="minorHAnsi" w:cs="Arial"/>
                <w:lang w:eastAsia="en-NZ"/>
              </w:rPr>
              <w:t>means:</w:t>
            </w:r>
          </w:p>
          <w:p w:rsidR="0089227F" w:rsidRPr="006B142F" w:rsidRDefault="0089227F" w:rsidP="0089227F">
            <w:pPr>
              <w:pStyle w:val="UnnumberedL3"/>
              <w:numPr>
                <w:ilvl w:val="0"/>
                <w:numId w:val="35"/>
              </w:numPr>
              <w:spacing w:line="264" w:lineRule="auto"/>
              <w:ind w:left="459" w:hanging="459"/>
              <w:rPr>
                <w:rFonts w:asciiTheme="minorHAnsi" w:hAnsiTheme="minorHAnsi"/>
              </w:rPr>
            </w:pPr>
            <w:r w:rsidRPr="006B142F">
              <w:rPr>
                <w:rFonts w:asciiTheme="minorHAnsi" w:hAnsiTheme="minorHAnsi" w:cs="Arial"/>
                <w:lang w:eastAsia="en-NZ"/>
              </w:rPr>
              <w:t xml:space="preserve">in relation to </w:t>
            </w:r>
            <w:r w:rsidRPr="006B142F">
              <w:rPr>
                <w:rFonts w:asciiTheme="minorHAnsi" w:hAnsiTheme="minorHAnsi" w:cs="Arial"/>
                <w:bCs/>
                <w:lang w:eastAsia="en-NZ"/>
              </w:rPr>
              <w:t>unallocated works under construction</w:t>
            </w:r>
            <w:r w:rsidRPr="006B142F">
              <w:rPr>
                <w:rFonts w:asciiTheme="minorHAnsi" w:hAnsiTheme="minorHAnsi" w:cs="Arial"/>
                <w:lang w:eastAsia="en-NZ"/>
              </w:rPr>
              <w:t>, the value of calculated using the following formula:</w:t>
            </w:r>
          </w:p>
          <w:p w:rsidR="0089227F" w:rsidRPr="006B142F" w:rsidRDefault="0089227F" w:rsidP="0089227F">
            <w:pPr>
              <w:pStyle w:val="UnnumberedL3"/>
              <w:tabs>
                <w:tab w:val="center" w:pos="2160"/>
              </w:tabs>
              <w:spacing w:before="120" w:line="264" w:lineRule="auto"/>
              <w:ind w:left="459"/>
              <w:rPr>
                <w:rFonts w:asciiTheme="minorHAnsi" w:hAnsiTheme="minorHAnsi"/>
              </w:rPr>
            </w:pPr>
            <w:r w:rsidRPr="006B142F">
              <w:rPr>
                <w:rFonts w:asciiTheme="minorHAnsi" w:hAnsiTheme="minorHAnsi"/>
                <w:position w:val="-10"/>
              </w:rPr>
              <w:tab/>
            </w:r>
            <w:r w:rsidRPr="006B142F">
              <w:rPr>
                <w:rFonts w:asciiTheme="minorHAnsi" w:hAnsiTheme="minorHAnsi"/>
                <w:position w:val="-10"/>
              </w:rPr>
              <w:object w:dxaOrig="1640" w:dyaOrig="320">
                <v:shape id="_x0000_i1059" type="#_x0000_t75" style="width:82.3pt;height:14.95pt" o:ole="">
                  <v:imagedata r:id="rId132" o:title=""/>
                </v:shape>
                <o:OLEObject Type="Embed" ProgID="Equation.3" ShapeID="_x0000_i1059" DrawAspect="Content" ObjectID="_1403043803" r:id="rId133"/>
              </w:object>
            </w:r>
          </w:p>
          <w:p w:rsidR="0089227F" w:rsidRPr="006B142F" w:rsidRDefault="0089227F" w:rsidP="0089227F">
            <w:pPr>
              <w:tabs>
                <w:tab w:val="left" w:pos="4045"/>
              </w:tabs>
              <w:spacing w:line="264" w:lineRule="auto"/>
              <w:ind w:left="850" w:hanging="408"/>
              <w:rPr>
                <w:rFonts w:asciiTheme="minorHAnsi" w:hAnsiTheme="minorHAnsi" w:cs="Arial"/>
                <w:lang w:eastAsia="en-NZ"/>
              </w:rPr>
            </w:pPr>
            <w:r w:rsidRPr="006B142F">
              <w:rPr>
                <w:rFonts w:asciiTheme="minorHAnsi" w:hAnsiTheme="minorHAnsi" w:cs="Arial"/>
                <w:lang w:eastAsia="en-NZ"/>
              </w:rPr>
              <w:t>where:</w:t>
            </w:r>
          </w:p>
          <w:p w:rsidR="0089227F" w:rsidRPr="006B142F" w:rsidRDefault="0089227F" w:rsidP="0089227F">
            <w:pPr>
              <w:tabs>
                <w:tab w:val="left" w:pos="4045"/>
              </w:tabs>
              <w:spacing w:line="264" w:lineRule="auto"/>
              <w:ind w:left="850" w:hanging="408"/>
              <w:rPr>
                <w:rFonts w:asciiTheme="minorHAnsi" w:hAnsiTheme="minorHAnsi" w:cs="Arial"/>
                <w:lang w:eastAsia="en-NZ"/>
              </w:rPr>
            </w:pPr>
            <w:r w:rsidRPr="006B142F">
              <w:rPr>
                <w:rFonts w:asciiTheme="minorHAnsi" w:hAnsiTheme="minorHAnsi"/>
                <w:position w:val="-6"/>
              </w:rPr>
              <w:object w:dxaOrig="200" w:dyaOrig="220">
                <v:shape id="_x0000_i1060" type="#_x0000_t75" style="width:10.3pt;height:12.15pt" o:ole="">
                  <v:imagedata r:id="rId134" o:title=""/>
                </v:shape>
                <o:OLEObject Type="Embed" ProgID="Equation.3" ShapeID="_x0000_i1060" DrawAspect="Content" ObjectID="_1403043804" r:id="rId135"/>
              </w:object>
            </w:r>
            <w:r w:rsidRPr="006B142F">
              <w:rPr>
                <w:rFonts w:asciiTheme="minorHAnsi" w:hAnsiTheme="minorHAnsi"/>
                <w:position w:val="-6"/>
              </w:rPr>
              <w:t>=</w:t>
            </w:r>
            <w:r w:rsidRPr="006B142F">
              <w:rPr>
                <w:rFonts w:asciiTheme="minorHAnsi" w:hAnsiTheme="minorHAnsi"/>
                <w:position w:val="-6"/>
              </w:rPr>
              <w:tab/>
            </w:r>
            <w:r w:rsidRPr="006B142F">
              <w:rPr>
                <w:rFonts w:asciiTheme="minorHAnsi" w:hAnsiTheme="minorHAnsi" w:cs="Arial"/>
                <w:bCs/>
                <w:lang w:eastAsia="en-NZ"/>
              </w:rPr>
              <w:t>unallocated</w:t>
            </w:r>
            <w:r w:rsidRPr="006B142F">
              <w:rPr>
                <w:rFonts w:asciiTheme="minorHAnsi" w:hAnsiTheme="minorHAnsi" w:cs="Arial"/>
                <w:lang w:eastAsia="en-NZ"/>
              </w:rPr>
              <w:t xml:space="preserve"> </w:t>
            </w:r>
            <w:r w:rsidRPr="006B142F">
              <w:rPr>
                <w:rFonts w:asciiTheme="minorHAnsi" w:hAnsiTheme="minorHAnsi" w:cs="Arial"/>
                <w:bCs/>
                <w:lang w:eastAsia="en-NZ"/>
              </w:rPr>
              <w:t>works under construction</w:t>
            </w:r>
            <w:r w:rsidRPr="006B142F">
              <w:rPr>
                <w:rFonts w:asciiTheme="minorHAnsi" w:hAnsiTheme="minorHAnsi" w:cs="Arial"/>
                <w:lang w:eastAsia="en-NZ"/>
              </w:rPr>
              <w:t xml:space="preserve"> - preceding disclosure year</w:t>
            </w:r>
          </w:p>
          <w:p w:rsidR="0089227F" w:rsidRPr="006B142F" w:rsidRDefault="0089227F" w:rsidP="0089227F">
            <w:pPr>
              <w:tabs>
                <w:tab w:val="left" w:pos="4045"/>
              </w:tabs>
              <w:spacing w:line="264" w:lineRule="auto"/>
              <w:ind w:left="850" w:hanging="408"/>
              <w:rPr>
                <w:rFonts w:asciiTheme="minorHAnsi" w:hAnsiTheme="minorHAnsi" w:cs="Arial"/>
                <w:bCs/>
                <w:lang w:eastAsia="en-NZ"/>
              </w:rPr>
            </w:pPr>
            <w:r w:rsidRPr="006B142F">
              <w:rPr>
                <w:rFonts w:asciiTheme="minorHAnsi" w:hAnsiTheme="minorHAnsi"/>
                <w:position w:val="-6"/>
              </w:rPr>
              <w:object w:dxaOrig="200" w:dyaOrig="279">
                <v:shape id="_x0000_i1061" type="#_x0000_t75" style="width:10.3pt;height:14.95pt" o:ole="">
                  <v:imagedata r:id="rId136" o:title=""/>
                </v:shape>
                <o:OLEObject Type="Embed" ProgID="Equation.3" ShapeID="_x0000_i1061" DrawAspect="Content" ObjectID="_1403043805" r:id="rId137"/>
              </w:object>
            </w:r>
            <w:r w:rsidRPr="006B142F">
              <w:rPr>
                <w:rFonts w:asciiTheme="minorHAnsi" w:hAnsiTheme="minorHAnsi"/>
                <w:position w:val="-6"/>
              </w:rPr>
              <w:t>=</w:t>
            </w:r>
            <w:r w:rsidRPr="006B142F">
              <w:rPr>
                <w:rFonts w:asciiTheme="minorHAnsi" w:hAnsiTheme="minorHAnsi"/>
                <w:position w:val="-6"/>
              </w:rPr>
              <w:tab/>
            </w:r>
            <w:r w:rsidRPr="006B142F">
              <w:rPr>
                <w:rFonts w:asciiTheme="minorHAnsi" w:hAnsiTheme="minorHAnsi" w:cs="Arial"/>
                <w:lang w:eastAsia="en-NZ"/>
              </w:rPr>
              <w:t xml:space="preserve"> </w:t>
            </w:r>
            <w:r w:rsidRPr="006B142F">
              <w:rPr>
                <w:rFonts w:asciiTheme="minorHAnsi" w:hAnsiTheme="minorHAnsi" w:cs="Arial"/>
                <w:bCs/>
                <w:lang w:eastAsia="en-NZ"/>
              </w:rPr>
              <w:t>unallocated</w:t>
            </w:r>
            <w:r w:rsidRPr="006B142F">
              <w:rPr>
                <w:rFonts w:asciiTheme="minorHAnsi" w:hAnsiTheme="minorHAnsi" w:cs="Arial"/>
                <w:lang w:eastAsia="en-NZ"/>
              </w:rPr>
              <w:t xml:space="preserve"> </w:t>
            </w:r>
            <w:r w:rsidRPr="006B142F">
              <w:rPr>
                <w:rFonts w:asciiTheme="minorHAnsi" w:hAnsiTheme="minorHAnsi" w:cs="Arial"/>
                <w:bCs/>
                <w:lang w:eastAsia="en-NZ"/>
              </w:rPr>
              <w:t>capital expenditure</w:t>
            </w:r>
          </w:p>
          <w:p w:rsidR="0089227F" w:rsidRPr="006B142F" w:rsidRDefault="0089227F" w:rsidP="0089227F">
            <w:pPr>
              <w:tabs>
                <w:tab w:val="left" w:pos="4045"/>
              </w:tabs>
              <w:spacing w:line="264" w:lineRule="auto"/>
              <w:ind w:left="850" w:hanging="408"/>
              <w:rPr>
                <w:rFonts w:asciiTheme="minorHAnsi" w:hAnsiTheme="minorHAnsi" w:cs="Arial"/>
                <w:bCs/>
                <w:lang w:eastAsia="en-NZ"/>
              </w:rPr>
            </w:pPr>
            <w:r w:rsidRPr="006B142F">
              <w:rPr>
                <w:rFonts w:asciiTheme="minorHAnsi" w:hAnsiTheme="minorHAnsi"/>
                <w:position w:val="-6"/>
              </w:rPr>
              <w:object w:dxaOrig="180" w:dyaOrig="220">
                <v:shape id="_x0000_i1062" type="#_x0000_t75" style="width:10.3pt;height:12.15pt" o:ole="">
                  <v:imagedata r:id="rId138" o:title=""/>
                </v:shape>
                <o:OLEObject Type="Embed" ProgID="Equation.3" ShapeID="_x0000_i1062" DrawAspect="Content" ObjectID="_1403043806" r:id="rId139"/>
              </w:object>
            </w:r>
            <w:r w:rsidRPr="006B142F">
              <w:rPr>
                <w:rFonts w:asciiTheme="minorHAnsi" w:hAnsiTheme="minorHAnsi"/>
                <w:position w:val="-6"/>
              </w:rPr>
              <w:t>=</w:t>
            </w:r>
            <w:r w:rsidRPr="006B142F">
              <w:rPr>
                <w:rFonts w:asciiTheme="minorHAnsi" w:hAnsiTheme="minorHAnsi"/>
                <w:position w:val="-6"/>
              </w:rPr>
              <w:tab/>
            </w:r>
            <w:r w:rsidRPr="006B142F">
              <w:rPr>
                <w:rFonts w:asciiTheme="minorHAnsi" w:hAnsiTheme="minorHAnsi" w:cs="Arial"/>
                <w:bCs/>
                <w:lang w:eastAsia="en-NZ"/>
              </w:rPr>
              <w:t>unallocated</w:t>
            </w:r>
            <w:r w:rsidRPr="006B142F">
              <w:rPr>
                <w:rFonts w:asciiTheme="minorHAnsi" w:hAnsiTheme="minorHAnsi" w:cs="Arial"/>
                <w:lang w:eastAsia="en-NZ"/>
              </w:rPr>
              <w:t xml:space="preserve"> </w:t>
            </w:r>
            <w:r w:rsidRPr="006B142F">
              <w:rPr>
                <w:rFonts w:asciiTheme="minorHAnsi" w:hAnsiTheme="minorHAnsi" w:cs="Arial"/>
                <w:bCs/>
                <w:lang w:eastAsia="en-NZ"/>
              </w:rPr>
              <w:t>assets commissioned</w:t>
            </w:r>
          </w:p>
          <w:p w:rsidR="0089227F" w:rsidRPr="006B142F" w:rsidRDefault="0089227F" w:rsidP="0089227F">
            <w:pPr>
              <w:tabs>
                <w:tab w:val="left" w:pos="4045"/>
              </w:tabs>
              <w:spacing w:line="264" w:lineRule="auto"/>
              <w:ind w:left="850" w:hanging="408"/>
              <w:rPr>
                <w:rFonts w:asciiTheme="minorHAnsi" w:hAnsiTheme="minorHAnsi" w:cs="Arial"/>
                <w:bCs/>
                <w:lang w:eastAsia="en-NZ"/>
              </w:rPr>
            </w:pPr>
            <w:r w:rsidRPr="006B142F">
              <w:rPr>
                <w:rFonts w:asciiTheme="minorHAnsi" w:hAnsiTheme="minorHAnsi"/>
                <w:position w:val="-6"/>
              </w:rPr>
              <w:object w:dxaOrig="220" w:dyaOrig="260">
                <v:shape id="_x0000_i1063" type="#_x0000_t75" style="width:12.15pt;height:14.05pt" o:ole="">
                  <v:imagedata r:id="rId140" o:title=""/>
                </v:shape>
                <o:OLEObject Type="Embed" ProgID="Equation.3" ShapeID="_x0000_i1063" DrawAspect="Content" ObjectID="_1403043807" r:id="rId141"/>
              </w:object>
            </w:r>
            <w:r w:rsidRPr="006B142F">
              <w:rPr>
                <w:rFonts w:asciiTheme="minorHAnsi" w:hAnsiTheme="minorHAnsi"/>
                <w:position w:val="-6"/>
              </w:rPr>
              <w:t>=</w:t>
            </w:r>
            <w:r w:rsidRPr="006B142F">
              <w:rPr>
                <w:rFonts w:asciiTheme="minorHAnsi" w:hAnsiTheme="minorHAnsi"/>
                <w:position w:val="-6"/>
              </w:rPr>
              <w:tab/>
            </w:r>
            <w:r w:rsidRPr="006B142F">
              <w:rPr>
                <w:rFonts w:asciiTheme="minorHAnsi" w:hAnsiTheme="minorHAnsi" w:cs="Arial"/>
                <w:bCs/>
                <w:lang w:eastAsia="en-NZ"/>
              </w:rPr>
              <w:t>adjustment resulting from cost allocation</w:t>
            </w:r>
          </w:p>
          <w:p w:rsidR="0089227F" w:rsidRPr="006B142F" w:rsidRDefault="0089227F" w:rsidP="0089227F">
            <w:pPr>
              <w:tabs>
                <w:tab w:val="left" w:pos="4045"/>
              </w:tabs>
              <w:spacing w:line="264" w:lineRule="auto"/>
              <w:ind w:left="459" w:hanging="425"/>
              <w:rPr>
                <w:rFonts w:asciiTheme="minorHAnsi" w:hAnsiTheme="minorHAnsi" w:cs="Arial"/>
                <w:lang w:eastAsia="en-NZ"/>
              </w:rPr>
            </w:pPr>
            <w:r w:rsidRPr="006B142F">
              <w:rPr>
                <w:rFonts w:asciiTheme="minorHAnsi" w:hAnsiTheme="minorHAnsi" w:cs="Arial"/>
                <w:lang w:eastAsia="en-NZ"/>
              </w:rPr>
              <w:t>(b)</w:t>
            </w:r>
            <w:r w:rsidRPr="006B142F">
              <w:rPr>
                <w:rFonts w:asciiTheme="minorHAnsi" w:hAnsiTheme="minorHAnsi" w:cs="Arial"/>
                <w:lang w:eastAsia="en-NZ"/>
              </w:rPr>
              <w:tab/>
              <w:t xml:space="preserve">in relation to </w:t>
            </w:r>
            <w:r w:rsidRPr="006B142F">
              <w:rPr>
                <w:rFonts w:asciiTheme="minorHAnsi" w:hAnsiTheme="minorHAnsi" w:cs="Arial"/>
                <w:bCs/>
                <w:lang w:eastAsia="en-NZ"/>
              </w:rPr>
              <w:t>allocated works under construction</w:t>
            </w:r>
            <w:r w:rsidRPr="006B142F">
              <w:rPr>
                <w:rFonts w:asciiTheme="minorHAnsi" w:hAnsiTheme="minorHAnsi" w:cs="Arial"/>
                <w:lang w:eastAsia="en-NZ"/>
              </w:rPr>
              <w:t xml:space="preserve">, the value (as determined in accordance with paragraph (a)) which was allocated to </w:t>
            </w:r>
            <w:r w:rsidRPr="006B142F">
              <w:rPr>
                <w:rFonts w:asciiTheme="minorHAnsi" w:hAnsiTheme="minorHAnsi" w:cs="Arial"/>
                <w:bCs/>
                <w:lang w:eastAsia="en-NZ"/>
              </w:rPr>
              <w:t xml:space="preserve">gas pipeline services </w:t>
            </w:r>
            <w:r w:rsidRPr="006B142F">
              <w:rPr>
                <w:rFonts w:asciiTheme="minorHAnsi" w:hAnsiTheme="minorHAnsi" w:cs="Arial"/>
                <w:lang w:eastAsia="en-NZ"/>
              </w:rPr>
              <w:t xml:space="preserve">in accordance with clause 2.1.1 of the </w:t>
            </w:r>
            <w:r w:rsidRPr="006B142F">
              <w:rPr>
                <w:rFonts w:asciiTheme="minorHAnsi" w:hAnsiTheme="minorHAnsi" w:cs="Arial"/>
                <w:bCs/>
                <w:lang w:eastAsia="en-NZ"/>
              </w:rPr>
              <w:t>IM determination</w:t>
            </w:r>
          </w:p>
          <w:p w:rsidR="0089227F" w:rsidRPr="006B142F" w:rsidRDefault="0089227F" w:rsidP="0089227F">
            <w:pPr>
              <w:tabs>
                <w:tab w:val="left" w:pos="4045"/>
              </w:tabs>
              <w:spacing w:line="264" w:lineRule="auto"/>
              <w:ind w:left="459" w:hanging="425"/>
              <w:rPr>
                <w:rFonts w:asciiTheme="minorHAnsi" w:hAnsiTheme="minorHAnsi" w:cs="Arial"/>
                <w:lang w:eastAsia="en-NZ"/>
              </w:rPr>
            </w:pPr>
            <w:r w:rsidRPr="006B142F">
              <w:rPr>
                <w:rFonts w:asciiTheme="minorHAnsi" w:hAnsiTheme="minorHAnsi" w:cs="Arial"/>
                <w:lang w:eastAsia="en-NZ"/>
              </w:rPr>
              <w:t>(c)</w:t>
            </w:r>
            <w:r w:rsidRPr="006B142F">
              <w:rPr>
                <w:rFonts w:asciiTheme="minorHAnsi" w:hAnsiTheme="minorHAnsi" w:cs="Arial"/>
                <w:lang w:eastAsia="en-NZ"/>
              </w:rPr>
              <w:tab/>
              <w:t xml:space="preserve">in relation to the establishment of the initial RAB value, the value of works under construction included in </w:t>
            </w:r>
            <w:r w:rsidRPr="006B142F">
              <w:rPr>
                <w:rFonts w:asciiTheme="minorHAnsi" w:hAnsiTheme="minorHAnsi" w:cs="Arial"/>
                <w:bCs/>
                <w:lang w:eastAsia="en-NZ"/>
              </w:rPr>
              <w:t xml:space="preserve">unallocated 2009 modified asset values </w:t>
            </w:r>
            <w:r w:rsidRPr="006B142F">
              <w:rPr>
                <w:rFonts w:asciiTheme="minorHAnsi" w:hAnsiTheme="minorHAnsi" w:cs="Arial"/>
                <w:lang w:eastAsia="en-NZ"/>
              </w:rPr>
              <w:t>as works under construction is defined in the</w:t>
            </w:r>
            <w:r w:rsidRPr="006B142F">
              <w:rPr>
                <w:rFonts w:asciiTheme="minorHAnsi" w:hAnsiTheme="minorHAnsi" w:cs="Arial"/>
                <w:bCs/>
                <w:lang w:eastAsia="en-NZ"/>
              </w:rPr>
              <w:t xml:space="preserve"> IM determination</w:t>
            </w:r>
          </w:p>
        </w:tc>
      </w:tr>
      <w:tr w:rsidR="0089227F" w:rsidRPr="006B142F" w:rsidTr="00B20AEC">
        <w:trPr>
          <w:cantSplit/>
        </w:trPr>
        <w:tc>
          <w:tcPr>
            <w:tcW w:w="4621" w:type="dxa"/>
          </w:tcPr>
          <w:p w:rsidR="0089227F" w:rsidRPr="006B142F" w:rsidRDefault="0089227F" w:rsidP="0089227F">
            <w:pPr>
              <w:pStyle w:val="BodyText"/>
              <w:spacing w:line="264" w:lineRule="auto"/>
              <w:rPr>
                <w:rFonts w:asciiTheme="minorHAnsi" w:hAnsiTheme="minorHAnsi" w:cs="Arial"/>
                <w:bCs/>
                <w:lang w:eastAsia="en-NZ"/>
              </w:rPr>
            </w:pPr>
            <w:r w:rsidRPr="006B142F">
              <w:rPr>
                <w:rFonts w:asciiTheme="minorHAnsi" w:hAnsiTheme="minorHAnsi" w:cs="Arial"/>
                <w:bCs/>
                <w:lang w:eastAsia="en-NZ"/>
              </w:rPr>
              <w:t>Year change made</w:t>
            </w:r>
          </w:p>
        </w:tc>
        <w:tc>
          <w:tcPr>
            <w:tcW w:w="4622" w:type="dxa"/>
          </w:tcPr>
          <w:p w:rsidR="0089227F" w:rsidRPr="006B142F" w:rsidRDefault="0089227F" w:rsidP="0089227F">
            <w:pPr>
              <w:spacing w:line="264" w:lineRule="auto"/>
              <w:rPr>
                <w:rFonts w:asciiTheme="minorHAnsi" w:hAnsiTheme="minorHAnsi" w:cs="Arial"/>
                <w:lang w:eastAsia="en-NZ"/>
              </w:rPr>
            </w:pPr>
            <w:r w:rsidRPr="006B142F">
              <w:rPr>
                <w:rFonts w:asciiTheme="minorHAnsi" w:hAnsiTheme="minorHAnsi" w:cs="Arial"/>
                <w:lang w:eastAsia="en-NZ"/>
              </w:rPr>
              <w:t>means:</w:t>
            </w:r>
          </w:p>
          <w:p w:rsidR="0089227F" w:rsidRPr="006B142F" w:rsidRDefault="0089227F" w:rsidP="0089227F">
            <w:pPr>
              <w:spacing w:line="264" w:lineRule="auto"/>
              <w:ind w:left="459" w:hanging="425"/>
              <w:rPr>
                <w:rFonts w:asciiTheme="minorHAnsi" w:hAnsiTheme="minorHAnsi" w:cs="Arial"/>
                <w:lang w:eastAsia="en-NZ"/>
              </w:rPr>
            </w:pPr>
            <w:r w:rsidRPr="006B142F">
              <w:rPr>
                <w:rFonts w:asciiTheme="minorHAnsi" w:hAnsiTheme="minorHAnsi" w:cs="Arial"/>
                <w:lang w:eastAsia="en-NZ"/>
              </w:rPr>
              <w:t>(a)</w:t>
            </w:r>
            <w:r w:rsidRPr="006B142F">
              <w:rPr>
                <w:rFonts w:asciiTheme="minorHAnsi" w:hAnsiTheme="minorHAnsi" w:cs="Arial"/>
                <w:lang w:eastAsia="en-NZ"/>
              </w:rPr>
              <w:tab/>
              <w:t xml:space="preserve">in relation to assets or groups of assets where depreciation is included in </w:t>
            </w:r>
            <w:r w:rsidRPr="006B142F">
              <w:rPr>
                <w:rFonts w:asciiTheme="minorHAnsi" w:hAnsiTheme="minorHAnsi" w:cs="Arial"/>
                <w:bCs/>
                <w:lang w:eastAsia="en-NZ"/>
              </w:rPr>
              <w:t>depreciation - no standard life asset</w:t>
            </w:r>
            <w:r w:rsidRPr="006B142F">
              <w:rPr>
                <w:rFonts w:asciiTheme="minorHAnsi" w:hAnsiTheme="minorHAnsi" w:cs="Arial"/>
                <w:lang w:eastAsia="en-NZ"/>
              </w:rPr>
              <w:t>, the year the asset was acquired;</w:t>
            </w:r>
          </w:p>
          <w:p w:rsidR="0089227F" w:rsidRPr="006B142F" w:rsidRDefault="0089227F" w:rsidP="0089227F">
            <w:pPr>
              <w:spacing w:line="264" w:lineRule="auto"/>
              <w:ind w:left="459" w:hanging="425"/>
              <w:rPr>
                <w:rFonts w:asciiTheme="minorHAnsi" w:hAnsiTheme="minorHAnsi" w:cs="Arial"/>
                <w:lang w:eastAsia="en-NZ"/>
              </w:rPr>
            </w:pPr>
            <w:r w:rsidRPr="006B142F">
              <w:rPr>
                <w:rFonts w:asciiTheme="minorHAnsi" w:hAnsiTheme="minorHAnsi" w:cs="Arial"/>
                <w:lang w:eastAsia="en-NZ"/>
              </w:rPr>
              <w:t>(b)</w:t>
            </w:r>
            <w:r w:rsidRPr="006B142F">
              <w:rPr>
                <w:rFonts w:asciiTheme="minorHAnsi" w:hAnsiTheme="minorHAnsi" w:cs="Arial"/>
                <w:lang w:eastAsia="en-NZ"/>
              </w:rPr>
              <w:tab/>
              <w:t xml:space="preserve">in relation to assets or groups of assets where depreciation is included in </w:t>
            </w:r>
            <w:r w:rsidRPr="006B142F">
              <w:rPr>
                <w:rFonts w:asciiTheme="minorHAnsi" w:hAnsiTheme="minorHAnsi" w:cs="Arial"/>
                <w:bCs/>
                <w:lang w:eastAsia="en-NZ"/>
              </w:rPr>
              <w:t>depreciation - modified life assets</w:t>
            </w:r>
            <w:r w:rsidRPr="006B142F">
              <w:rPr>
                <w:rFonts w:asciiTheme="minorHAnsi" w:hAnsiTheme="minorHAnsi" w:cs="Arial"/>
                <w:lang w:eastAsia="en-NZ"/>
              </w:rPr>
              <w:t>, the year the asset life was modified;</w:t>
            </w:r>
          </w:p>
          <w:p w:rsidR="0089227F" w:rsidRPr="006B142F" w:rsidRDefault="0089227F" w:rsidP="0089227F">
            <w:pPr>
              <w:spacing w:line="264" w:lineRule="auto"/>
              <w:ind w:left="459" w:hanging="425"/>
              <w:rPr>
                <w:rFonts w:asciiTheme="minorHAnsi" w:hAnsiTheme="minorHAnsi"/>
              </w:rPr>
            </w:pPr>
            <w:r w:rsidRPr="006B142F">
              <w:rPr>
                <w:rFonts w:asciiTheme="minorHAnsi" w:hAnsiTheme="minorHAnsi" w:cs="Arial"/>
                <w:lang w:eastAsia="en-NZ"/>
              </w:rPr>
              <w:t>(c)</w:t>
            </w:r>
            <w:r w:rsidRPr="006B142F">
              <w:rPr>
                <w:rFonts w:asciiTheme="minorHAnsi" w:hAnsiTheme="minorHAnsi" w:cs="Arial"/>
                <w:lang w:eastAsia="en-NZ"/>
              </w:rPr>
              <w:tab/>
              <w:t>in relation to assets or groups of assets where depreciation is included in depreciation - alternative depreciation determined in accordance with CPP, the start of the CPP period</w:t>
            </w:r>
          </w:p>
        </w:tc>
      </w:tr>
    </w:tbl>
    <w:p w:rsidR="009B0AA6" w:rsidRDefault="009B0AA6" w:rsidP="00626EDC">
      <w:pPr>
        <w:pStyle w:val="Singlespacedparagraph"/>
      </w:pPr>
    </w:p>
    <w:p w:rsidR="009B0AA6" w:rsidRDefault="009B0AA6" w:rsidP="00626EDC">
      <w:pPr>
        <w:pStyle w:val="Singlespacedparagraph"/>
        <w:sectPr w:rsidR="009B0AA6" w:rsidSect="00B20AEC">
          <w:pgSz w:w="11907" w:h="16840" w:code="9"/>
          <w:pgMar w:top="1440" w:right="1440" w:bottom="1276" w:left="1440" w:header="1134" w:footer="431" w:gutter="0"/>
          <w:cols w:space="720"/>
          <w:titlePg/>
        </w:sectPr>
      </w:pPr>
    </w:p>
    <w:p w:rsidR="001C60EF" w:rsidRPr="002F2828" w:rsidRDefault="00626EDC" w:rsidP="00A57915">
      <w:pPr>
        <w:pStyle w:val="Heading1"/>
        <w:spacing w:line="264" w:lineRule="auto"/>
        <w:jc w:val="center"/>
        <w:rPr>
          <w:rFonts w:asciiTheme="minorHAnsi" w:hAnsiTheme="minorHAnsi"/>
        </w:rPr>
      </w:pPr>
      <w:bookmarkStart w:id="792" w:name="_Toc329301669"/>
      <w:r>
        <w:rPr>
          <w:rFonts w:asciiTheme="minorHAnsi" w:hAnsiTheme="minorHAnsi"/>
        </w:rPr>
        <w:t>Schedule 17</w:t>
      </w:r>
      <w:r w:rsidR="00CE4905" w:rsidRPr="002F2828">
        <w:rPr>
          <w:rFonts w:asciiTheme="minorHAnsi" w:hAnsiTheme="minorHAnsi"/>
        </w:rPr>
        <w:tab/>
      </w:r>
      <w:r w:rsidR="00CE4905" w:rsidRPr="002F2828">
        <w:rPr>
          <w:rFonts w:asciiTheme="minorHAnsi" w:hAnsiTheme="minorHAnsi"/>
        </w:rPr>
        <w:tab/>
      </w:r>
      <w:r w:rsidR="008974A4" w:rsidRPr="002F2828">
        <w:rPr>
          <w:rFonts w:asciiTheme="minorHAnsi" w:hAnsiTheme="minorHAnsi"/>
        </w:rPr>
        <w:t xml:space="preserve">Certification for </w:t>
      </w:r>
      <w:r w:rsidR="00821B6F" w:rsidRPr="002F2828">
        <w:rPr>
          <w:rFonts w:asciiTheme="minorHAnsi" w:hAnsiTheme="minorHAnsi"/>
        </w:rPr>
        <w:t>Year</w:t>
      </w:r>
      <w:r w:rsidR="00900E69" w:rsidRPr="002F2828">
        <w:rPr>
          <w:rFonts w:asciiTheme="minorHAnsi" w:hAnsiTheme="minorHAnsi"/>
        </w:rPr>
        <w:t>-b</w:t>
      </w:r>
      <w:r w:rsidR="00821B6F" w:rsidRPr="002F2828">
        <w:rPr>
          <w:rFonts w:asciiTheme="minorHAnsi" w:hAnsiTheme="minorHAnsi"/>
        </w:rPr>
        <w:t>eginning</w:t>
      </w:r>
      <w:r w:rsidR="008974A4" w:rsidRPr="002F2828">
        <w:rPr>
          <w:rFonts w:asciiTheme="minorHAnsi" w:hAnsiTheme="minorHAnsi"/>
        </w:rPr>
        <w:t xml:space="preserve"> Disclosures</w:t>
      </w:r>
      <w:bookmarkEnd w:id="792"/>
    </w:p>
    <w:p w:rsidR="001C60EF" w:rsidRPr="002F2828" w:rsidRDefault="000B1173" w:rsidP="001C60EF">
      <w:pPr>
        <w:rPr>
          <w:rFonts w:asciiTheme="minorHAnsi" w:hAnsiTheme="minorHAnsi"/>
        </w:rPr>
      </w:pPr>
      <w:proofErr w:type="gramStart"/>
      <w:r w:rsidRPr="002F2828">
        <w:rPr>
          <w:rFonts w:asciiTheme="minorHAnsi" w:hAnsiTheme="minorHAnsi"/>
        </w:rPr>
        <w:t>clause</w:t>
      </w:r>
      <w:proofErr w:type="gramEnd"/>
      <w:r w:rsidRPr="002F2828">
        <w:rPr>
          <w:rFonts w:asciiTheme="minorHAnsi" w:hAnsiTheme="minorHAnsi"/>
        </w:rPr>
        <w:t xml:space="preserve"> </w:t>
      </w:r>
      <w:r w:rsidR="00004445">
        <w:rPr>
          <w:rFonts w:asciiTheme="minorHAnsi" w:hAnsiTheme="minorHAnsi"/>
        </w:rPr>
        <w:fldChar w:fldCharType="begin"/>
      </w:r>
      <w:r w:rsidR="002244D5">
        <w:rPr>
          <w:rFonts w:asciiTheme="minorHAnsi" w:hAnsiTheme="minorHAnsi"/>
        </w:rPr>
        <w:instrText xml:space="preserve"> REF _Ref329297143 \r \h </w:instrText>
      </w:r>
      <w:r w:rsidR="00004445">
        <w:rPr>
          <w:rFonts w:asciiTheme="minorHAnsi" w:hAnsiTheme="minorHAnsi"/>
        </w:rPr>
      </w:r>
      <w:r w:rsidR="00004445">
        <w:rPr>
          <w:rFonts w:asciiTheme="minorHAnsi" w:hAnsiTheme="minorHAnsi"/>
        </w:rPr>
        <w:fldChar w:fldCharType="separate"/>
      </w:r>
      <w:r w:rsidR="00A84D28">
        <w:rPr>
          <w:rFonts w:asciiTheme="minorHAnsi" w:hAnsiTheme="minorHAnsi"/>
        </w:rPr>
        <w:t>2.9.1</w:t>
      </w:r>
      <w:r w:rsidR="00004445">
        <w:rPr>
          <w:rFonts w:asciiTheme="minorHAnsi" w:hAnsiTheme="minorHAnsi"/>
        </w:rPr>
        <w:fldChar w:fldCharType="end"/>
      </w:r>
    </w:p>
    <w:p w:rsidR="001C60EF" w:rsidRPr="002F2828" w:rsidRDefault="001C60EF" w:rsidP="001C60EF">
      <w:pPr>
        <w:rPr>
          <w:rFonts w:asciiTheme="minorHAnsi" w:hAnsiTheme="minorHAnsi"/>
        </w:rPr>
      </w:pPr>
    </w:p>
    <w:p w:rsidR="006612EA" w:rsidRDefault="001C60EF" w:rsidP="001C60EF">
      <w:pPr>
        <w:rPr>
          <w:rFonts w:asciiTheme="minorHAnsi" w:hAnsiTheme="minorHAnsi"/>
        </w:rPr>
      </w:pPr>
      <w:r w:rsidRPr="002F2828">
        <w:rPr>
          <w:rFonts w:asciiTheme="minorHAnsi" w:hAnsiTheme="minorHAnsi"/>
        </w:rPr>
        <w:t xml:space="preserve">We, [insert full names], being directors of [name of </w:t>
      </w:r>
      <w:r w:rsidR="00915CE9" w:rsidRPr="002F2828">
        <w:rPr>
          <w:rFonts w:asciiTheme="minorHAnsi" w:hAnsiTheme="minorHAnsi"/>
        </w:rPr>
        <w:t>G</w:t>
      </w:r>
      <w:r w:rsidRPr="002F2828">
        <w:rPr>
          <w:rFonts w:asciiTheme="minorHAnsi" w:hAnsiTheme="minorHAnsi"/>
        </w:rPr>
        <w:t>DB</w:t>
      </w:r>
      <w:r w:rsidR="0083364C" w:rsidRPr="002F2828">
        <w:rPr>
          <w:rFonts w:asciiTheme="minorHAnsi" w:hAnsiTheme="minorHAnsi"/>
        </w:rPr>
        <w:t>]</w:t>
      </w:r>
      <w:r w:rsidRPr="002F2828">
        <w:rPr>
          <w:rFonts w:asciiTheme="minorHAnsi" w:hAnsiTheme="minorHAnsi"/>
        </w:rPr>
        <w:t xml:space="preserve"> certify that, having made all reasonable enquiry, to the best of our knowledge</w:t>
      </w:r>
      <w:r w:rsidR="006612EA">
        <w:rPr>
          <w:rFonts w:asciiTheme="minorHAnsi" w:hAnsiTheme="minorHAnsi"/>
        </w:rPr>
        <w:t>:</w:t>
      </w:r>
    </w:p>
    <w:p w:rsidR="006612EA" w:rsidRDefault="006612EA" w:rsidP="001C60EF">
      <w:pPr>
        <w:rPr>
          <w:rFonts w:asciiTheme="minorHAnsi" w:hAnsiTheme="minorHAnsi"/>
        </w:rPr>
      </w:pPr>
    </w:p>
    <w:p w:rsidR="00F56F86" w:rsidRDefault="009764C2">
      <w:pPr>
        <w:pStyle w:val="ListParagraph"/>
        <w:numPr>
          <w:ilvl w:val="0"/>
          <w:numId w:val="150"/>
        </w:numPr>
        <w:rPr>
          <w:rFonts w:asciiTheme="minorHAnsi" w:hAnsiTheme="minorHAnsi"/>
        </w:rPr>
      </w:pPr>
      <w:r w:rsidRPr="009764C2">
        <w:rPr>
          <w:rFonts w:asciiTheme="minorHAnsi" w:hAnsiTheme="minorHAnsi"/>
        </w:rPr>
        <w:t xml:space="preserve"> the following attached information of [name of GDB] prepared for the purposes of clause </w:t>
      </w:r>
      <w:r w:rsidR="00004445">
        <w:rPr>
          <w:rFonts w:asciiTheme="minorHAnsi" w:hAnsiTheme="minorHAnsi"/>
        </w:rPr>
        <w:fldChar w:fldCharType="begin"/>
      </w:r>
      <w:r w:rsidR="002244D5">
        <w:rPr>
          <w:rFonts w:asciiTheme="minorHAnsi" w:hAnsiTheme="minorHAnsi"/>
        </w:rPr>
        <w:instrText xml:space="preserve"> REF _Ref329115818 \r \h </w:instrText>
      </w:r>
      <w:r w:rsidR="00004445">
        <w:rPr>
          <w:rFonts w:asciiTheme="minorHAnsi" w:hAnsiTheme="minorHAnsi"/>
        </w:rPr>
      </w:r>
      <w:r w:rsidR="00004445">
        <w:rPr>
          <w:rFonts w:asciiTheme="minorHAnsi" w:hAnsiTheme="minorHAnsi"/>
        </w:rPr>
        <w:fldChar w:fldCharType="separate"/>
      </w:r>
      <w:r w:rsidR="00A84D28">
        <w:rPr>
          <w:rFonts w:asciiTheme="minorHAnsi" w:hAnsiTheme="minorHAnsi"/>
        </w:rPr>
        <w:t>2.4.1</w:t>
      </w:r>
      <w:r w:rsidR="00004445">
        <w:rPr>
          <w:rFonts w:asciiTheme="minorHAnsi" w:hAnsiTheme="minorHAnsi"/>
        </w:rPr>
        <w:fldChar w:fldCharType="end"/>
      </w:r>
      <w:r w:rsidRPr="009764C2">
        <w:rPr>
          <w:rFonts w:asciiTheme="minorHAnsi" w:hAnsiTheme="minorHAnsi"/>
        </w:rPr>
        <w:t xml:space="preserve">, clause </w:t>
      </w:r>
      <w:r w:rsidR="00004445">
        <w:rPr>
          <w:rFonts w:asciiTheme="minorHAnsi" w:hAnsiTheme="minorHAnsi"/>
        </w:rPr>
        <w:fldChar w:fldCharType="begin"/>
      </w:r>
      <w:r w:rsidR="002244D5">
        <w:rPr>
          <w:rFonts w:asciiTheme="minorHAnsi" w:hAnsiTheme="minorHAnsi"/>
        </w:rPr>
        <w:instrText xml:space="preserve"> REF _Ref311133930 \r \h </w:instrText>
      </w:r>
      <w:r w:rsidR="00004445">
        <w:rPr>
          <w:rFonts w:asciiTheme="minorHAnsi" w:hAnsiTheme="minorHAnsi"/>
        </w:rPr>
      </w:r>
      <w:r w:rsidR="00004445">
        <w:rPr>
          <w:rFonts w:asciiTheme="minorHAnsi" w:hAnsiTheme="minorHAnsi"/>
        </w:rPr>
        <w:fldChar w:fldCharType="separate"/>
      </w:r>
      <w:r w:rsidR="00A84D28">
        <w:rPr>
          <w:rFonts w:asciiTheme="minorHAnsi" w:hAnsiTheme="minorHAnsi"/>
        </w:rPr>
        <w:t>2.6.1</w:t>
      </w:r>
      <w:r w:rsidR="00004445">
        <w:rPr>
          <w:rFonts w:asciiTheme="minorHAnsi" w:hAnsiTheme="minorHAnsi"/>
        </w:rPr>
        <w:fldChar w:fldCharType="end"/>
      </w:r>
      <w:r w:rsidR="002244D5">
        <w:rPr>
          <w:rFonts w:asciiTheme="minorHAnsi" w:hAnsiTheme="minorHAnsi"/>
        </w:rPr>
        <w:t xml:space="preserve">, </w:t>
      </w:r>
      <w:r w:rsidR="00004445">
        <w:rPr>
          <w:rFonts w:asciiTheme="minorHAnsi" w:hAnsiTheme="minorHAnsi"/>
        </w:rPr>
        <w:fldChar w:fldCharType="begin"/>
      </w:r>
      <w:r w:rsidR="002244D5">
        <w:rPr>
          <w:rFonts w:asciiTheme="minorHAnsi" w:hAnsiTheme="minorHAnsi"/>
        </w:rPr>
        <w:instrText xml:space="preserve"> REF _Ref313456425 \r \h </w:instrText>
      </w:r>
      <w:r w:rsidR="00004445">
        <w:rPr>
          <w:rFonts w:asciiTheme="minorHAnsi" w:hAnsiTheme="minorHAnsi"/>
        </w:rPr>
      </w:r>
      <w:r w:rsidR="00004445">
        <w:rPr>
          <w:rFonts w:asciiTheme="minorHAnsi" w:hAnsiTheme="minorHAnsi"/>
        </w:rPr>
        <w:fldChar w:fldCharType="separate"/>
      </w:r>
      <w:r w:rsidR="00A84D28">
        <w:rPr>
          <w:rFonts w:asciiTheme="minorHAnsi" w:hAnsiTheme="minorHAnsi"/>
        </w:rPr>
        <w:t>2.6.3(2)</w:t>
      </w:r>
      <w:r w:rsidR="00004445">
        <w:rPr>
          <w:rFonts w:asciiTheme="minorHAnsi" w:hAnsiTheme="minorHAnsi"/>
        </w:rPr>
        <w:fldChar w:fldCharType="end"/>
      </w:r>
      <w:r w:rsidR="002244D5">
        <w:rPr>
          <w:rFonts w:asciiTheme="minorHAnsi" w:hAnsiTheme="minorHAnsi"/>
        </w:rPr>
        <w:t xml:space="preserve">, </w:t>
      </w:r>
      <w:r w:rsidR="00004445">
        <w:rPr>
          <w:rFonts w:asciiTheme="minorHAnsi" w:hAnsiTheme="minorHAnsi"/>
        </w:rPr>
        <w:fldChar w:fldCharType="begin"/>
      </w:r>
      <w:r w:rsidR="002244D5">
        <w:rPr>
          <w:rFonts w:asciiTheme="minorHAnsi" w:hAnsiTheme="minorHAnsi"/>
        </w:rPr>
        <w:instrText xml:space="preserve"> REF _Ref327953766 \r \h </w:instrText>
      </w:r>
      <w:r w:rsidR="00004445">
        <w:rPr>
          <w:rFonts w:asciiTheme="minorHAnsi" w:hAnsiTheme="minorHAnsi"/>
        </w:rPr>
      </w:r>
      <w:r w:rsidR="00004445">
        <w:rPr>
          <w:rFonts w:asciiTheme="minorHAnsi" w:hAnsiTheme="minorHAnsi"/>
        </w:rPr>
        <w:fldChar w:fldCharType="separate"/>
      </w:r>
      <w:r w:rsidR="00A84D28">
        <w:rPr>
          <w:rFonts w:asciiTheme="minorHAnsi" w:hAnsiTheme="minorHAnsi"/>
        </w:rPr>
        <w:t>2.6.5(2)</w:t>
      </w:r>
      <w:r w:rsidR="00004445">
        <w:rPr>
          <w:rFonts w:asciiTheme="minorHAnsi" w:hAnsiTheme="minorHAnsi"/>
        </w:rPr>
        <w:fldChar w:fldCharType="end"/>
      </w:r>
      <w:r w:rsidRPr="009764C2">
        <w:rPr>
          <w:rFonts w:asciiTheme="minorHAnsi" w:hAnsiTheme="minorHAnsi"/>
        </w:rPr>
        <w:t xml:space="preserve">1 and </w:t>
      </w:r>
      <w:r w:rsidR="00004445">
        <w:fldChar w:fldCharType="begin"/>
      </w:r>
      <w:r w:rsidR="002244D5">
        <w:instrText xml:space="preserve"> REF _Ref329274351 \w \h </w:instrText>
      </w:r>
      <w:r w:rsidR="00004445">
        <w:fldChar w:fldCharType="separate"/>
      </w:r>
      <w:r w:rsidR="00A84D28">
        <w:t>2.12.6(1)(b)</w:t>
      </w:r>
      <w:r w:rsidR="00004445">
        <w:fldChar w:fldCharType="end"/>
      </w:r>
      <w:r w:rsidRPr="009764C2">
        <w:rPr>
          <w:rFonts w:asciiTheme="minorHAnsi" w:hAnsiTheme="minorHAnsi"/>
        </w:rPr>
        <w:t xml:space="preserve"> of the Commerce Act (Gas</w:t>
      </w:r>
      <w:r w:rsidRPr="009764C2">
        <w:rPr>
          <w:rFonts w:asciiTheme="minorHAnsi" w:hAnsiTheme="minorHAnsi"/>
          <w:sz w:val="20"/>
          <w:szCs w:val="20"/>
          <w:lang w:eastAsia="en-GB"/>
        </w:rPr>
        <w:t xml:space="preserve"> </w:t>
      </w:r>
      <w:r w:rsidRPr="009764C2">
        <w:rPr>
          <w:rFonts w:asciiTheme="minorHAnsi" w:hAnsiTheme="minorHAnsi"/>
        </w:rPr>
        <w:t>Distribution Services Information Disclosure) Determination 2012 in all material respects complies with that determination.</w:t>
      </w:r>
    </w:p>
    <w:p w:rsidR="00F56F86" w:rsidRDefault="00F56F86">
      <w:pPr>
        <w:pStyle w:val="ListParagraph"/>
        <w:rPr>
          <w:rFonts w:asciiTheme="minorHAnsi" w:hAnsiTheme="minorHAnsi"/>
        </w:rPr>
      </w:pPr>
    </w:p>
    <w:p w:rsidR="00F56F86" w:rsidRPr="002244D5" w:rsidRDefault="006612EA" w:rsidP="002244D5">
      <w:pPr>
        <w:pStyle w:val="ListParagraph"/>
        <w:numPr>
          <w:ilvl w:val="0"/>
          <w:numId w:val="150"/>
        </w:numPr>
      </w:pPr>
      <w:r>
        <w:t>The prospective financial or non-financial information included the attached information has been measured on a basis consistent with regulatory requirements or recognised industry standards.</w:t>
      </w:r>
    </w:p>
    <w:p w:rsidR="001C60EF" w:rsidRPr="002F2828" w:rsidRDefault="001C60EF" w:rsidP="001C60EF">
      <w:pPr>
        <w:rPr>
          <w:rFonts w:asciiTheme="minorHAnsi" w:hAnsiTheme="minorHAnsi"/>
          <w:b/>
        </w:rPr>
      </w:pPr>
    </w:p>
    <w:p w:rsidR="001C60EF" w:rsidRPr="002F2828" w:rsidRDefault="001C60EF" w:rsidP="001C60EF">
      <w:pPr>
        <w:rPr>
          <w:rFonts w:asciiTheme="minorHAnsi" w:hAnsiTheme="minorHAnsi"/>
          <w:b/>
        </w:rPr>
      </w:pPr>
      <w:r w:rsidRPr="002F2828">
        <w:rPr>
          <w:rFonts w:asciiTheme="minorHAnsi" w:hAnsiTheme="minorHAnsi"/>
        </w:rPr>
        <w:t>[Signature</w:t>
      </w:r>
      <w:r w:rsidR="0083364C" w:rsidRPr="002F2828">
        <w:rPr>
          <w:rFonts w:asciiTheme="minorHAnsi" w:hAnsiTheme="minorHAnsi"/>
        </w:rPr>
        <w:t>s</w:t>
      </w:r>
      <w:r w:rsidRPr="002F2828">
        <w:rPr>
          <w:rFonts w:asciiTheme="minorHAnsi" w:hAnsiTheme="minorHAnsi"/>
        </w:rPr>
        <w:t xml:space="preserve"> of 2 directors]</w:t>
      </w:r>
    </w:p>
    <w:p w:rsidR="001C60EF" w:rsidRPr="002F2828" w:rsidRDefault="001C60EF" w:rsidP="001C60EF">
      <w:pPr>
        <w:rPr>
          <w:rFonts w:asciiTheme="minorHAnsi" w:hAnsiTheme="minorHAnsi"/>
          <w:b/>
        </w:rPr>
      </w:pPr>
      <w:r w:rsidRPr="002F2828">
        <w:rPr>
          <w:rFonts w:asciiTheme="minorHAnsi" w:hAnsiTheme="minorHAnsi"/>
        </w:rPr>
        <w:t>[Date]</w:t>
      </w:r>
    </w:p>
    <w:p w:rsidR="00CE4905" w:rsidRPr="002F2828" w:rsidRDefault="00CE4905" w:rsidP="001C60EF">
      <w:pPr>
        <w:rPr>
          <w:rFonts w:asciiTheme="minorHAnsi" w:hAnsiTheme="minorHAnsi"/>
          <w:b/>
        </w:rPr>
        <w:sectPr w:rsidR="00CE4905" w:rsidRPr="002F2828" w:rsidSect="00223E26">
          <w:headerReference w:type="first" r:id="rId142"/>
          <w:pgSz w:w="11907" w:h="16840" w:code="9"/>
          <w:pgMar w:top="1440" w:right="1440" w:bottom="1440" w:left="1440" w:header="1134" w:footer="431" w:gutter="0"/>
          <w:cols w:space="720"/>
          <w:titlePg/>
        </w:sectPr>
      </w:pPr>
    </w:p>
    <w:p w:rsidR="00CE4905" w:rsidRPr="002F2828" w:rsidRDefault="00626EDC" w:rsidP="00CE4905">
      <w:pPr>
        <w:pStyle w:val="Heading1"/>
        <w:spacing w:line="264" w:lineRule="auto"/>
        <w:jc w:val="center"/>
        <w:rPr>
          <w:rFonts w:asciiTheme="minorHAnsi" w:hAnsiTheme="minorHAnsi"/>
        </w:rPr>
      </w:pPr>
      <w:bookmarkStart w:id="793" w:name="_Toc279530914"/>
      <w:bookmarkStart w:id="794" w:name="_Toc280783028"/>
      <w:bookmarkStart w:id="795" w:name="_Toc329301670"/>
      <w:r>
        <w:rPr>
          <w:rFonts w:asciiTheme="minorHAnsi" w:hAnsiTheme="minorHAnsi"/>
        </w:rPr>
        <w:t>Schedule 18</w:t>
      </w:r>
      <w:r w:rsidR="00CE4905" w:rsidRPr="002F2828">
        <w:rPr>
          <w:rFonts w:asciiTheme="minorHAnsi" w:hAnsiTheme="minorHAnsi"/>
        </w:rPr>
        <w:tab/>
      </w:r>
      <w:r w:rsidR="00CE4905" w:rsidRPr="002F2828">
        <w:rPr>
          <w:rFonts w:asciiTheme="minorHAnsi" w:hAnsiTheme="minorHAnsi"/>
        </w:rPr>
        <w:tab/>
        <w:t xml:space="preserve">Certification for </w:t>
      </w:r>
      <w:r w:rsidR="0077528B" w:rsidRPr="002F2828">
        <w:rPr>
          <w:rFonts w:asciiTheme="minorHAnsi" w:hAnsiTheme="minorHAnsi"/>
        </w:rPr>
        <w:t>Y</w:t>
      </w:r>
      <w:r w:rsidR="000B1173" w:rsidRPr="002F2828">
        <w:rPr>
          <w:rFonts w:asciiTheme="minorHAnsi" w:hAnsiTheme="minorHAnsi"/>
        </w:rPr>
        <w:t xml:space="preserve">ear-end </w:t>
      </w:r>
      <w:r w:rsidR="0077528B" w:rsidRPr="002F2828">
        <w:rPr>
          <w:rFonts w:asciiTheme="minorHAnsi" w:hAnsiTheme="minorHAnsi"/>
        </w:rPr>
        <w:t>D</w:t>
      </w:r>
      <w:r w:rsidR="00CE4905" w:rsidRPr="002F2828">
        <w:rPr>
          <w:rFonts w:asciiTheme="minorHAnsi" w:hAnsiTheme="minorHAnsi"/>
        </w:rPr>
        <w:t>isclosures</w:t>
      </w:r>
      <w:bookmarkEnd w:id="795"/>
    </w:p>
    <w:p w:rsidR="000B1173" w:rsidRPr="002F2828" w:rsidRDefault="00821B6F" w:rsidP="000B1173">
      <w:pPr>
        <w:rPr>
          <w:rFonts w:asciiTheme="minorHAnsi" w:hAnsiTheme="minorHAnsi"/>
        </w:rPr>
      </w:pPr>
      <w:r w:rsidRPr="002F2828">
        <w:rPr>
          <w:rFonts w:asciiTheme="minorHAnsi" w:hAnsiTheme="minorHAnsi"/>
        </w:rPr>
        <w:t xml:space="preserve">Clause </w:t>
      </w:r>
      <w:r w:rsidR="00004445">
        <w:rPr>
          <w:rFonts w:asciiTheme="minorHAnsi" w:hAnsiTheme="minorHAnsi"/>
        </w:rPr>
        <w:fldChar w:fldCharType="begin"/>
      </w:r>
      <w:r w:rsidR="002244D5">
        <w:rPr>
          <w:rFonts w:asciiTheme="minorHAnsi" w:hAnsiTheme="minorHAnsi"/>
        </w:rPr>
        <w:instrText xml:space="preserve"> REF _Ref329297163 \r \h </w:instrText>
      </w:r>
      <w:r w:rsidR="00004445">
        <w:rPr>
          <w:rFonts w:asciiTheme="minorHAnsi" w:hAnsiTheme="minorHAnsi"/>
        </w:rPr>
      </w:r>
      <w:r w:rsidR="00004445">
        <w:rPr>
          <w:rFonts w:asciiTheme="minorHAnsi" w:hAnsiTheme="minorHAnsi"/>
        </w:rPr>
        <w:fldChar w:fldCharType="separate"/>
      </w:r>
      <w:r w:rsidR="00A84D28">
        <w:rPr>
          <w:rFonts w:asciiTheme="minorHAnsi" w:hAnsiTheme="minorHAnsi"/>
        </w:rPr>
        <w:t>2.9.2</w:t>
      </w:r>
      <w:r w:rsidR="00004445">
        <w:rPr>
          <w:rFonts w:asciiTheme="minorHAnsi" w:hAnsiTheme="minorHAnsi"/>
        </w:rPr>
        <w:fldChar w:fldCharType="end"/>
      </w:r>
    </w:p>
    <w:p w:rsidR="000B1173" w:rsidRPr="002F2828" w:rsidRDefault="000B1173" w:rsidP="000B1173">
      <w:pPr>
        <w:rPr>
          <w:rFonts w:asciiTheme="minorHAnsi" w:hAnsiTheme="minorHAnsi"/>
        </w:rPr>
      </w:pPr>
    </w:p>
    <w:p w:rsidR="000B1173" w:rsidRPr="002F2828" w:rsidRDefault="000B1173" w:rsidP="000B1173">
      <w:pPr>
        <w:rPr>
          <w:rFonts w:asciiTheme="minorHAnsi" w:hAnsiTheme="minorHAnsi"/>
        </w:rPr>
      </w:pPr>
      <w:r w:rsidRPr="002F2828">
        <w:rPr>
          <w:rFonts w:asciiTheme="minorHAnsi" w:hAnsiTheme="minorHAnsi"/>
        </w:rPr>
        <w:t>We, [insert names], being directors of [name of GDB] certify that, having made all reasonable enquiry, to the best of our knowledge</w:t>
      </w:r>
      <w:r w:rsidR="0083364C" w:rsidRPr="002F2828">
        <w:rPr>
          <w:rFonts w:asciiTheme="minorHAnsi" w:hAnsiTheme="minorHAnsi"/>
        </w:rPr>
        <w:t>,</w:t>
      </w:r>
      <w:r w:rsidRPr="002F2828">
        <w:rPr>
          <w:rFonts w:asciiTheme="minorHAnsi" w:hAnsiTheme="minorHAnsi"/>
        </w:rPr>
        <w:t xml:space="preserve"> the information prepared for the purposes of </w:t>
      </w:r>
      <w:r w:rsidR="00821B6F" w:rsidRPr="002F2828">
        <w:rPr>
          <w:rFonts w:asciiTheme="minorHAnsi" w:hAnsiTheme="minorHAnsi"/>
        </w:rPr>
        <w:t>clause</w:t>
      </w:r>
      <w:r w:rsidR="007113E4">
        <w:rPr>
          <w:rFonts w:asciiTheme="minorHAnsi" w:hAnsiTheme="minorHAnsi"/>
        </w:rPr>
        <w:t>s</w:t>
      </w:r>
      <w:r w:rsidR="00821B6F" w:rsidRPr="002F2828">
        <w:rPr>
          <w:rFonts w:asciiTheme="minorHAnsi" w:hAnsiTheme="minorHAnsi"/>
        </w:rPr>
        <w:t xml:space="preserve"> </w:t>
      </w:r>
      <w:r w:rsidR="00004445">
        <w:fldChar w:fldCharType="begin"/>
      </w:r>
      <w:r w:rsidR="007113E4">
        <w:instrText xml:space="preserve"> REF _Ref279613342 \r \h </w:instrText>
      </w:r>
      <w:r w:rsidR="00004445">
        <w:fldChar w:fldCharType="separate"/>
      </w:r>
      <w:r w:rsidR="00A84D28">
        <w:t>2.3.1</w:t>
      </w:r>
      <w:r w:rsidR="00004445">
        <w:fldChar w:fldCharType="end"/>
      </w:r>
      <w:r w:rsidR="007113E4">
        <w:t xml:space="preserve"> </w:t>
      </w:r>
      <w:r w:rsidR="00821B6F" w:rsidRPr="002F2828">
        <w:rPr>
          <w:rFonts w:asciiTheme="minorHAnsi" w:hAnsiTheme="minorHAnsi"/>
        </w:rPr>
        <w:t xml:space="preserve">and </w:t>
      </w:r>
      <w:r w:rsidR="00004445">
        <w:fldChar w:fldCharType="begin"/>
      </w:r>
      <w:r w:rsidR="007113E4">
        <w:instrText xml:space="preserve"> REF _Ref328953470 \r \h </w:instrText>
      </w:r>
      <w:r w:rsidR="00004445">
        <w:fldChar w:fldCharType="separate"/>
      </w:r>
      <w:r w:rsidR="00A84D28">
        <w:t>2.3.2</w:t>
      </w:r>
      <w:r w:rsidR="00004445">
        <w:fldChar w:fldCharType="end"/>
      </w:r>
      <w:r w:rsidR="007113E4">
        <w:t xml:space="preserve">, </w:t>
      </w:r>
      <w:r w:rsidR="007113E4" w:rsidRPr="002F2828">
        <w:t xml:space="preserve">clauses </w:t>
      </w:r>
      <w:r w:rsidR="00004445">
        <w:fldChar w:fldCharType="begin"/>
      </w:r>
      <w:r w:rsidR="007113E4">
        <w:instrText xml:space="preserve"> REF _Ref328953510 \r \h </w:instrText>
      </w:r>
      <w:r w:rsidR="00004445">
        <w:fldChar w:fldCharType="separate"/>
      </w:r>
      <w:r w:rsidR="00A84D28">
        <w:t>2.4.19</w:t>
      </w:r>
      <w:r w:rsidR="00004445">
        <w:fldChar w:fldCharType="end"/>
      </w:r>
      <w:r w:rsidR="007113E4" w:rsidRPr="002F2828">
        <w:t xml:space="preserve"> and </w:t>
      </w:r>
      <w:r w:rsidR="00004445">
        <w:fldChar w:fldCharType="begin"/>
      </w:r>
      <w:r w:rsidR="007113E4">
        <w:instrText xml:space="preserve"> REF _Ref328953520 \r \h </w:instrText>
      </w:r>
      <w:r w:rsidR="00004445">
        <w:fldChar w:fldCharType="separate"/>
      </w:r>
      <w:r w:rsidR="00A84D28">
        <w:t>2.4.20</w:t>
      </w:r>
      <w:r w:rsidR="00004445">
        <w:fldChar w:fldCharType="end"/>
      </w:r>
      <w:r w:rsidR="007113E4">
        <w:t>,</w:t>
      </w:r>
      <w:r w:rsidR="00821B6F" w:rsidRPr="002F2828">
        <w:rPr>
          <w:rFonts w:asciiTheme="minorHAnsi" w:hAnsiTheme="minorHAnsi"/>
        </w:rPr>
        <w:t xml:space="preserve"> </w:t>
      </w:r>
      <w:r w:rsidR="007113E4">
        <w:t xml:space="preserve">clause </w:t>
      </w:r>
      <w:r w:rsidR="00004445">
        <w:fldChar w:fldCharType="begin"/>
      </w:r>
      <w:r w:rsidR="007113E4">
        <w:instrText xml:space="preserve"> REF _Ref328953556 \r \h </w:instrText>
      </w:r>
      <w:r w:rsidR="00004445">
        <w:fldChar w:fldCharType="separate"/>
      </w:r>
      <w:r w:rsidR="00A84D28">
        <w:t>2.5.1</w:t>
      </w:r>
      <w:r w:rsidR="00004445">
        <w:fldChar w:fldCharType="end"/>
      </w:r>
      <w:r w:rsidR="007113E4">
        <w:t xml:space="preserve">, and clauses </w:t>
      </w:r>
      <w:r w:rsidR="00004445">
        <w:fldChar w:fldCharType="begin"/>
      </w:r>
      <w:r w:rsidR="007113E4">
        <w:instrText xml:space="preserve"> REF _Ref328811155 \r \h </w:instrText>
      </w:r>
      <w:r w:rsidR="00004445">
        <w:fldChar w:fldCharType="separate"/>
      </w:r>
      <w:r w:rsidR="00A84D28">
        <w:t>2.7.1</w:t>
      </w:r>
      <w:r w:rsidR="00004445">
        <w:fldChar w:fldCharType="end"/>
      </w:r>
      <w:r w:rsidR="007113E4">
        <w:t xml:space="preserve"> and </w:t>
      </w:r>
      <w:r w:rsidR="00004445">
        <w:fldChar w:fldCharType="begin"/>
      </w:r>
      <w:r w:rsidR="007113E4">
        <w:instrText xml:space="preserve"> REF _Ref329273784 \r \h </w:instrText>
      </w:r>
      <w:r w:rsidR="00004445">
        <w:fldChar w:fldCharType="separate"/>
      </w:r>
      <w:r w:rsidR="00A84D28">
        <w:t>2.7.2</w:t>
      </w:r>
      <w:r w:rsidR="00004445">
        <w:fldChar w:fldCharType="end"/>
      </w:r>
      <w:r w:rsidRPr="002F2828">
        <w:rPr>
          <w:rFonts w:asciiTheme="minorHAnsi" w:hAnsiTheme="minorHAnsi"/>
        </w:rPr>
        <w:t xml:space="preserve"> of the Commerce Act (Gas</w:t>
      </w:r>
      <w:r w:rsidRPr="002F2828">
        <w:rPr>
          <w:rFonts w:asciiTheme="minorHAnsi" w:hAnsiTheme="minorHAnsi"/>
          <w:sz w:val="20"/>
          <w:szCs w:val="20"/>
          <w:lang w:eastAsia="en-GB"/>
        </w:rPr>
        <w:t xml:space="preserve"> </w:t>
      </w:r>
      <w:r w:rsidRPr="002F2828">
        <w:rPr>
          <w:rFonts w:asciiTheme="minorHAnsi" w:hAnsiTheme="minorHAnsi"/>
        </w:rPr>
        <w:t>Distribution Services Information Disclosure) Determination 2012 in all material respects complies with that determination.</w:t>
      </w:r>
    </w:p>
    <w:p w:rsidR="000B1173" w:rsidRPr="002F2828" w:rsidRDefault="000B1173" w:rsidP="000B1173">
      <w:pPr>
        <w:rPr>
          <w:rFonts w:asciiTheme="minorHAnsi" w:hAnsiTheme="minorHAnsi"/>
        </w:rPr>
      </w:pPr>
    </w:p>
    <w:p w:rsidR="00B90FF1" w:rsidRPr="00AE15A9" w:rsidRDefault="009764C2" w:rsidP="00B90FF1">
      <w:r w:rsidRPr="009764C2">
        <w:t xml:space="preserve">*[In respect of related party costs and revenues recorded in accordance with clauses </w:t>
      </w:r>
      <w:r w:rsidR="00004445">
        <w:fldChar w:fldCharType="begin"/>
      </w:r>
      <w:r w:rsidR="007113E4">
        <w:instrText xml:space="preserve"> REF _Ref329297734 \r \h </w:instrText>
      </w:r>
      <w:r w:rsidR="00004445">
        <w:fldChar w:fldCharType="separate"/>
      </w:r>
      <w:r w:rsidR="00A84D28">
        <w:t>2.3.6(1)</w:t>
      </w:r>
      <w:r w:rsidR="00004445">
        <w:fldChar w:fldCharType="end"/>
      </w:r>
      <w:r w:rsidR="007113E4">
        <w:t xml:space="preserve">, </w:t>
      </w:r>
      <w:r w:rsidR="00004445">
        <w:fldChar w:fldCharType="begin"/>
      </w:r>
      <w:r w:rsidR="007113E4">
        <w:instrText xml:space="preserve"> REF _Ref329297745 \r \h </w:instrText>
      </w:r>
      <w:r w:rsidR="00004445">
        <w:fldChar w:fldCharType="separate"/>
      </w:r>
      <w:r w:rsidR="00A84D28">
        <w:t>2.3.6(2)(f)</w:t>
      </w:r>
      <w:r w:rsidR="00004445">
        <w:fldChar w:fldCharType="end"/>
      </w:r>
      <w:r w:rsidRPr="009764C2">
        <w:t xml:space="preserve"> and </w:t>
      </w:r>
      <w:r w:rsidR="00004445">
        <w:fldChar w:fldCharType="begin"/>
      </w:r>
      <w:r w:rsidR="007113E4">
        <w:instrText xml:space="preserve"> REF _Ref329297793 \r \h </w:instrText>
      </w:r>
      <w:r w:rsidR="00004445">
        <w:fldChar w:fldCharType="separate"/>
      </w:r>
      <w:r w:rsidR="00A84D28">
        <w:t>2.3.7(2)(b)</w:t>
      </w:r>
      <w:r w:rsidR="00004445">
        <w:fldChar w:fldCharType="end"/>
      </w:r>
      <w:r w:rsidRPr="009764C2">
        <w:t>, we certify that, having made all reasonable enquiry, including enquiries of our related parties, we are satisfied that to the best of our knowledge and belief the costs and revenues recorded for related party transactions reasonably reflect the price or prices that would have been paid or received had these transactions been at arm’s-length.]</w:t>
      </w:r>
    </w:p>
    <w:p w:rsidR="00B90FF1" w:rsidRDefault="00B90FF1" w:rsidP="00C77546">
      <w:pPr>
        <w:rPr>
          <w:rFonts w:asciiTheme="minorHAnsi" w:hAnsiTheme="minorHAnsi"/>
        </w:rPr>
      </w:pPr>
    </w:p>
    <w:p w:rsidR="00B90FF1" w:rsidRPr="002F2828" w:rsidRDefault="00B90FF1" w:rsidP="00C77546">
      <w:pPr>
        <w:rPr>
          <w:rFonts w:asciiTheme="minorHAnsi" w:hAnsiTheme="minorHAnsi"/>
        </w:rPr>
      </w:pPr>
    </w:p>
    <w:p w:rsidR="00C77546" w:rsidRPr="002F2828" w:rsidRDefault="00C77546" w:rsidP="00C77546">
      <w:pPr>
        <w:rPr>
          <w:rFonts w:asciiTheme="minorHAnsi" w:hAnsiTheme="minorHAnsi"/>
        </w:rPr>
      </w:pPr>
      <w:r w:rsidRPr="002F2828">
        <w:rPr>
          <w:rFonts w:asciiTheme="minorHAnsi" w:hAnsiTheme="minorHAnsi"/>
        </w:rPr>
        <w:t>*Delete if inapplicable</w:t>
      </w:r>
    </w:p>
    <w:p w:rsidR="000B1173" w:rsidRPr="002F2828" w:rsidRDefault="000B1173" w:rsidP="000B1173">
      <w:pPr>
        <w:rPr>
          <w:rFonts w:asciiTheme="minorHAnsi" w:hAnsiTheme="minorHAnsi"/>
        </w:rPr>
      </w:pPr>
    </w:p>
    <w:p w:rsidR="000B1173" w:rsidRPr="002F2828" w:rsidRDefault="000B1173" w:rsidP="000B1173">
      <w:pPr>
        <w:rPr>
          <w:rFonts w:asciiTheme="minorHAnsi" w:hAnsiTheme="minorHAnsi"/>
        </w:rPr>
      </w:pPr>
      <w:r w:rsidRPr="002F2828">
        <w:rPr>
          <w:rFonts w:asciiTheme="minorHAnsi" w:hAnsiTheme="minorHAnsi"/>
        </w:rPr>
        <w:t>[Signatures of 2 directors]</w:t>
      </w:r>
    </w:p>
    <w:p w:rsidR="000B1173" w:rsidRPr="002F2828" w:rsidRDefault="000B1173" w:rsidP="000B1173">
      <w:pPr>
        <w:rPr>
          <w:rFonts w:asciiTheme="minorHAnsi" w:hAnsiTheme="minorHAnsi"/>
        </w:rPr>
      </w:pPr>
      <w:r w:rsidRPr="002F2828">
        <w:rPr>
          <w:rFonts w:asciiTheme="minorHAnsi" w:hAnsiTheme="minorHAnsi"/>
        </w:rPr>
        <w:t>[Date]</w:t>
      </w:r>
    </w:p>
    <w:p w:rsidR="000B1173" w:rsidRPr="002F2828" w:rsidRDefault="004D7E5B" w:rsidP="000B1173">
      <w:pPr>
        <w:pStyle w:val="BodyText"/>
        <w:rPr>
          <w:rFonts w:asciiTheme="minorHAnsi" w:hAnsiTheme="minorHAnsi"/>
        </w:rPr>
      </w:pPr>
      <w:r>
        <w:rPr>
          <w:rFonts w:asciiTheme="minorHAnsi" w:hAnsiTheme="minorHAnsi"/>
        </w:rPr>
        <w:br w:type="column"/>
      </w:r>
    </w:p>
    <w:p w:rsidR="001C60EF" w:rsidRPr="002F2828" w:rsidRDefault="00A57915" w:rsidP="003B2FF5">
      <w:pPr>
        <w:pStyle w:val="Heading1"/>
        <w:jc w:val="center"/>
      </w:pPr>
      <w:bookmarkStart w:id="796" w:name="_Toc279530915"/>
      <w:bookmarkStart w:id="797" w:name="_Toc280783029"/>
      <w:bookmarkStart w:id="798" w:name="_Toc329301671"/>
      <w:bookmarkEnd w:id="793"/>
      <w:bookmarkEnd w:id="794"/>
      <w:r w:rsidRPr="002F2828">
        <w:t xml:space="preserve">Schedule </w:t>
      </w:r>
      <w:r w:rsidR="00626EDC">
        <w:t>19</w:t>
      </w:r>
      <w:r w:rsidRPr="002F2828">
        <w:tab/>
      </w:r>
      <w:r w:rsidRPr="002F2828">
        <w:tab/>
      </w:r>
      <w:r w:rsidR="001C60EF" w:rsidRPr="002F2828">
        <w:t xml:space="preserve">Certification </w:t>
      </w:r>
      <w:r w:rsidR="00900E69" w:rsidRPr="002F2828">
        <w:t xml:space="preserve">for </w:t>
      </w:r>
      <w:r w:rsidRPr="002F2828">
        <w:t>Transition</w:t>
      </w:r>
      <w:r w:rsidR="000B1173" w:rsidRPr="002F2828">
        <w:t>al</w:t>
      </w:r>
      <w:r w:rsidRPr="002F2828">
        <w:t xml:space="preserve"> </w:t>
      </w:r>
      <w:r w:rsidR="001C60EF" w:rsidRPr="002F2828">
        <w:t>Disclosure</w:t>
      </w:r>
      <w:bookmarkEnd w:id="796"/>
      <w:bookmarkEnd w:id="797"/>
      <w:r w:rsidRPr="002F2828">
        <w:t>s</w:t>
      </w:r>
      <w:bookmarkEnd w:id="798"/>
    </w:p>
    <w:p w:rsidR="001C60EF" w:rsidRPr="002F2828" w:rsidRDefault="00821B6F" w:rsidP="001C60EF">
      <w:pPr>
        <w:rPr>
          <w:rFonts w:asciiTheme="minorHAnsi" w:hAnsiTheme="minorHAnsi"/>
        </w:rPr>
      </w:pPr>
      <w:r w:rsidRPr="002F2828">
        <w:rPr>
          <w:rFonts w:asciiTheme="minorHAnsi" w:hAnsiTheme="minorHAnsi"/>
        </w:rPr>
        <w:t xml:space="preserve">Clause </w:t>
      </w:r>
      <w:r w:rsidR="00004445">
        <w:rPr>
          <w:rFonts w:asciiTheme="minorHAnsi" w:hAnsiTheme="minorHAnsi"/>
        </w:rPr>
        <w:fldChar w:fldCharType="begin"/>
      </w:r>
      <w:r w:rsidR="002244D5">
        <w:rPr>
          <w:rFonts w:asciiTheme="minorHAnsi" w:hAnsiTheme="minorHAnsi"/>
        </w:rPr>
        <w:instrText xml:space="preserve"> REF _Ref329297175 \r \h </w:instrText>
      </w:r>
      <w:r w:rsidR="00004445">
        <w:rPr>
          <w:rFonts w:asciiTheme="minorHAnsi" w:hAnsiTheme="minorHAnsi"/>
        </w:rPr>
      </w:r>
      <w:r w:rsidR="00004445">
        <w:rPr>
          <w:rFonts w:asciiTheme="minorHAnsi" w:hAnsiTheme="minorHAnsi"/>
        </w:rPr>
        <w:fldChar w:fldCharType="separate"/>
      </w:r>
      <w:r w:rsidR="00A84D28">
        <w:rPr>
          <w:rFonts w:asciiTheme="minorHAnsi" w:hAnsiTheme="minorHAnsi"/>
        </w:rPr>
        <w:t>2.9.3</w:t>
      </w:r>
      <w:r w:rsidR="00004445">
        <w:rPr>
          <w:rFonts w:asciiTheme="minorHAnsi" w:hAnsiTheme="minorHAnsi"/>
        </w:rPr>
        <w:fldChar w:fldCharType="end"/>
      </w:r>
    </w:p>
    <w:p w:rsidR="001C60EF" w:rsidRPr="002F2828" w:rsidRDefault="001C60EF" w:rsidP="001C60EF">
      <w:pPr>
        <w:rPr>
          <w:rFonts w:asciiTheme="minorHAnsi" w:hAnsiTheme="minorHAnsi"/>
        </w:rPr>
      </w:pPr>
    </w:p>
    <w:p w:rsidR="001C60EF" w:rsidRPr="002F2828" w:rsidRDefault="001C60EF" w:rsidP="001C60EF">
      <w:pPr>
        <w:rPr>
          <w:rFonts w:asciiTheme="minorHAnsi" w:hAnsiTheme="minorHAnsi"/>
        </w:rPr>
      </w:pPr>
      <w:r w:rsidRPr="002F2828">
        <w:rPr>
          <w:rFonts w:asciiTheme="minorHAnsi" w:hAnsiTheme="minorHAnsi"/>
        </w:rPr>
        <w:t>We, [insert names</w:t>
      </w:r>
      <w:r w:rsidR="00915CE9" w:rsidRPr="002F2828">
        <w:rPr>
          <w:rFonts w:asciiTheme="minorHAnsi" w:hAnsiTheme="minorHAnsi"/>
        </w:rPr>
        <w:t>], being directors of [name of G</w:t>
      </w:r>
      <w:r w:rsidRPr="002F2828">
        <w:rPr>
          <w:rFonts w:asciiTheme="minorHAnsi" w:hAnsiTheme="minorHAnsi"/>
        </w:rPr>
        <w:t xml:space="preserve">DB] certify that, having made all reasonable enquiry, to the best of our knowledge the information, prepared for the purposes of </w:t>
      </w:r>
      <w:r w:rsidR="007113E4">
        <w:rPr>
          <w:rFonts w:asciiTheme="minorHAnsi" w:hAnsiTheme="minorHAnsi"/>
        </w:rPr>
        <w:t xml:space="preserve">clause </w:t>
      </w:r>
      <w:r w:rsidR="00004445">
        <w:fldChar w:fldCharType="begin"/>
      </w:r>
      <w:r w:rsidR="007113E4">
        <w:instrText xml:space="preserve"> REF _Ref329169629 \r \h </w:instrText>
      </w:r>
      <w:r w:rsidR="00004445">
        <w:fldChar w:fldCharType="separate"/>
      </w:r>
      <w:r w:rsidR="00A84D28">
        <w:t>2.10.1</w:t>
      </w:r>
      <w:r w:rsidR="00004445">
        <w:fldChar w:fldCharType="end"/>
      </w:r>
      <w:r w:rsidR="007113E4">
        <w:t xml:space="preserve"> </w:t>
      </w:r>
      <w:r w:rsidRPr="002F2828">
        <w:rPr>
          <w:rFonts w:asciiTheme="minorHAnsi" w:hAnsiTheme="minorHAnsi"/>
        </w:rPr>
        <w:t xml:space="preserve">of the </w:t>
      </w:r>
      <w:r w:rsidR="00915CE9" w:rsidRPr="002F2828">
        <w:rPr>
          <w:rFonts w:asciiTheme="minorHAnsi" w:hAnsiTheme="minorHAnsi"/>
        </w:rPr>
        <w:t>Commerce Act (Gas</w:t>
      </w:r>
      <w:r w:rsidR="00915CE9" w:rsidRPr="002F2828">
        <w:rPr>
          <w:rFonts w:asciiTheme="minorHAnsi" w:hAnsiTheme="minorHAnsi"/>
          <w:sz w:val="20"/>
          <w:szCs w:val="20"/>
          <w:lang w:eastAsia="en-GB"/>
        </w:rPr>
        <w:t xml:space="preserve"> </w:t>
      </w:r>
      <w:r w:rsidR="00915CE9" w:rsidRPr="002F2828">
        <w:rPr>
          <w:rFonts w:asciiTheme="minorHAnsi" w:hAnsiTheme="minorHAnsi"/>
        </w:rPr>
        <w:t xml:space="preserve">Distribution Services Information Disclosure) Determination 2012 </w:t>
      </w:r>
      <w:r w:rsidR="00C15CDB" w:rsidRPr="002F2828">
        <w:rPr>
          <w:rFonts w:asciiTheme="minorHAnsi" w:hAnsiTheme="minorHAnsi"/>
        </w:rPr>
        <w:t xml:space="preserve">in all material respects </w:t>
      </w:r>
      <w:r w:rsidRPr="002F2828">
        <w:rPr>
          <w:rFonts w:asciiTheme="minorHAnsi" w:hAnsiTheme="minorHAnsi"/>
        </w:rPr>
        <w:t>complies with that determination.</w:t>
      </w:r>
    </w:p>
    <w:p w:rsidR="001C60EF" w:rsidRPr="002F2828" w:rsidRDefault="001C60EF" w:rsidP="001C60EF">
      <w:pPr>
        <w:rPr>
          <w:rFonts w:asciiTheme="minorHAnsi" w:hAnsiTheme="minorHAnsi"/>
        </w:rPr>
      </w:pPr>
    </w:p>
    <w:p w:rsidR="001C60EF" w:rsidRPr="002F2828" w:rsidRDefault="001C60EF" w:rsidP="001C60EF">
      <w:pPr>
        <w:rPr>
          <w:rFonts w:asciiTheme="minorHAnsi" w:hAnsiTheme="minorHAnsi"/>
        </w:rPr>
      </w:pPr>
      <w:r w:rsidRPr="002F2828">
        <w:rPr>
          <w:rFonts w:asciiTheme="minorHAnsi" w:hAnsiTheme="minorHAnsi"/>
        </w:rPr>
        <w:t>[Signatures of 2 directors]</w:t>
      </w:r>
    </w:p>
    <w:p w:rsidR="001C60EF" w:rsidRPr="00301B40" w:rsidRDefault="001C60EF" w:rsidP="001C60EF">
      <w:pPr>
        <w:rPr>
          <w:rFonts w:asciiTheme="minorHAnsi" w:hAnsiTheme="minorHAnsi"/>
        </w:rPr>
      </w:pPr>
      <w:r w:rsidRPr="002F2828">
        <w:rPr>
          <w:rFonts w:asciiTheme="minorHAnsi" w:hAnsiTheme="minorHAnsi"/>
        </w:rPr>
        <w:t>[Date]</w:t>
      </w:r>
    </w:p>
    <w:p w:rsidR="001C60EF" w:rsidRPr="00301B40" w:rsidRDefault="001C60EF" w:rsidP="001C60EF">
      <w:pPr>
        <w:rPr>
          <w:rFonts w:asciiTheme="minorHAnsi" w:hAnsiTheme="minorHAnsi"/>
          <w:b/>
        </w:rPr>
      </w:pPr>
    </w:p>
    <w:p w:rsidR="001C60EF" w:rsidRPr="00301B40" w:rsidRDefault="001C60EF" w:rsidP="001C60EF">
      <w:pPr>
        <w:rPr>
          <w:rFonts w:asciiTheme="minorHAnsi" w:hAnsiTheme="minorHAnsi"/>
        </w:rPr>
      </w:pPr>
    </w:p>
    <w:sectPr w:rsidR="001C60EF" w:rsidRPr="00301B40" w:rsidSect="00223E26">
      <w:pgSz w:w="11907" w:h="16840" w:code="9"/>
      <w:pgMar w:top="1440" w:right="1440" w:bottom="1440" w:left="1440" w:header="1134" w:footer="431"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636F" w:rsidRDefault="00FA636F">
      <w:r>
        <w:separator/>
      </w:r>
    </w:p>
  </w:endnote>
  <w:endnote w:type="continuationSeparator" w:id="0">
    <w:p w:rsidR="00FA636F" w:rsidRDefault="00FA636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libri Bold">
    <w:panose1 w:val="00000000000000000000"/>
    <w:charset w:val="00"/>
    <w:family w:val="roman"/>
    <w:notTrueType/>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Times">
    <w:panose1 w:val="02020603050405020304"/>
    <w:charset w:val="00"/>
    <w:family w:val="roman"/>
    <w:pitch w:val="variable"/>
    <w:sig w:usb0="20002A87" w:usb1="80000000" w:usb2="00000008"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imes-Roman">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636F" w:rsidRPr="000F1887" w:rsidRDefault="00FA636F" w:rsidP="009844DA">
    <w:pPr>
      <w:pStyle w:val="Footer"/>
      <w:jc w:val="right"/>
      <w:rPr>
        <w:rFonts w:asciiTheme="minorHAnsi" w:hAnsiTheme="minorHAnsi"/>
        <w:sz w:val="16"/>
      </w:rPr>
    </w:pPr>
  </w:p>
  <w:p w:rsidR="00FA636F" w:rsidRPr="00B71C7C" w:rsidRDefault="00B71C7C" w:rsidP="00B71C7C">
    <w:pPr>
      <w:pStyle w:val="Footer"/>
      <w:jc w:val="right"/>
      <w:rPr>
        <w:sz w:val="16"/>
      </w:rPr>
    </w:pPr>
    <w:r w:rsidRPr="00B71C7C">
      <w:rPr>
        <w:sz w:val="16"/>
      </w:rPr>
      <w:t>1397674.5</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1C7C" w:rsidRPr="00B71C7C" w:rsidRDefault="00B71C7C" w:rsidP="00B71C7C">
    <w:pPr>
      <w:pStyle w:val="Footer"/>
      <w:jc w:val="left"/>
      <w:rPr>
        <w:sz w:val="16"/>
      </w:rPr>
    </w:pPr>
    <w:r w:rsidRPr="00B71C7C">
      <w:rPr>
        <w:sz w:val="16"/>
      </w:rPr>
      <w:t>1397674.5</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1C7C" w:rsidRPr="00B71C7C" w:rsidRDefault="00B71C7C" w:rsidP="00B71C7C">
    <w:pPr>
      <w:pStyle w:val="Footer"/>
      <w:jc w:val="left"/>
      <w:rPr>
        <w:sz w:val="16"/>
      </w:rPr>
    </w:pPr>
    <w:r w:rsidRPr="00B71C7C">
      <w:rPr>
        <w:sz w:val="16"/>
      </w:rPr>
      <w:t>1397674.5</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636F" w:rsidRDefault="00FA636F">
      <w:r>
        <w:separator/>
      </w:r>
    </w:p>
  </w:footnote>
  <w:footnote w:type="continuationSeparator" w:id="0">
    <w:p w:rsidR="00FA636F" w:rsidRDefault="00FA636F">
      <w:r>
        <w:continuationSeparator/>
      </w:r>
    </w:p>
  </w:footnote>
  <w:footnote w:id="1">
    <w:p w:rsidR="0089227F" w:rsidRDefault="0089227F" w:rsidP="0089227F">
      <w:pPr>
        <w:pStyle w:val="FootnoteText"/>
      </w:pPr>
      <w:r w:rsidRPr="000118ED">
        <w:rPr>
          <w:rStyle w:val="FootnoteReference"/>
          <w:rFonts w:asciiTheme="minorHAnsi" w:hAnsiTheme="minorHAnsi"/>
        </w:rPr>
        <w:footnoteRef/>
      </w:r>
      <w:r w:rsidRPr="000118ED">
        <w:rPr>
          <w:rFonts w:asciiTheme="minorHAnsi" w:hAnsiTheme="minorHAnsi"/>
        </w:rPr>
        <w:t xml:space="preserve"> </w:t>
      </w:r>
      <w:r>
        <w:tab/>
      </w:r>
      <w:r w:rsidRPr="000118ED">
        <w:rPr>
          <w:rFonts w:asciiTheme="minorHAnsi" w:hAnsiTheme="minorHAnsi"/>
        </w:rPr>
        <w:t xml:space="preserve">A copy of the Commission’s Draft Initial Default Price-Quality Paths for Gas Pipelines Businesses Draft Reasons Paper and Draft Determinations can be found at: </w:t>
      </w:r>
      <w:hyperlink r:id="rId1" w:history="1">
        <w:r w:rsidRPr="00321CE5">
          <w:rPr>
            <w:rStyle w:val="Hyperlink"/>
            <w:rFonts w:asciiTheme="minorHAnsi" w:hAnsiTheme="minorHAnsi"/>
          </w:rPr>
          <w:t>http://www.comcom.govt.nz/2012-default-price-quality-path/</w:t>
        </w:r>
      </w:hyperlink>
      <w:r w:rsidRPr="000118ED">
        <w:rPr>
          <w:rFonts w:asciiTheme="minorHAnsi" w:hAnsiTheme="minorHAnsi"/>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1C7C" w:rsidRDefault="00B71C7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val="0"/>
        <w:caps w:val="0"/>
        <w:sz w:val="24"/>
        <w:szCs w:val="24"/>
      </w:rPr>
      <w:id w:val="3495344"/>
      <w:docPartObj>
        <w:docPartGallery w:val="Page Numbers (Top of Page)"/>
        <w:docPartUnique/>
      </w:docPartObj>
    </w:sdtPr>
    <w:sdtEndPr>
      <w:rPr>
        <w:rFonts w:asciiTheme="minorHAnsi" w:hAnsiTheme="minorHAnsi"/>
        <w:sz w:val="22"/>
        <w:szCs w:val="22"/>
      </w:rPr>
    </w:sdtEndPr>
    <w:sdtContent>
      <w:p w:rsidR="00FA636F" w:rsidRPr="000B08C6" w:rsidRDefault="00FA636F" w:rsidP="00BE3395">
        <w:pPr>
          <w:pStyle w:val="ChapterHeading"/>
          <w:numPr>
            <w:ilvl w:val="0"/>
            <w:numId w:val="0"/>
          </w:numPr>
          <w:tabs>
            <w:tab w:val="left" w:pos="720"/>
          </w:tabs>
          <w:spacing w:before="0" w:after="0"/>
          <w:rPr>
            <w:rFonts w:asciiTheme="minorHAnsi" w:hAnsiTheme="minorHAnsi"/>
            <w:b w:val="0"/>
            <w:sz w:val="20"/>
            <w:szCs w:val="20"/>
            <w:lang w:eastAsia="en-GB"/>
          </w:rPr>
        </w:pPr>
        <w:r>
          <w:rPr>
            <w:rFonts w:asciiTheme="minorHAnsi" w:hAnsiTheme="minorHAnsi"/>
            <w:b w:val="0"/>
            <w:caps w:val="0"/>
            <w:sz w:val="20"/>
            <w:szCs w:val="20"/>
            <w:lang w:eastAsia="en-GB"/>
          </w:rPr>
          <w:t xml:space="preserve">Draft </w:t>
        </w:r>
        <w:r w:rsidRPr="000B08C6">
          <w:rPr>
            <w:rFonts w:asciiTheme="minorHAnsi" w:hAnsiTheme="minorHAnsi"/>
            <w:b w:val="0"/>
            <w:caps w:val="0"/>
            <w:sz w:val="20"/>
            <w:szCs w:val="20"/>
            <w:lang w:eastAsia="en-GB"/>
          </w:rPr>
          <w:t>Commerce Act (Gas Distribution Services Information Disclosure) Determination 2012</w:t>
        </w:r>
      </w:p>
      <w:p w:rsidR="00FA636F" w:rsidRPr="00BE3395" w:rsidRDefault="00004445">
        <w:pPr>
          <w:pStyle w:val="Header"/>
          <w:rPr>
            <w:rFonts w:asciiTheme="minorHAnsi" w:hAnsiTheme="minorHAnsi"/>
            <w:sz w:val="22"/>
            <w:szCs w:val="22"/>
          </w:rPr>
        </w:pPr>
        <w:r w:rsidRPr="00BE3395">
          <w:rPr>
            <w:rFonts w:asciiTheme="minorHAnsi" w:hAnsiTheme="minorHAnsi"/>
            <w:sz w:val="22"/>
            <w:szCs w:val="22"/>
          </w:rPr>
          <w:fldChar w:fldCharType="begin"/>
        </w:r>
        <w:r w:rsidR="00FA636F" w:rsidRPr="00BE3395">
          <w:rPr>
            <w:rFonts w:asciiTheme="minorHAnsi" w:hAnsiTheme="minorHAnsi"/>
            <w:sz w:val="22"/>
            <w:szCs w:val="22"/>
          </w:rPr>
          <w:instrText xml:space="preserve"> PAGE   \* MERGEFORMAT </w:instrText>
        </w:r>
        <w:r w:rsidRPr="00BE3395">
          <w:rPr>
            <w:rFonts w:asciiTheme="minorHAnsi" w:hAnsiTheme="minorHAnsi"/>
            <w:sz w:val="22"/>
            <w:szCs w:val="22"/>
          </w:rPr>
          <w:fldChar w:fldCharType="separate"/>
        </w:r>
        <w:r w:rsidR="00BE662F">
          <w:rPr>
            <w:rFonts w:asciiTheme="minorHAnsi" w:hAnsiTheme="minorHAnsi"/>
            <w:noProof/>
            <w:sz w:val="22"/>
            <w:szCs w:val="22"/>
          </w:rPr>
          <w:t>158</w:t>
        </w:r>
        <w:r w:rsidRPr="00BE3395">
          <w:rPr>
            <w:rFonts w:asciiTheme="minorHAnsi" w:hAnsiTheme="minorHAnsi"/>
            <w:sz w:val="22"/>
            <w:szCs w:val="22"/>
          </w:rPr>
          <w:fldChar w:fldCharType="end"/>
        </w:r>
      </w:p>
    </w:sdtContent>
  </w:sdt>
  <w:p w:rsidR="00FA636F" w:rsidRPr="001D7657" w:rsidRDefault="00FA636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636F" w:rsidRDefault="00FA636F" w:rsidP="00790798">
    <w:pPr>
      <w:pStyle w:val="Header"/>
      <w:tabs>
        <w:tab w:val="clear" w:pos="4153"/>
        <w:tab w:val="clear" w:pos="8306"/>
      </w:tabs>
      <w:jc w:val="left"/>
    </w:pPr>
    <w:r w:rsidRPr="00790798">
      <w:rPr>
        <w:noProof/>
        <w:lang w:eastAsia="en-NZ"/>
      </w:rPr>
      <w:drawing>
        <wp:inline distT="0" distB="0" distL="0" distR="0">
          <wp:extent cx="1982470" cy="604520"/>
          <wp:effectExtent l="19050" t="0" r="0" b="0"/>
          <wp:docPr id="1" name="Picture 1" descr="ComComNZ-Long-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ComNZ-Long-Colour.jpg"/>
                  <pic:cNvPicPr/>
                </pic:nvPicPr>
                <pic:blipFill>
                  <a:blip r:embed="rId1"/>
                  <a:stretch>
                    <a:fillRect/>
                  </a:stretch>
                </pic:blipFill>
                <pic:spPr>
                  <a:xfrm>
                    <a:off x="0" y="0"/>
                    <a:ext cx="1982470" cy="604520"/>
                  </a:xfrm>
                  <a:prstGeom prst="rect">
                    <a:avLst/>
                  </a:prstGeom>
                </pic:spPr>
              </pic:pic>
            </a:graphicData>
          </a:graphic>
        </wp:inline>
      </w:drawing>
    </w:r>
  </w:p>
  <w:p w:rsidR="00FA636F" w:rsidRDefault="00FA636F" w:rsidP="00790798">
    <w:pPr>
      <w:pStyle w:val="Header"/>
      <w:tabs>
        <w:tab w:val="clear" w:pos="4153"/>
        <w:tab w:val="clear" w:pos="8306"/>
      </w:tabs>
      <w:jc w:val="left"/>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val="0"/>
        <w:caps w:val="0"/>
        <w:sz w:val="24"/>
        <w:szCs w:val="24"/>
      </w:rPr>
      <w:id w:val="200423457"/>
      <w:docPartObj>
        <w:docPartGallery w:val="Page Numbers (Top of Page)"/>
        <w:docPartUnique/>
      </w:docPartObj>
    </w:sdtPr>
    <w:sdtEndPr>
      <w:rPr>
        <w:rFonts w:asciiTheme="minorHAnsi" w:hAnsiTheme="minorHAnsi"/>
        <w:sz w:val="22"/>
        <w:szCs w:val="22"/>
      </w:rPr>
    </w:sdtEndPr>
    <w:sdtContent>
      <w:p w:rsidR="00FA636F" w:rsidRPr="000B08C6" w:rsidRDefault="00FA636F" w:rsidP="00D93A2A">
        <w:pPr>
          <w:pStyle w:val="ChapterHeading"/>
          <w:numPr>
            <w:ilvl w:val="0"/>
            <w:numId w:val="0"/>
          </w:numPr>
          <w:tabs>
            <w:tab w:val="left" w:pos="720"/>
          </w:tabs>
          <w:spacing w:before="0" w:after="0"/>
          <w:rPr>
            <w:rFonts w:asciiTheme="minorHAnsi" w:hAnsiTheme="minorHAnsi"/>
            <w:b w:val="0"/>
            <w:sz w:val="20"/>
            <w:szCs w:val="20"/>
            <w:lang w:eastAsia="en-GB"/>
          </w:rPr>
        </w:pPr>
        <w:r>
          <w:rPr>
            <w:rFonts w:asciiTheme="minorHAnsi" w:hAnsiTheme="minorHAnsi"/>
            <w:b w:val="0"/>
            <w:caps w:val="0"/>
            <w:sz w:val="20"/>
            <w:szCs w:val="20"/>
            <w:lang w:eastAsia="en-GB"/>
          </w:rPr>
          <w:t xml:space="preserve">Draft </w:t>
        </w:r>
        <w:r w:rsidRPr="000B08C6">
          <w:rPr>
            <w:rFonts w:asciiTheme="minorHAnsi" w:hAnsiTheme="minorHAnsi"/>
            <w:b w:val="0"/>
            <w:caps w:val="0"/>
            <w:sz w:val="20"/>
            <w:szCs w:val="20"/>
            <w:lang w:eastAsia="en-GB"/>
          </w:rPr>
          <w:t>Commerce Act (Gas Distribution Services Information Disclosure) Determination 2012</w:t>
        </w:r>
      </w:p>
      <w:p w:rsidR="00FA636F" w:rsidRPr="00D93A2A" w:rsidRDefault="00004445">
        <w:pPr>
          <w:pStyle w:val="Header"/>
          <w:rPr>
            <w:rFonts w:asciiTheme="minorHAnsi" w:hAnsiTheme="minorHAnsi"/>
            <w:sz w:val="22"/>
            <w:szCs w:val="22"/>
          </w:rPr>
        </w:pPr>
        <w:r w:rsidRPr="00D93A2A">
          <w:rPr>
            <w:rFonts w:asciiTheme="minorHAnsi" w:hAnsiTheme="minorHAnsi"/>
            <w:sz w:val="22"/>
            <w:szCs w:val="22"/>
          </w:rPr>
          <w:fldChar w:fldCharType="begin"/>
        </w:r>
        <w:r w:rsidR="00FA636F" w:rsidRPr="00D93A2A">
          <w:rPr>
            <w:rFonts w:asciiTheme="minorHAnsi" w:hAnsiTheme="minorHAnsi"/>
            <w:sz w:val="22"/>
            <w:szCs w:val="22"/>
          </w:rPr>
          <w:instrText xml:space="preserve"> PAGE   \* MERGEFORMAT </w:instrText>
        </w:r>
        <w:r w:rsidRPr="00D93A2A">
          <w:rPr>
            <w:rFonts w:asciiTheme="minorHAnsi" w:hAnsiTheme="minorHAnsi"/>
            <w:sz w:val="22"/>
            <w:szCs w:val="22"/>
          </w:rPr>
          <w:fldChar w:fldCharType="separate"/>
        </w:r>
        <w:r w:rsidR="00E07095">
          <w:rPr>
            <w:rFonts w:asciiTheme="minorHAnsi" w:hAnsiTheme="minorHAnsi"/>
            <w:noProof/>
            <w:sz w:val="22"/>
            <w:szCs w:val="22"/>
          </w:rPr>
          <w:t>39</w:t>
        </w:r>
        <w:r w:rsidRPr="00D93A2A">
          <w:rPr>
            <w:rFonts w:asciiTheme="minorHAnsi" w:hAnsiTheme="minorHAnsi"/>
            <w:sz w:val="22"/>
            <w:szCs w:val="22"/>
          </w:rPr>
          <w:fldChar w:fldCharType="end"/>
        </w:r>
      </w:p>
    </w:sdtContent>
  </w:sdt>
  <w:p w:rsidR="00FA636F" w:rsidRDefault="00FA636F">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val="0"/>
        <w:caps w:val="0"/>
        <w:sz w:val="20"/>
        <w:szCs w:val="20"/>
      </w:rPr>
      <w:id w:val="200423455"/>
      <w:docPartObj>
        <w:docPartGallery w:val="Page Numbers (Top of Page)"/>
        <w:docPartUnique/>
      </w:docPartObj>
    </w:sdtPr>
    <w:sdtEndPr>
      <w:rPr>
        <w:sz w:val="24"/>
        <w:szCs w:val="24"/>
      </w:rPr>
    </w:sdtEndPr>
    <w:sdtContent>
      <w:p w:rsidR="00FA636F" w:rsidRPr="000B08C6" w:rsidRDefault="00FA636F" w:rsidP="0005720D">
        <w:pPr>
          <w:pStyle w:val="ChapterHeading"/>
          <w:numPr>
            <w:ilvl w:val="0"/>
            <w:numId w:val="0"/>
          </w:numPr>
          <w:tabs>
            <w:tab w:val="left" w:pos="720"/>
          </w:tabs>
          <w:spacing w:before="0" w:after="0"/>
          <w:rPr>
            <w:b w:val="0"/>
            <w:sz w:val="20"/>
            <w:szCs w:val="20"/>
            <w:lang w:eastAsia="en-GB"/>
          </w:rPr>
        </w:pPr>
        <w:r w:rsidRPr="000B08C6">
          <w:rPr>
            <w:b w:val="0"/>
            <w:caps w:val="0"/>
            <w:sz w:val="20"/>
            <w:szCs w:val="20"/>
            <w:lang w:eastAsia="en-GB"/>
          </w:rPr>
          <w:t>Commerce Act (Electricity Distribution Services</w:t>
        </w:r>
        <w:r>
          <w:rPr>
            <w:b w:val="0"/>
            <w:caps w:val="0"/>
            <w:sz w:val="20"/>
            <w:szCs w:val="20"/>
            <w:lang w:eastAsia="en-GB"/>
          </w:rPr>
          <w:t xml:space="preserve"> Information Disclosure</w:t>
        </w:r>
        <w:r w:rsidRPr="000B08C6">
          <w:rPr>
            <w:b w:val="0"/>
            <w:caps w:val="0"/>
            <w:sz w:val="20"/>
            <w:szCs w:val="20"/>
            <w:lang w:eastAsia="en-GB"/>
          </w:rPr>
          <w:t>) Determination 2012</w:t>
        </w:r>
      </w:p>
      <w:p w:rsidR="00FA636F" w:rsidRPr="003C2ACB" w:rsidRDefault="00004445">
        <w:pPr>
          <w:pStyle w:val="Header"/>
        </w:pPr>
        <w:fldSimple w:instr=" PAGE   \* MERGEFORMAT ">
          <w:r w:rsidR="00E07095">
            <w:rPr>
              <w:noProof/>
            </w:rPr>
            <w:t>120</w:t>
          </w:r>
        </w:fldSimple>
      </w:p>
    </w:sdtContent>
  </w:sdt>
  <w:p w:rsidR="00FA636F" w:rsidRDefault="00FA636F">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inorHAnsi" w:hAnsiTheme="minorHAnsi"/>
        <w:b w:val="0"/>
        <w:caps w:val="0"/>
        <w:sz w:val="20"/>
        <w:szCs w:val="20"/>
      </w:rPr>
      <w:id w:val="200423456"/>
      <w:docPartObj>
        <w:docPartGallery w:val="Page Numbers (Top of Page)"/>
        <w:docPartUnique/>
      </w:docPartObj>
    </w:sdtPr>
    <w:sdtEndPr>
      <w:rPr>
        <w:sz w:val="22"/>
        <w:szCs w:val="22"/>
      </w:rPr>
    </w:sdtEndPr>
    <w:sdtContent>
      <w:p w:rsidR="00FA636F" w:rsidRPr="000B08C6" w:rsidRDefault="00FA636F" w:rsidP="00BE3395">
        <w:pPr>
          <w:pStyle w:val="ChapterHeading"/>
          <w:numPr>
            <w:ilvl w:val="0"/>
            <w:numId w:val="0"/>
          </w:numPr>
          <w:tabs>
            <w:tab w:val="left" w:pos="720"/>
          </w:tabs>
          <w:spacing w:before="0" w:after="0"/>
          <w:rPr>
            <w:rFonts w:asciiTheme="minorHAnsi" w:hAnsiTheme="minorHAnsi"/>
            <w:b w:val="0"/>
            <w:sz w:val="20"/>
            <w:szCs w:val="20"/>
            <w:lang w:eastAsia="en-GB"/>
          </w:rPr>
        </w:pPr>
        <w:r>
          <w:rPr>
            <w:rFonts w:asciiTheme="minorHAnsi" w:hAnsiTheme="minorHAnsi"/>
            <w:b w:val="0"/>
            <w:caps w:val="0"/>
            <w:sz w:val="20"/>
            <w:szCs w:val="20"/>
            <w:lang w:eastAsia="en-GB"/>
          </w:rPr>
          <w:t xml:space="preserve">Draft </w:t>
        </w:r>
        <w:r w:rsidRPr="000B08C6">
          <w:rPr>
            <w:rFonts w:asciiTheme="minorHAnsi" w:hAnsiTheme="minorHAnsi"/>
            <w:b w:val="0"/>
            <w:caps w:val="0"/>
            <w:sz w:val="20"/>
            <w:szCs w:val="20"/>
            <w:lang w:eastAsia="en-GB"/>
          </w:rPr>
          <w:t>Commerce Act (Gas Distribution Services Information Disclosure) Determination 2012</w:t>
        </w:r>
      </w:p>
      <w:p w:rsidR="00FA636F" w:rsidRPr="00BE3395" w:rsidRDefault="00004445">
        <w:pPr>
          <w:pStyle w:val="Header"/>
          <w:rPr>
            <w:rFonts w:asciiTheme="minorHAnsi" w:hAnsiTheme="minorHAnsi"/>
            <w:sz w:val="22"/>
            <w:szCs w:val="22"/>
          </w:rPr>
        </w:pPr>
        <w:r w:rsidRPr="00BE3395">
          <w:rPr>
            <w:rFonts w:asciiTheme="minorHAnsi" w:hAnsiTheme="minorHAnsi"/>
            <w:sz w:val="22"/>
            <w:szCs w:val="22"/>
          </w:rPr>
          <w:fldChar w:fldCharType="begin"/>
        </w:r>
        <w:r w:rsidR="00FA636F" w:rsidRPr="00BE3395">
          <w:rPr>
            <w:rFonts w:asciiTheme="minorHAnsi" w:hAnsiTheme="minorHAnsi"/>
            <w:sz w:val="22"/>
            <w:szCs w:val="22"/>
          </w:rPr>
          <w:instrText xml:space="preserve"> PAGE   \* MERGEFORMAT </w:instrText>
        </w:r>
        <w:r w:rsidRPr="00BE3395">
          <w:rPr>
            <w:rFonts w:asciiTheme="minorHAnsi" w:hAnsiTheme="minorHAnsi"/>
            <w:sz w:val="22"/>
            <w:szCs w:val="22"/>
          </w:rPr>
          <w:fldChar w:fldCharType="separate"/>
        </w:r>
        <w:r w:rsidR="00BE662F">
          <w:rPr>
            <w:rFonts w:asciiTheme="minorHAnsi" w:hAnsiTheme="minorHAnsi"/>
            <w:noProof/>
            <w:sz w:val="22"/>
            <w:szCs w:val="22"/>
          </w:rPr>
          <w:t>159</w:t>
        </w:r>
        <w:r w:rsidRPr="00BE3395">
          <w:rPr>
            <w:rFonts w:asciiTheme="minorHAnsi" w:hAnsiTheme="minorHAnsi"/>
            <w:sz w:val="22"/>
            <w:szCs w:val="22"/>
          </w:rPr>
          <w:fldChar w:fldCharType="end"/>
        </w:r>
      </w:p>
    </w:sdtContent>
  </w:sdt>
  <w:p w:rsidR="00FA636F" w:rsidRDefault="00FA636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D"/>
    <w:multiLevelType w:val="singleLevel"/>
    <w:tmpl w:val="7512AC2E"/>
    <w:lvl w:ilvl="0">
      <w:start w:val="1"/>
      <w:numFmt w:val="lowerLetter"/>
      <w:pStyle w:val="ListNumber4"/>
      <w:lvlText w:val="%1)"/>
      <w:lvlJc w:val="left"/>
      <w:pPr>
        <w:tabs>
          <w:tab w:val="num" w:pos="1209"/>
        </w:tabs>
        <w:ind w:left="1209" w:hanging="360"/>
      </w:pPr>
      <w:rPr>
        <w:rFonts w:hint="default"/>
      </w:rPr>
    </w:lvl>
  </w:abstractNum>
  <w:abstractNum w:abstractNumId="1">
    <w:nsid w:val="021C190F"/>
    <w:multiLevelType w:val="multilevel"/>
    <w:tmpl w:val="1EA05298"/>
    <w:lvl w:ilvl="0">
      <w:start w:val="1"/>
      <w:numFmt w:val="decimal"/>
      <w:lvlText w:val="%1"/>
      <w:lvlJc w:val="left"/>
      <w:pPr>
        <w:ind w:left="360" w:hanging="360"/>
      </w:pPr>
      <w:rPr>
        <w:rFonts w:cs="Times New Roman" w:hint="default"/>
      </w:rPr>
    </w:lvl>
    <w:lvl w:ilvl="1">
      <w:start w:val="4"/>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
    <w:nsid w:val="027743D1"/>
    <w:multiLevelType w:val="hybridMultilevel"/>
    <w:tmpl w:val="96BA04A2"/>
    <w:lvl w:ilvl="0" w:tplc="14090017">
      <w:start w:val="1"/>
      <w:numFmt w:val="lowerLetter"/>
      <w:lvlText w:val="%1)"/>
      <w:lvlJc w:val="left"/>
      <w:pPr>
        <w:ind w:left="1080" w:hanging="360"/>
      </w:p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3">
    <w:nsid w:val="064B2B45"/>
    <w:multiLevelType w:val="multilevel"/>
    <w:tmpl w:val="9C90B6F0"/>
    <w:styleLink w:val="Style2"/>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1418"/>
        </w:tabs>
        <w:ind w:left="1418" w:hanging="709"/>
      </w:pPr>
      <w:rPr>
        <w:rFonts w:hint="default"/>
      </w:rPr>
    </w:lvl>
    <w:lvl w:ilvl="2">
      <w:start w:val="1"/>
      <w:numFmt w:val="decimal"/>
      <w:lvlText w:val="%1.%2.%3"/>
      <w:lvlJc w:val="left"/>
      <w:pPr>
        <w:tabs>
          <w:tab w:val="num" w:pos="2126"/>
        </w:tabs>
        <w:ind w:left="2126" w:hanging="708"/>
      </w:pPr>
      <w:rPr>
        <w:rFonts w:ascii="Calibri" w:hAnsi="Calibri" w:hint="default"/>
      </w:rPr>
    </w:lvl>
    <w:lvl w:ilvl="3">
      <w:start w:val="1"/>
      <w:numFmt w:val="lowerLetter"/>
      <w:lvlText w:val="(%4)"/>
      <w:lvlJc w:val="left"/>
      <w:pPr>
        <w:tabs>
          <w:tab w:val="num" w:pos="2835"/>
        </w:tabs>
        <w:ind w:left="2835" w:hanging="709"/>
      </w:pPr>
      <w:rPr>
        <w:rFonts w:hint="default"/>
      </w:rPr>
    </w:lvl>
    <w:lvl w:ilvl="4">
      <w:start w:val="1"/>
      <w:numFmt w:val="lowerRoman"/>
      <w:lvlText w:val="(%5)"/>
      <w:lvlJc w:val="left"/>
      <w:pPr>
        <w:tabs>
          <w:tab w:val="num" w:pos="3544"/>
        </w:tabs>
        <w:ind w:left="3544" w:hanging="709"/>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4">
    <w:nsid w:val="07A61ABA"/>
    <w:multiLevelType w:val="multilevel"/>
    <w:tmpl w:val="443E4B2A"/>
    <w:lvl w:ilvl="0">
      <w:start w:val="1"/>
      <w:numFmt w:val="decimal"/>
      <w:lvlText w:val="SCHEDULE %1"/>
      <w:lvlJc w:val="left"/>
      <w:pPr>
        <w:tabs>
          <w:tab w:val="num" w:pos="1985"/>
        </w:tabs>
        <w:ind w:left="1985" w:firstLine="0"/>
      </w:pPr>
      <w:rPr>
        <w:rFonts w:hint="default"/>
        <w:caps/>
        <w:sz w:val="32"/>
      </w:rPr>
    </w:lvl>
    <w:lvl w:ilvl="1">
      <w:start w:val="1"/>
      <w:numFmt w:val="decimal"/>
      <w:lvlText w:val="DIVISION %2"/>
      <w:lvlJc w:val="left"/>
      <w:pPr>
        <w:tabs>
          <w:tab w:val="num" w:pos="0"/>
        </w:tabs>
        <w:ind w:left="0" w:firstLine="0"/>
      </w:pPr>
      <w:rPr>
        <w:rFonts w:hint="default"/>
      </w:rPr>
    </w:lvl>
    <w:lvl w:ilvl="2">
      <w:start w:val="1"/>
      <w:numFmt w:val="none"/>
      <w:lvlRestart w:val="0"/>
      <w:suff w:val="nothing"/>
      <w:lvlText w:val=""/>
      <w:lvlJc w:val="left"/>
      <w:pPr>
        <w:ind w:left="0" w:firstLine="0"/>
      </w:pPr>
      <w:rPr>
        <w:rFonts w:hint="default"/>
      </w:rPr>
    </w:lvl>
    <w:lvl w:ilvl="3">
      <w:start w:val="1"/>
      <w:numFmt w:val="decimal"/>
      <w:lvlRestart w:val="1"/>
      <w:lvlText w:val="%4"/>
      <w:lvlJc w:val="left"/>
      <w:pPr>
        <w:tabs>
          <w:tab w:val="num" w:pos="567"/>
        </w:tabs>
        <w:ind w:left="567" w:hanging="567"/>
      </w:pPr>
      <w:rPr>
        <w:rFonts w:asciiTheme="minorHAnsi" w:eastAsia="Times New Roman" w:hAnsiTheme="minorHAnsi" w:cs="Times New Roman" w:hint="default"/>
      </w:rPr>
    </w:lvl>
    <w:lvl w:ilvl="4">
      <w:start w:val="1"/>
      <w:numFmt w:val="decimal"/>
      <w:lvlText w:val="4.%5"/>
      <w:lvlJc w:val="left"/>
      <w:pPr>
        <w:tabs>
          <w:tab w:val="num" w:pos="851"/>
        </w:tabs>
        <w:ind w:left="851" w:hanging="567"/>
      </w:pPr>
      <w:rPr>
        <w:rFonts w:ascii="Calibri" w:hAnsi="Calibri" w:hint="default"/>
        <w:b w:val="0"/>
        <w:i w:val="0"/>
        <w:sz w:val="24"/>
      </w:rPr>
    </w:lvl>
    <w:lvl w:ilvl="5">
      <w:start w:val="1"/>
      <w:numFmt w:val="lowerLetter"/>
      <w:lvlText w:val="(%6)"/>
      <w:lvlJc w:val="left"/>
      <w:pPr>
        <w:tabs>
          <w:tab w:val="num" w:pos="1701"/>
        </w:tabs>
        <w:ind w:left="1701" w:hanging="567"/>
      </w:pPr>
      <w:rPr>
        <w:rFonts w:hint="default"/>
      </w:rPr>
    </w:lvl>
    <w:lvl w:ilvl="6">
      <w:start w:val="1"/>
      <w:numFmt w:val="lowerRoman"/>
      <w:lvlText w:val="(%7)"/>
      <w:lvlJc w:val="left"/>
      <w:pPr>
        <w:tabs>
          <w:tab w:val="num" w:pos="2268"/>
        </w:tabs>
        <w:ind w:left="2268" w:hanging="567"/>
      </w:pPr>
      <w:rPr>
        <w:rFonts w:hint="default"/>
      </w:rPr>
    </w:lvl>
    <w:lvl w:ilvl="7">
      <w:start w:val="1"/>
      <w:numFmt w:val="decimal"/>
      <w:lvlRestart w:val="1"/>
      <w:lvlText w:val="Figure %1%8:"/>
      <w:lvlJc w:val="left"/>
      <w:pPr>
        <w:tabs>
          <w:tab w:val="num" w:pos="1418"/>
        </w:tabs>
        <w:ind w:left="1418" w:hanging="1418"/>
      </w:pPr>
      <w:rPr>
        <w:rFonts w:hint="default"/>
      </w:rPr>
    </w:lvl>
    <w:lvl w:ilvl="8">
      <w:start w:val="1"/>
      <w:numFmt w:val="decimal"/>
      <w:lvlRestart w:val="1"/>
      <w:lvlText w:val="Table %1%9:"/>
      <w:lvlJc w:val="left"/>
      <w:pPr>
        <w:tabs>
          <w:tab w:val="num" w:pos="1418"/>
        </w:tabs>
        <w:ind w:left="1418" w:hanging="1418"/>
      </w:pPr>
      <w:rPr>
        <w:rFonts w:hint="default"/>
      </w:rPr>
    </w:lvl>
  </w:abstractNum>
  <w:abstractNum w:abstractNumId="5">
    <w:nsid w:val="07CF47CD"/>
    <w:multiLevelType w:val="multilevel"/>
    <w:tmpl w:val="F5185A9C"/>
    <w:lvl w:ilvl="0">
      <w:start w:val="1"/>
      <w:numFmt w:val="decimal"/>
      <w:lvlText w:val="PART %1"/>
      <w:lvlJc w:val="left"/>
      <w:pPr>
        <w:tabs>
          <w:tab w:val="num" w:pos="0"/>
        </w:tabs>
        <w:ind w:left="0" w:firstLine="0"/>
      </w:pPr>
      <w:rPr>
        <w:rFonts w:ascii="Calibri Bold" w:hAnsi="Calibri Bold" w:hint="default"/>
        <w:b/>
        <w:i w:val="0"/>
        <w:caps/>
        <w:sz w:val="28"/>
        <w:szCs w:val="32"/>
      </w:rPr>
    </w:lvl>
    <w:lvl w:ilvl="1">
      <w:start w:val="1"/>
      <w:numFmt w:val="decimal"/>
      <w:lvlText w:val="%1.%2"/>
      <w:lvlJc w:val="left"/>
      <w:pPr>
        <w:tabs>
          <w:tab w:val="num" w:pos="0"/>
        </w:tabs>
        <w:ind w:left="709" w:hanging="709"/>
      </w:pPr>
      <w:rPr>
        <w:rFonts w:ascii="Calibri Bold" w:hAnsi="Calibri Bold" w:hint="default"/>
        <w:b/>
        <w:i w:val="0"/>
        <w:caps/>
        <w:sz w:val="24"/>
      </w:rPr>
    </w:lvl>
    <w:lvl w:ilvl="2">
      <w:start w:val="1"/>
      <w:numFmt w:val="decimal"/>
      <w:lvlText w:val="%1.%2.%3"/>
      <w:lvlJc w:val="left"/>
      <w:pPr>
        <w:tabs>
          <w:tab w:val="num" w:pos="0"/>
        </w:tabs>
        <w:ind w:left="709" w:hanging="709"/>
      </w:pPr>
      <w:rPr>
        <w:rFonts w:hint="default"/>
      </w:rPr>
    </w:lvl>
    <w:lvl w:ilvl="3">
      <w:start w:val="1"/>
      <w:numFmt w:val="decimal"/>
      <w:lvlText w:val="(%4)"/>
      <w:lvlJc w:val="left"/>
      <w:pPr>
        <w:tabs>
          <w:tab w:val="num" w:pos="284"/>
        </w:tabs>
        <w:ind w:left="993" w:hanging="709"/>
      </w:pPr>
      <w:rPr>
        <w:rFonts w:hint="default"/>
      </w:rPr>
    </w:lvl>
    <w:lvl w:ilvl="4">
      <w:start w:val="1"/>
      <w:numFmt w:val="lowerLetter"/>
      <w:lvlText w:val="(%5)"/>
      <w:lvlJc w:val="left"/>
      <w:pPr>
        <w:tabs>
          <w:tab w:val="num" w:pos="0"/>
        </w:tabs>
        <w:ind w:left="2126" w:hanging="708"/>
      </w:pPr>
      <w:rPr>
        <w:rFonts w:ascii="Calibri" w:hAnsi="Calibri" w:cs="Times New Roman" w:hint="default"/>
        <w:b w:val="0"/>
      </w:rPr>
    </w:lvl>
    <w:lvl w:ilvl="5">
      <w:start w:val="1"/>
      <w:numFmt w:val="lowerRoman"/>
      <w:lvlText w:val="(%6)"/>
      <w:lvlJc w:val="left"/>
      <w:pPr>
        <w:ind w:left="2835" w:hanging="709"/>
      </w:pPr>
      <w:rPr>
        <w:rFonts w:ascii="Calibri" w:hAnsi="Calibri" w:cs="Times New Roman" w:hint="default"/>
        <w:b w:val="0"/>
      </w:rPr>
    </w:lvl>
    <w:lvl w:ilvl="6">
      <w:start w:val="1"/>
      <w:numFmt w:val="lowerRoman"/>
      <w:lvlText w:val="(%7)"/>
      <w:lvlJc w:val="left"/>
      <w:pPr>
        <w:tabs>
          <w:tab w:val="num" w:pos="3261"/>
        </w:tabs>
        <w:ind w:left="3261" w:hanging="567"/>
      </w:pPr>
      <w:rPr>
        <w:rFonts w:ascii="Calibri" w:hAnsi="Calibri" w:cs="Times New Roman" w:hint="default"/>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rPr>
    </w:lvl>
    <w:lvl w:ilvl="7">
      <w:start w:val="1"/>
      <w:numFmt w:val="decimal"/>
      <w:lvlRestart w:val="0"/>
      <w:lvlText w:val="Figure %8"/>
      <w:lvlJc w:val="left"/>
      <w:pPr>
        <w:tabs>
          <w:tab w:val="num" w:pos="1418"/>
        </w:tabs>
        <w:ind w:left="1418" w:hanging="1418"/>
      </w:pPr>
      <w:rPr>
        <w:rFonts w:hint="default"/>
      </w:rPr>
    </w:lvl>
    <w:lvl w:ilvl="8">
      <w:start w:val="1"/>
      <w:numFmt w:val="decimal"/>
      <w:lvlRestart w:val="0"/>
      <w:lvlText w:val="Table %9"/>
      <w:lvlJc w:val="left"/>
      <w:pPr>
        <w:tabs>
          <w:tab w:val="num" w:pos="1418"/>
        </w:tabs>
        <w:ind w:left="1418" w:hanging="1418"/>
      </w:pPr>
      <w:rPr>
        <w:rFonts w:hint="default"/>
      </w:rPr>
    </w:lvl>
  </w:abstractNum>
  <w:abstractNum w:abstractNumId="6">
    <w:nsid w:val="0A5755D0"/>
    <w:multiLevelType w:val="hybridMultilevel"/>
    <w:tmpl w:val="944EE97E"/>
    <w:lvl w:ilvl="0" w:tplc="DA0C8E9A">
      <w:start w:val="1"/>
      <w:numFmt w:val="decimal"/>
      <w:pStyle w:val="List"/>
      <w:lvlText w:val="%1."/>
      <w:lvlJc w:val="left"/>
      <w:pPr>
        <w:tabs>
          <w:tab w:val="num" w:pos="425"/>
        </w:tabs>
        <w:ind w:left="425" w:hanging="425"/>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nsid w:val="0AAF04AF"/>
    <w:multiLevelType w:val="multilevel"/>
    <w:tmpl w:val="0576043C"/>
    <w:lvl w:ilvl="0">
      <w:start w:val="1"/>
      <w:numFmt w:val="decimal"/>
      <w:lvlText w:val="SCHEDULE %1"/>
      <w:lvlJc w:val="left"/>
      <w:pPr>
        <w:tabs>
          <w:tab w:val="num" w:pos="1985"/>
        </w:tabs>
        <w:ind w:left="1985" w:firstLine="0"/>
      </w:pPr>
      <w:rPr>
        <w:rFonts w:hint="default"/>
        <w:caps/>
        <w:sz w:val="32"/>
      </w:rPr>
    </w:lvl>
    <w:lvl w:ilvl="1">
      <w:start w:val="1"/>
      <w:numFmt w:val="decimal"/>
      <w:lvlText w:val="DIVISION %2"/>
      <w:lvlJc w:val="left"/>
      <w:pPr>
        <w:tabs>
          <w:tab w:val="num" w:pos="0"/>
        </w:tabs>
        <w:ind w:left="0" w:firstLine="0"/>
      </w:pPr>
      <w:rPr>
        <w:rFonts w:hint="default"/>
      </w:rPr>
    </w:lvl>
    <w:lvl w:ilvl="2">
      <w:start w:val="1"/>
      <w:numFmt w:val="none"/>
      <w:lvlRestart w:val="0"/>
      <w:suff w:val="nothing"/>
      <w:lvlText w:val=""/>
      <w:lvlJc w:val="left"/>
      <w:pPr>
        <w:ind w:left="0" w:firstLine="0"/>
      </w:pPr>
      <w:rPr>
        <w:rFonts w:hint="default"/>
      </w:rPr>
    </w:lvl>
    <w:lvl w:ilvl="3">
      <w:start w:val="1"/>
      <w:numFmt w:val="decimal"/>
      <w:lvlRestart w:val="1"/>
      <w:lvlText w:val="%4"/>
      <w:lvlJc w:val="left"/>
      <w:pPr>
        <w:tabs>
          <w:tab w:val="num" w:pos="567"/>
        </w:tabs>
        <w:ind w:left="567" w:hanging="567"/>
      </w:pPr>
      <w:rPr>
        <w:rFonts w:asciiTheme="minorHAnsi" w:eastAsia="Times New Roman" w:hAnsiTheme="minorHAnsi" w:cs="Times New Roman" w:hint="default"/>
      </w:rPr>
    </w:lvl>
    <w:lvl w:ilvl="4">
      <w:start w:val="1"/>
      <w:numFmt w:val="decimal"/>
      <w:lvlText w:val="3.%5"/>
      <w:lvlJc w:val="left"/>
      <w:pPr>
        <w:tabs>
          <w:tab w:val="num" w:pos="851"/>
        </w:tabs>
        <w:ind w:left="851" w:hanging="567"/>
      </w:pPr>
      <w:rPr>
        <w:rFonts w:hint="default"/>
        <w:b w:val="0"/>
        <w:i w:val="0"/>
        <w:sz w:val="24"/>
      </w:rPr>
    </w:lvl>
    <w:lvl w:ilvl="5">
      <w:start w:val="1"/>
      <w:numFmt w:val="lowerLetter"/>
      <w:lvlText w:val="(%6)"/>
      <w:lvlJc w:val="left"/>
      <w:pPr>
        <w:tabs>
          <w:tab w:val="num" w:pos="1701"/>
        </w:tabs>
        <w:ind w:left="1701" w:hanging="567"/>
      </w:pPr>
      <w:rPr>
        <w:rFonts w:hint="default"/>
      </w:rPr>
    </w:lvl>
    <w:lvl w:ilvl="6">
      <w:start w:val="1"/>
      <w:numFmt w:val="lowerRoman"/>
      <w:lvlText w:val="(%7)"/>
      <w:lvlJc w:val="left"/>
      <w:pPr>
        <w:tabs>
          <w:tab w:val="num" w:pos="2268"/>
        </w:tabs>
        <w:ind w:left="2268" w:hanging="567"/>
      </w:pPr>
      <w:rPr>
        <w:rFonts w:hint="default"/>
      </w:rPr>
    </w:lvl>
    <w:lvl w:ilvl="7">
      <w:start w:val="1"/>
      <w:numFmt w:val="decimal"/>
      <w:lvlRestart w:val="1"/>
      <w:lvlText w:val="Figure %1%8:"/>
      <w:lvlJc w:val="left"/>
      <w:pPr>
        <w:tabs>
          <w:tab w:val="num" w:pos="1418"/>
        </w:tabs>
        <w:ind w:left="1418" w:hanging="1418"/>
      </w:pPr>
      <w:rPr>
        <w:rFonts w:hint="default"/>
      </w:rPr>
    </w:lvl>
    <w:lvl w:ilvl="8">
      <w:start w:val="1"/>
      <w:numFmt w:val="decimal"/>
      <w:lvlRestart w:val="1"/>
      <w:lvlText w:val="Table %1%9:"/>
      <w:lvlJc w:val="left"/>
      <w:pPr>
        <w:tabs>
          <w:tab w:val="num" w:pos="1418"/>
        </w:tabs>
        <w:ind w:left="1418" w:hanging="1418"/>
      </w:pPr>
      <w:rPr>
        <w:rFonts w:hint="default"/>
      </w:rPr>
    </w:lvl>
  </w:abstractNum>
  <w:abstractNum w:abstractNumId="8">
    <w:nsid w:val="0BA15701"/>
    <w:multiLevelType w:val="hybridMultilevel"/>
    <w:tmpl w:val="F156373E"/>
    <w:lvl w:ilvl="0" w:tplc="422AAFC2">
      <w:start w:val="1"/>
      <w:numFmt w:val="decimal"/>
      <w:lvlText w:val="%1."/>
      <w:lvlJc w:val="left"/>
      <w:pPr>
        <w:ind w:left="720" w:hanging="360"/>
      </w:pPr>
      <w:rPr>
        <w:rFonts w:ascii="Calibri" w:hAnsi="Calibri" w:hint="default"/>
        <w:sz w:val="24"/>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nsid w:val="0C512237"/>
    <w:multiLevelType w:val="hybridMultilevel"/>
    <w:tmpl w:val="36AA933E"/>
    <w:lvl w:ilvl="0" w:tplc="0174046E">
      <w:start w:val="1"/>
      <w:numFmt w:val="decimal"/>
      <w:pStyle w:val="Numberedlist"/>
      <w:lvlText w:val="%1."/>
      <w:lvlJc w:val="left"/>
      <w:pPr>
        <w:tabs>
          <w:tab w:val="num" w:pos="283"/>
        </w:tabs>
        <w:ind w:left="283" w:hanging="283"/>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nsid w:val="0D0E0E28"/>
    <w:multiLevelType w:val="hybridMultilevel"/>
    <w:tmpl w:val="AE966550"/>
    <w:lvl w:ilvl="0" w:tplc="EA3ED2DE">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nsid w:val="0DF101D3"/>
    <w:multiLevelType w:val="hybridMultilevel"/>
    <w:tmpl w:val="2436717C"/>
    <w:lvl w:ilvl="0" w:tplc="EA3ED2DE">
      <w:start w:val="1"/>
      <w:numFmt w:val="lowerLetter"/>
      <w:lvlText w:val="(%1)"/>
      <w:lvlJc w:val="left"/>
      <w:pPr>
        <w:ind w:left="1917" w:hanging="360"/>
      </w:pPr>
      <w:rPr>
        <w:rFonts w:hint="default"/>
      </w:rPr>
    </w:lvl>
    <w:lvl w:ilvl="1" w:tplc="14090019" w:tentative="1">
      <w:start w:val="1"/>
      <w:numFmt w:val="lowerLetter"/>
      <w:lvlText w:val="%2."/>
      <w:lvlJc w:val="left"/>
      <w:pPr>
        <w:ind w:left="2637" w:hanging="360"/>
      </w:pPr>
    </w:lvl>
    <w:lvl w:ilvl="2" w:tplc="1409001B" w:tentative="1">
      <w:start w:val="1"/>
      <w:numFmt w:val="lowerRoman"/>
      <w:lvlText w:val="%3."/>
      <w:lvlJc w:val="right"/>
      <w:pPr>
        <w:ind w:left="3357" w:hanging="180"/>
      </w:pPr>
    </w:lvl>
    <w:lvl w:ilvl="3" w:tplc="1409000F" w:tentative="1">
      <w:start w:val="1"/>
      <w:numFmt w:val="decimal"/>
      <w:lvlText w:val="%4."/>
      <w:lvlJc w:val="left"/>
      <w:pPr>
        <w:ind w:left="4077" w:hanging="360"/>
      </w:pPr>
    </w:lvl>
    <w:lvl w:ilvl="4" w:tplc="14090019" w:tentative="1">
      <w:start w:val="1"/>
      <w:numFmt w:val="lowerLetter"/>
      <w:lvlText w:val="%5."/>
      <w:lvlJc w:val="left"/>
      <w:pPr>
        <w:ind w:left="4797" w:hanging="360"/>
      </w:pPr>
    </w:lvl>
    <w:lvl w:ilvl="5" w:tplc="1409001B">
      <w:start w:val="1"/>
      <w:numFmt w:val="lowerRoman"/>
      <w:lvlText w:val="%6."/>
      <w:lvlJc w:val="right"/>
      <w:pPr>
        <w:ind w:left="5517" w:hanging="180"/>
      </w:pPr>
    </w:lvl>
    <w:lvl w:ilvl="6" w:tplc="1409000F" w:tentative="1">
      <w:start w:val="1"/>
      <w:numFmt w:val="decimal"/>
      <w:lvlText w:val="%7."/>
      <w:lvlJc w:val="left"/>
      <w:pPr>
        <w:ind w:left="6237" w:hanging="360"/>
      </w:pPr>
    </w:lvl>
    <w:lvl w:ilvl="7" w:tplc="14090019" w:tentative="1">
      <w:start w:val="1"/>
      <w:numFmt w:val="lowerLetter"/>
      <w:lvlText w:val="%8."/>
      <w:lvlJc w:val="left"/>
      <w:pPr>
        <w:ind w:left="6957" w:hanging="360"/>
      </w:pPr>
    </w:lvl>
    <w:lvl w:ilvl="8" w:tplc="1409001B" w:tentative="1">
      <w:start w:val="1"/>
      <w:numFmt w:val="lowerRoman"/>
      <w:lvlText w:val="%9."/>
      <w:lvlJc w:val="right"/>
      <w:pPr>
        <w:ind w:left="7677" w:hanging="180"/>
      </w:pPr>
    </w:lvl>
  </w:abstractNum>
  <w:abstractNum w:abstractNumId="12">
    <w:nsid w:val="0F0D2060"/>
    <w:multiLevelType w:val="multilevel"/>
    <w:tmpl w:val="37A4F21E"/>
    <w:lvl w:ilvl="0">
      <w:start w:val="1"/>
      <w:numFmt w:val="decimal"/>
      <w:lvlText w:val="%1."/>
      <w:lvlJc w:val="left"/>
      <w:pPr>
        <w:tabs>
          <w:tab w:val="num" w:pos="720"/>
        </w:tabs>
        <w:ind w:left="720" w:hanging="360"/>
      </w:pPr>
    </w:lvl>
    <w:lvl w:ilvl="1">
      <w:start w:val="1"/>
      <w:numFmt w:val="lowerRoman"/>
      <w:lvlText w:val="(%2)"/>
      <w:lvlJc w:val="left"/>
      <w:pPr>
        <w:tabs>
          <w:tab w:val="num" w:pos="1920"/>
        </w:tabs>
        <w:ind w:left="1920" w:hanging="840"/>
      </w:pPr>
      <w:rPr>
        <w:rFonts w:hint="default"/>
      </w:rPr>
    </w:lvl>
    <w:lvl w:ilvl="2">
      <w:start w:val="1"/>
      <w:numFmt w:val="lowerRoman"/>
      <w:lvlText w:val="(%3)"/>
      <w:lvlJc w:val="left"/>
      <w:pPr>
        <w:tabs>
          <w:tab w:val="num" w:pos="2160"/>
        </w:tabs>
        <w:ind w:left="2160" w:hanging="18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11867D3E"/>
    <w:multiLevelType w:val="hybridMultilevel"/>
    <w:tmpl w:val="226ABDFE"/>
    <w:lvl w:ilvl="0" w:tplc="217CD6CE">
      <w:start w:val="1"/>
      <w:numFmt w:val="lowerLetter"/>
      <w:lvlText w:val="(%1)"/>
      <w:lvlJc w:val="left"/>
      <w:pPr>
        <w:ind w:left="394" w:hanging="360"/>
      </w:pPr>
      <w:rPr>
        <w:rFonts w:hint="default"/>
      </w:rPr>
    </w:lvl>
    <w:lvl w:ilvl="1" w:tplc="14090019" w:tentative="1">
      <w:start w:val="1"/>
      <w:numFmt w:val="lowerLetter"/>
      <w:lvlText w:val="%2."/>
      <w:lvlJc w:val="left"/>
      <w:pPr>
        <w:ind w:left="1114" w:hanging="360"/>
      </w:pPr>
    </w:lvl>
    <w:lvl w:ilvl="2" w:tplc="1409001B" w:tentative="1">
      <w:start w:val="1"/>
      <w:numFmt w:val="lowerRoman"/>
      <w:lvlText w:val="%3."/>
      <w:lvlJc w:val="right"/>
      <w:pPr>
        <w:ind w:left="1834" w:hanging="180"/>
      </w:pPr>
    </w:lvl>
    <w:lvl w:ilvl="3" w:tplc="1409000F" w:tentative="1">
      <w:start w:val="1"/>
      <w:numFmt w:val="decimal"/>
      <w:lvlText w:val="%4."/>
      <w:lvlJc w:val="left"/>
      <w:pPr>
        <w:ind w:left="2554" w:hanging="360"/>
      </w:pPr>
    </w:lvl>
    <w:lvl w:ilvl="4" w:tplc="14090019" w:tentative="1">
      <w:start w:val="1"/>
      <w:numFmt w:val="lowerLetter"/>
      <w:lvlText w:val="%5."/>
      <w:lvlJc w:val="left"/>
      <w:pPr>
        <w:ind w:left="3274" w:hanging="360"/>
      </w:pPr>
    </w:lvl>
    <w:lvl w:ilvl="5" w:tplc="1409001B" w:tentative="1">
      <w:start w:val="1"/>
      <w:numFmt w:val="lowerRoman"/>
      <w:lvlText w:val="%6."/>
      <w:lvlJc w:val="right"/>
      <w:pPr>
        <w:ind w:left="3994" w:hanging="180"/>
      </w:pPr>
    </w:lvl>
    <w:lvl w:ilvl="6" w:tplc="1409000F" w:tentative="1">
      <w:start w:val="1"/>
      <w:numFmt w:val="decimal"/>
      <w:lvlText w:val="%7."/>
      <w:lvlJc w:val="left"/>
      <w:pPr>
        <w:ind w:left="4714" w:hanging="360"/>
      </w:pPr>
    </w:lvl>
    <w:lvl w:ilvl="7" w:tplc="14090019" w:tentative="1">
      <w:start w:val="1"/>
      <w:numFmt w:val="lowerLetter"/>
      <w:lvlText w:val="%8."/>
      <w:lvlJc w:val="left"/>
      <w:pPr>
        <w:ind w:left="5434" w:hanging="360"/>
      </w:pPr>
    </w:lvl>
    <w:lvl w:ilvl="8" w:tplc="1409001B" w:tentative="1">
      <w:start w:val="1"/>
      <w:numFmt w:val="lowerRoman"/>
      <w:lvlText w:val="%9."/>
      <w:lvlJc w:val="right"/>
      <w:pPr>
        <w:ind w:left="6154" w:hanging="180"/>
      </w:pPr>
    </w:lvl>
  </w:abstractNum>
  <w:abstractNum w:abstractNumId="14">
    <w:nsid w:val="1234035E"/>
    <w:multiLevelType w:val="hybridMultilevel"/>
    <w:tmpl w:val="40102C9E"/>
    <w:lvl w:ilvl="0" w:tplc="B5B4420C">
      <w:numFmt w:val="bullet"/>
      <w:pStyle w:val="Level3bullet"/>
      <w:lvlText w:val=""/>
      <w:lvlJc w:val="left"/>
      <w:pPr>
        <w:tabs>
          <w:tab w:val="num" w:pos="851"/>
        </w:tabs>
        <w:ind w:left="851" w:hanging="284"/>
      </w:pPr>
      <w:rPr>
        <w:rFonts w:ascii="Symbol" w:eastAsia="Calibri" w:hAnsi="Symbol" w:cs="Garamond"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nsid w:val="13C23A96"/>
    <w:multiLevelType w:val="multilevel"/>
    <w:tmpl w:val="9C90B6F0"/>
    <w:numStyleLink w:val="Style1"/>
  </w:abstractNum>
  <w:abstractNum w:abstractNumId="16">
    <w:nsid w:val="13F67F22"/>
    <w:multiLevelType w:val="multilevel"/>
    <w:tmpl w:val="037055DE"/>
    <w:lvl w:ilvl="0">
      <w:start w:val="1"/>
      <w:numFmt w:val="decimal"/>
      <w:lvlText w:val="SCHEDULE %1"/>
      <w:lvlJc w:val="left"/>
      <w:pPr>
        <w:tabs>
          <w:tab w:val="num" w:pos="1985"/>
        </w:tabs>
        <w:ind w:left="1985" w:firstLine="0"/>
      </w:pPr>
      <w:rPr>
        <w:rFonts w:hint="default"/>
        <w:caps/>
        <w:sz w:val="32"/>
      </w:rPr>
    </w:lvl>
    <w:lvl w:ilvl="1">
      <w:start w:val="1"/>
      <w:numFmt w:val="decimal"/>
      <w:lvlText w:val="DIVISION %2"/>
      <w:lvlJc w:val="left"/>
      <w:pPr>
        <w:tabs>
          <w:tab w:val="num" w:pos="0"/>
        </w:tabs>
        <w:ind w:left="0" w:firstLine="0"/>
      </w:pPr>
      <w:rPr>
        <w:rFonts w:hint="default"/>
      </w:rPr>
    </w:lvl>
    <w:lvl w:ilvl="2">
      <w:start w:val="1"/>
      <w:numFmt w:val="none"/>
      <w:lvlRestart w:val="0"/>
      <w:suff w:val="nothing"/>
      <w:lvlText w:val=""/>
      <w:lvlJc w:val="left"/>
      <w:pPr>
        <w:ind w:left="0" w:firstLine="0"/>
      </w:pPr>
      <w:rPr>
        <w:rFonts w:hint="default"/>
      </w:rPr>
    </w:lvl>
    <w:lvl w:ilvl="3">
      <w:start w:val="1"/>
      <w:numFmt w:val="decimal"/>
      <w:lvlRestart w:val="1"/>
      <w:lvlText w:val="%4"/>
      <w:lvlJc w:val="left"/>
      <w:pPr>
        <w:tabs>
          <w:tab w:val="num" w:pos="567"/>
        </w:tabs>
        <w:ind w:left="567" w:hanging="567"/>
      </w:pPr>
      <w:rPr>
        <w:rFonts w:asciiTheme="minorHAnsi" w:eastAsia="Times New Roman" w:hAnsiTheme="minorHAnsi" w:cs="Times New Roman" w:hint="default"/>
      </w:rPr>
    </w:lvl>
    <w:lvl w:ilvl="4">
      <w:start w:val="1"/>
      <w:numFmt w:val="decimal"/>
      <w:lvlText w:val="5.%5"/>
      <w:lvlJc w:val="left"/>
      <w:pPr>
        <w:tabs>
          <w:tab w:val="num" w:pos="851"/>
        </w:tabs>
        <w:ind w:left="851" w:hanging="567"/>
      </w:pPr>
      <w:rPr>
        <w:rFonts w:ascii="Calibri" w:hAnsi="Calibri" w:hint="default"/>
        <w:b w:val="0"/>
        <w:i w:val="0"/>
        <w:sz w:val="24"/>
      </w:rPr>
    </w:lvl>
    <w:lvl w:ilvl="5">
      <w:start w:val="1"/>
      <w:numFmt w:val="lowerLetter"/>
      <w:lvlText w:val="(%6)"/>
      <w:lvlJc w:val="left"/>
      <w:pPr>
        <w:tabs>
          <w:tab w:val="num" w:pos="1701"/>
        </w:tabs>
        <w:ind w:left="1701" w:hanging="567"/>
      </w:pPr>
      <w:rPr>
        <w:rFonts w:hint="default"/>
      </w:rPr>
    </w:lvl>
    <w:lvl w:ilvl="6">
      <w:start w:val="1"/>
      <w:numFmt w:val="lowerRoman"/>
      <w:lvlText w:val="(%7)"/>
      <w:lvlJc w:val="left"/>
      <w:pPr>
        <w:tabs>
          <w:tab w:val="num" w:pos="2268"/>
        </w:tabs>
        <w:ind w:left="2268" w:hanging="567"/>
      </w:pPr>
      <w:rPr>
        <w:rFonts w:hint="default"/>
      </w:rPr>
    </w:lvl>
    <w:lvl w:ilvl="7">
      <w:start w:val="1"/>
      <w:numFmt w:val="decimal"/>
      <w:lvlRestart w:val="1"/>
      <w:lvlText w:val="Figure %1%8:"/>
      <w:lvlJc w:val="left"/>
      <w:pPr>
        <w:tabs>
          <w:tab w:val="num" w:pos="1418"/>
        </w:tabs>
        <w:ind w:left="1418" w:hanging="1418"/>
      </w:pPr>
      <w:rPr>
        <w:rFonts w:hint="default"/>
      </w:rPr>
    </w:lvl>
    <w:lvl w:ilvl="8">
      <w:start w:val="1"/>
      <w:numFmt w:val="decimal"/>
      <w:lvlRestart w:val="1"/>
      <w:lvlText w:val="Table %1%9:"/>
      <w:lvlJc w:val="left"/>
      <w:pPr>
        <w:tabs>
          <w:tab w:val="num" w:pos="1418"/>
        </w:tabs>
        <w:ind w:left="1418" w:hanging="1418"/>
      </w:pPr>
      <w:rPr>
        <w:rFonts w:hint="default"/>
      </w:rPr>
    </w:lvl>
  </w:abstractNum>
  <w:abstractNum w:abstractNumId="17">
    <w:nsid w:val="14D1485A"/>
    <w:multiLevelType w:val="hybridMultilevel"/>
    <w:tmpl w:val="3244EB1C"/>
    <w:lvl w:ilvl="0" w:tplc="06E4B2DC">
      <w:start w:val="1"/>
      <w:numFmt w:val="lowerLetter"/>
      <w:lvlText w:val="(%1)"/>
      <w:lvlJc w:val="left"/>
      <w:pPr>
        <w:ind w:left="468" w:hanging="360"/>
      </w:pPr>
      <w:rPr>
        <w:rFonts w:hint="default"/>
      </w:rPr>
    </w:lvl>
    <w:lvl w:ilvl="1" w:tplc="14090019" w:tentative="1">
      <w:start w:val="1"/>
      <w:numFmt w:val="lowerLetter"/>
      <w:lvlText w:val="%2."/>
      <w:lvlJc w:val="left"/>
      <w:pPr>
        <w:ind w:left="1188" w:hanging="360"/>
      </w:pPr>
    </w:lvl>
    <w:lvl w:ilvl="2" w:tplc="1409001B" w:tentative="1">
      <w:start w:val="1"/>
      <w:numFmt w:val="lowerRoman"/>
      <w:lvlText w:val="%3."/>
      <w:lvlJc w:val="right"/>
      <w:pPr>
        <w:ind w:left="1908" w:hanging="180"/>
      </w:pPr>
    </w:lvl>
    <w:lvl w:ilvl="3" w:tplc="1409000F" w:tentative="1">
      <w:start w:val="1"/>
      <w:numFmt w:val="decimal"/>
      <w:lvlText w:val="%4."/>
      <w:lvlJc w:val="left"/>
      <w:pPr>
        <w:ind w:left="2628" w:hanging="360"/>
      </w:pPr>
    </w:lvl>
    <w:lvl w:ilvl="4" w:tplc="14090019" w:tentative="1">
      <w:start w:val="1"/>
      <w:numFmt w:val="lowerLetter"/>
      <w:lvlText w:val="%5."/>
      <w:lvlJc w:val="left"/>
      <w:pPr>
        <w:ind w:left="3348" w:hanging="360"/>
      </w:pPr>
    </w:lvl>
    <w:lvl w:ilvl="5" w:tplc="1409001B" w:tentative="1">
      <w:start w:val="1"/>
      <w:numFmt w:val="lowerRoman"/>
      <w:lvlText w:val="%6."/>
      <w:lvlJc w:val="right"/>
      <w:pPr>
        <w:ind w:left="4068" w:hanging="180"/>
      </w:pPr>
    </w:lvl>
    <w:lvl w:ilvl="6" w:tplc="1409000F" w:tentative="1">
      <w:start w:val="1"/>
      <w:numFmt w:val="decimal"/>
      <w:lvlText w:val="%7."/>
      <w:lvlJc w:val="left"/>
      <w:pPr>
        <w:ind w:left="4788" w:hanging="360"/>
      </w:pPr>
    </w:lvl>
    <w:lvl w:ilvl="7" w:tplc="14090019" w:tentative="1">
      <w:start w:val="1"/>
      <w:numFmt w:val="lowerLetter"/>
      <w:lvlText w:val="%8."/>
      <w:lvlJc w:val="left"/>
      <w:pPr>
        <w:ind w:left="5508" w:hanging="360"/>
      </w:pPr>
    </w:lvl>
    <w:lvl w:ilvl="8" w:tplc="1409001B" w:tentative="1">
      <w:start w:val="1"/>
      <w:numFmt w:val="lowerRoman"/>
      <w:lvlText w:val="%9."/>
      <w:lvlJc w:val="right"/>
      <w:pPr>
        <w:ind w:left="6228" w:hanging="180"/>
      </w:pPr>
    </w:lvl>
  </w:abstractNum>
  <w:abstractNum w:abstractNumId="18">
    <w:nsid w:val="15BD2D22"/>
    <w:multiLevelType w:val="multilevel"/>
    <w:tmpl w:val="7F56A630"/>
    <w:lvl w:ilvl="0">
      <w:start w:val="1"/>
      <w:numFmt w:val="decimal"/>
      <w:lvlText w:val="SCHEDULE %1"/>
      <w:lvlJc w:val="left"/>
      <w:pPr>
        <w:tabs>
          <w:tab w:val="num" w:pos="1985"/>
        </w:tabs>
        <w:ind w:left="1985" w:firstLine="0"/>
      </w:pPr>
      <w:rPr>
        <w:rFonts w:hint="default"/>
        <w:caps/>
        <w:sz w:val="32"/>
      </w:rPr>
    </w:lvl>
    <w:lvl w:ilvl="1">
      <w:start w:val="1"/>
      <w:numFmt w:val="decimal"/>
      <w:lvlText w:val="DIVISION %2"/>
      <w:lvlJc w:val="left"/>
      <w:pPr>
        <w:tabs>
          <w:tab w:val="num" w:pos="0"/>
        </w:tabs>
        <w:ind w:left="0" w:firstLine="0"/>
      </w:pPr>
      <w:rPr>
        <w:rFonts w:hint="default"/>
      </w:rPr>
    </w:lvl>
    <w:lvl w:ilvl="2">
      <w:start w:val="1"/>
      <w:numFmt w:val="none"/>
      <w:lvlRestart w:val="0"/>
      <w:suff w:val="nothing"/>
      <w:lvlText w:val=""/>
      <w:lvlJc w:val="left"/>
      <w:pPr>
        <w:ind w:left="0" w:firstLine="0"/>
      </w:pPr>
      <w:rPr>
        <w:rFonts w:hint="default"/>
      </w:rPr>
    </w:lvl>
    <w:lvl w:ilvl="3">
      <w:start w:val="1"/>
      <w:numFmt w:val="decimal"/>
      <w:lvlRestart w:val="1"/>
      <w:lvlText w:val="%4"/>
      <w:lvlJc w:val="left"/>
      <w:pPr>
        <w:tabs>
          <w:tab w:val="num" w:pos="567"/>
        </w:tabs>
        <w:ind w:left="567" w:hanging="567"/>
      </w:pPr>
      <w:rPr>
        <w:rFonts w:asciiTheme="minorHAnsi" w:eastAsia="Times New Roman" w:hAnsiTheme="minorHAnsi" w:cs="Times New Roman" w:hint="default"/>
      </w:rPr>
    </w:lvl>
    <w:lvl w:ilvl="4">
      <w:start w:val="1"/>
      <w:numFmt w:val="decimal"/>
      <w:lvlText w:val="2.%5"/>
      <w:lvlJc w:val="left"/>
      <w:pPr>
        <w:tabs>
          <w:tab w:val="num" w:pos="851"/>
        </w:tabs>
        <w:ind w:left="851" w:hanging="567"/>
      </w:pPr>
      <w:rPr>
        <w:rFonts w:hint="default"/>
        <w:b w:val="0"/>
        <w:i w:val="0"/>
        <w:sz w:val="24"/>
      </w:rPr>
    </w:lvl>
    <w:lvl w:ilvl="5">
      <w:start w:val="1"/>
      <w:numFmt w:val="lowerLetter"/>
      <w:lvlText w:val="(%6)"/>
      <w:lvlJc w:val="left"/>
      <w:pPr>
        <w:tabs>
          <w:tab w:val="num" w:pos="1701"/>
        </w:tabs>
        <w:ind w:left="1701" w:hanging="567"/>
      </w:pPr>
      <w:rPr>
        <w:rFonts w:hint="default"/>
      </w:rPr>
    </w:lvl>
    <w:lvl w:ilvl="6">
      <w:start w:val="1"/>
      <w:numFmt w:val="lowerRoman"/>
      <w:lvlText w:val="(%7)"/>
      <w:lvlJc w:val="left"/>
      <w:pPr>
        <w:tabs>
          <w:tab w:val="num" w:pos="2268"/>
        </w:tabs>
        <w:ind w:left="2268" w:hanging="567"/>
      </w:pPr>
      <w:rPr>
        <w:rFonts w:hint="default"/>
      </w:rPr>
    </w:lvl>
    <w:lvl w:ilvl="7">
      <w:start w:val="1"/>
      <w:numFmt w:val="decimal"/>
      <w:lvlRestart w:val="1"/>
      <w:lvlText w:val="Figure %1%8:"/>
      <w:lvlJc w:val="left"/>
      <w:pPr>
        <w:tabs>
          <w:tab w:val="num" w:pos="1418"/>
        </w:tabs>
        <w:ind w:left="1418" w:hanging="1418"/>
      </w:pPr>
      <w:rPr>
        <w:rFonts w:hint="default"/>
      </w:rPr>
    </w:lvl>
    <w:lvl w:ilvl="8">
      <w:start w:val="1"/>
      <w:numFmt w:val="decimal"/>
      <w:lvlRestart w:val="1"/>
      <w:lvlText w:val="Table %1%9:"/>
      <w:lvlJc w:val="left"/>
      <w:pPr>
        <w:tabs>
          <w:tab w:val="num" w:pos="1418"/>
        </w:tabs>
        <w:ind w:left="1418" w:hanging="1418"/>
      </w:pPr>
      <w:rPr>
        <w:rFonts w:hint="default"/>
      </w:rPr>
    </w:lvl>
  </w:abstractNum>
  <w:abstractNum w:abstractNumId="19">
    <w:nsid w:val="16A31971"/>
    <w:multiLevelType w:val="multilevel"/>
    <w:tmpl w:val="9C90B6F0"/>
    <w:numStyleLink w:val="Style2"/>
  </w:abstractNum>
  <w:abstractNum w:abstractNumId="20">
    <w:nsid w:val="1AA02F76"/>
    <w:multiLevelType w:val="multilevel"/>
    <w:tmpl w:val="505A091C"/>
    <w:lvl w:ilvl="0">
      <w:start w:val="1"/>
      <w:numFmt w:val="decimal"/>
      <w:pStyle w:val="HeadingH2"/>
      <w:lvlText w:val="PART %1"/>
      <w:lvlJc w:val="left"/>
      <w:pPr>
        <w:tabs>
          <w:tab w:val="num" w:pos="0"/>
        </w:tabs>
        <w:ind w:left="0" w:firstLine="0"/>
      </w:pPr>
      <w:rPr>
        <w:rFonts w:ascii="Calibri Bold" w:hAnsi="Calibri Bold" w:hint="default"/>
        <w:b/>
        <w:i w:val="0"/>
        <w:caps/>
        <w:sz w:val="28"/>
        <w:szCs w:val="32"/>
      </w:rPr>
    </w:lvl>
    <w:lvl w:ilvl="1">
      <w:start w:val="1"/>
      <w:numFmt w:val="decimal"/>
      <w:pStyle w:val="HeadingH3SectionHeading"/>
      <w:lvlText w:val="%1.%2"/>
      <w:lvlJc w:val="left"/>
      <w:pPr>
        <w:tabs>
          <w:tab w:val="num" w:pos="0"/>
        </w:tabs>
        <w:ind w:left="709" w:hanging="709"/>
      </w:pPr>
      <w:rPr>
        <w:rFonts w:ascii="Calibri Bold" w:hAnsi="Calibri Bold" w:hint="default"/>
        <w:b/>
        <w:i w:val="0"/>
        <w:caps/>
        <w:sz w:val="24"/>
      </w:rPr>
    </w:lvl>
    <w:lvl w:ilvl="2">
      <w:start w:val="1"/>
      <w:numFmt w:val="decimal"/>
      <w:pStyle w:val="HeadingH4Clausetext"/>
      <w:lvlText w:val="%1.%2.%3"/>
      <w:lvlJc w:val="left"/>
      <w:pPr>
        <w:tabs>
          <w:tab w:val="num" w:pos="0"/>
        </w:tabs>
        <w:ind w:left="709" w:hanging="709"/>
      </w:pPr>
      <w:rPr>
        <w:rFonts w:hint="default"/>
        <w:b w:val="0"/>
      </w:rPr>
    </w:lvl>
    <w:lvl w:ilvl="3">
      <w:start w:val="1"/>
      <w:numFmt w:val="decimal"/>
      <w:pStyle w:val="HeadingH5ClausesubtextL1"/>
      <w:lvlText w:val="(%4)"/>
      <w:lvlJc w:val="left"/>
      <w:pPr>
        <w:tabs>
          <w:tab w:val="num" w:pos="1135"/>
        </w:tabs>
        <w:ind w:left="1419" w:hanging="284"/>
      </w:pPr>
      <w:rPr>
        <w:rFonts w:hint="default"/>
        <w:b w:val="0"/>
      </w:rPr>
    </w:lvl>
    <w:lvl w:ilvl="4">
      <w:start w:val="1"/>
      <w:numFmt w:val="lowerLetter"/>
      <w:pStyle w:val="HeadingH6ClausesubtextL2"/>
      <w:lvlText w:val="(%5)"/>
      <w:lvlJc w:val="left"/>
      <w:pPr>
        <w:tabs>
          <w:tab w:val="num" w:pos="0"/>
        </w:tabs>
        <w:ind w:left="2126" w:hanging="708"/>
      </w:pPr>
      <w:rPr>
        <w:rFonts w:ascii="Calibri" w:hAnsi="Calibri" w:cs="Times New Roman" w:hint="default"/>
        <w:b w:val="0"/>
      </w:rPr>
    </w:lvl>
    <w:lvl w:ilvl="5">
      <w:start w:val="1"/>
      <w:numFmt w:val="lowerRoman"/>
      <w:pStyle w:val="HeadingH7ClausesubtextL3"/>
      <w:lvlText w:val="(%6)"/>
      <w:lvlJc w:val="left"/>
      <w:pPr>
        <w:ind w:left="2835" w:hanging="709"/>
      </w:pPr>
      <w:rPr>
        <w:rFonts w:ascii="Calibri" w:hAnsi="Calibri" w:cs="Times New Roman" w:hint="default"/>
        <w:b w:val="0"/>
      </w:rPr>
    </w:lvl>
    <w:lvl w:ilvl="6">
      <w:start w:val="1"/>
      <w:numFmt w:val="lowerRoman"/>
      <w:lvlText w:val="(%7)"/>
      <w:lvlJc w:val="left"/>
      <w:pPr>
        <w:tabs>
          <w:tab w:val="num" w:pos="3261"/>
        </w:tabs>
        <w:ind w:left="3261" w:hanging="567"/>
      </w:pPr>
      <w:rPr>
        <w:rFonts w:ascii="Calibri" w:hAnsi="Calibri"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rPr>
    </w:lvl>
    <w:lvl w:ilvl="7">
      <w:start w:val="1"/>
      <w:numFmt w:val="decimal"/>
      <w:lvlRestart w:val="0"/>
      <w:lvlText w:val="Figure %8"/>
      <w:lvlJc w:val="left"/>
      <w:pPr>
        <w:tabs>
          <w:tab w:val="num" w:pos="1418"/>
        </w:tabs>
        <w:ind w:left="1418" w:hanging="1418"/>
      </w:pPr>
      <w:rPr>
        <w:rFonts w:hint="default"/>
      </w:rPr>
    </w:lvl>
    <w:lvl w:ilvl="8">
      <w:start w:val="1"/>
      <w:numFmt w:val="decimal"/>
      <w:lvlRestart w:val="0"/>
      <w:lvlText w:val="Table %9"/>
      <w:lvlJc w:val="left"/>
      <w:pPr>
        <w:tabs>
          <w:tab w:val="num" w:pos="1418"/>
        </w:tabs>
        <w:ind w:left="1418" w:hanging="1418"/>
      </w:pPr>
      <w:rPr>
        <w:rFonts w:hint="default"/>
      </w:rPr>
    </w:lvl>
  </w:abstractNum>
  <w:abstractNum w:abstractNumId="21">
    <w:nsid w:val="1B5E2503"/>
    <w:multiLevelType w:val="multilevel"/>
    <w:tmpl w:val="58C625A4"/>
    <w:styleLink w:val="Tablebulletlist"/>
    <w:lvl w:ilvl="0">
      <w:start w:val="1"/>
      <w:numFmt w:val="bullet"/>
      <w:pStyle w:val="Tablebullet"/>
      <w:lvlText w:val=""/>
      <w:lvlJc w:val="left"/>
      <w:pPr>
        <w:tabs>
          <w:tab w:val="num" w:pos="284"/>
        </w:tabs>
        <w:ind w:left="284" w:hanging="284"/>
      </w:pPr>
      <w:rPr>
        <w:rFonts w:ascii="Symbol" w:hAnsi="Symbol" w:hint="default"/>
        <w:color w:val="0D2244"/>
      </w:rPr>
    </w:lvl>
    <w:lvl w:ilvl="1">
      <w:start w:val="1"/>
      <w:numFmt w:val="none"/>
      <w:lvlText w:val=""/>
      <w:lvlJc w:val="left"/>
      <w:pPr>
        <w:tabs>
          <w:tab w:val="num" w:pos="0"/>
        </w:tabs>
        <w:ind w:left="0" w:firstLine="0"/>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22">
    <w:nsid w:val="1C424C60"/>
    <w:multiLevelType w:val="multilevel"/>
    <w:tmpl w:val="7512CF7E"/>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1418"/>
        </w:tabs>
        <w:ind w:left="1418" w:hanging="709"/>
      </w:pPr>
      <w:rPr>
        <w:rFonts w:hint="default"/>
      </w:rPr>
    </w:lvl>
    <w:lvl w:ilvl="2">
      <w:start w:val="1"/>
      <w:numFmt w:val="decimal"/>
      <w:lvlText w:val="%1.%2.%3"/>
      <w:lvlJc w:val="left"/>
      <w:pPr>
        <w:tabs>
          <w:tab w:val="num" w:pos="2126"/>
        </w:tabs>
        <w:ind w:left="2126" w:hanging="708"/>
      </w:pPr>
      <w:rPr>
        <w:rFonts w:hint="default"/>
      </w:rPr>
    </w:lvl>
    <w:lvl w:ilvl="3">
      <w:start w:val="1"/>
      <w:numFmt w:val="lowerLetter"/>
      <w:lvlText w:val="(%4)"/>
      <w:lvlJc w:val="left"/>
      <w:pPr>
        <w:tabs>
          <w:tab w:val="num" w:pos="2835"/>
        </w:tabs>
        <w:ind w:left="2835" w:hanging="709"/>
      </w:pPr>
      <w:rPr>
        <w:rFonts w:hint="default"/>
      </w:rPr>
    </w:lvl>
    <w:lvl w:ilvl="4">
      <w:start w:val="1"/>
      <w:numFmt w:val="lowerRoman"/>
      <w:lvlText w:val="(%5)"/>
      <w:lvlJc w:val="left"/>
      <w:pPr>
        <w:tabs>
          <w:tab w:val="num" w:pos="3544"/>
        </w:tabs>
        <w:ind w:left="3544" w:hanging="709"/>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23">
    <w:nsid w:val="20156E64"/>
    <w:multiLevelType w:val="multilevel"/>
    <w:tmpl w:val="7600791C"/>
    <w:lvl w:ilvl="0">
      <w:start w:val="1"/>
      <w:numFmt w:val="decimal"/>
      <w:lvlText w:val="SCHEDULE %1"/>
      <w:lvlJc w:val="left"/>
      <w:pPr>
        <w:tabs>
          <w:tab w:val="num" w:pos="1985"/>
        </w:tabs>
        <w:ind w:left="1985" w:firstLine="0"/>
      </w:pPr>
      <w:rPr>
        <w:rFonts w:hint="default"/>
        <w:caps/>
        <w:sz w:val="32"/>
      </w:rPr>
    </w:lvl>
    <w:lvl w:ilvl="1">
      <w:start w:val="1"/>
      <w:numFmt w:val="decimal"/>
      <w:lvlText w:val="DIVISION %2"/>
      <w:lvlJc w:val="left"/>
      <w:pPr>
        <w:tabs>
          <w:tab w:val="num" w:pos="0"/>
        </w:tabs>
        <w:ind w:left="0" w:firstLine="0"/>
      </w:pPr>
      <w:rPr>
        <w:rFonts w:hint="default"/>
      </w:rPr>
    </w:lvl>
    <w:lvl w:ilvl="2">
      <w:start w:val="1"/>
      <w:numFmt w:val="none"/>
      <w:lvlRestart w:val="0"/>
      <w:suff w:val="nothing"/>
      <w:lvlText w:val=""/>
      <w:lvlJc w:val="left"/>
      <w:pPr>
        <w:ind w:left="0" w:firstLine="0"/>
      </w:pPr>
      <w:rPr>
        <w:rFonts w:hint="default"/>
      </w:rPr>
    </w:lvl>
    <w:lvl w:ilvl="3">
      <w:start w:val="1"/>
      <w:numFmt w:val="decimal"/>
      <w:lvlRestart w:val="1"/>
      <w:lvlText w:val="%4"/>
      <w:lvlJc w:val="left"/>
      <w:pPr>
        <w:tabs>
          <w:tab w:val="num" w:pos="567"/>
        </w:tabs>
        <w:ind w:left="567" w:hanging="567"/>
      </w:pPr>
      <w:rPr>
        <w:rFonts w:asciiTheme="minorHAnsi" w:eastAsia="Times New Roman" w:hAnsiTheme="minorHAnsi" w:cs="Times New Roman" w:hint="default"/>
      </w:rPr>
    </w:lvl>
    <w:lvl w:ilvl="4">
      <w:start w:val="1"/>
      <w:numFmt w:val="decimal"/>
      <w:lvlText w:val="1.%5"/>
      <w:lvlJc w:val="left"/>
      <w:pPr>
        <w:tabs>
          <w:tab w:val="num" w:pos="851"/>
        </w:tabs>
        <w:ind w:left="851" w:hanging="567"/>
      </w:pPr>
      <w:rPr>
        <w:rFonts w:ascii="Calibri" w:hAnsi="Calibri" w:hint="default"/>
        <w:b w:val="0"/>
        <w:i w:val="0"/>
        <w:sz w:val="24"/>
      </w:rPr>
    </w:lvl>
    <w:lvl w:ilvl="5">
      <w:start w:val="1"/>
      <w:numFmt w:val="decimal"/>
      <w:lvlText w:val="1.1.%6"/>
      <w:lvlJc w:val="left"/>
      <w:pPr>
        <w:tabs>
          <w:tab w:val="num" w:pos="1701"/>
        </w:tabs>
        <w:ind w:left="1701" w:hanging="567"/>
      </w:pPr>
      <w:rPr>
        <w:rFonts w:ascii="Calibri" w:hAnsi="Calibri" w:hint="default"/>
        <w:b w:val="0"/>
        <w:i w:val="0"/>
        <w:sz w:val="24"/>
      </w:rPr>
    </w:lvl>
    <w:lvl w:ilvl="6">
      <w:start w:val="1"/>
      <w:numFmt w:val="lowerRoman"/>
      <w:lvlText w:val="(%7)"/>
      <w:lvlJc w:val="left"/>
      <w:pPr>
        <w:tabs>
          <w:tab w:val="num" w:pos="2268"/>
        </w:tabs>
        <w:ind w:left="2268" w:hanging="567"/>
      </w:pPr>
      <w:rPr>
        <w:rFonts w:hint="default"/>
      </w:rPr>
    </w:lvl>
    <w:lvl w:ilvl="7">
      <w:start w:val="1"/>
      <w:numFmt w:val="decimal"/>
      <w:lvlRestart w:val="1"/>
      <w:lvlText w:val="Figure %1%8:"/>
      <w:lvlJc w:val="left"/>
      <w:pPr>
        <w:tabs>
          <w:tab w:val="num" w:pos="1418"/>
        </w:tabs>
        <w:ind w:left="1418" w:hanging="1418"/>
      </w:pPr>
      <w:rPr>
        <w:rFonts w:hint="default"/>
      </w:rPr>
    </w:lvl>
    <w:lvl w:ilvl="8">
      <w:start w:val="1"/>
      <w:numFmt w:val="decimal"/>
      <w:lvlRestart w:val="1"/>
      <w:lvlText w:val="Table %1%9:"/>
      <w:lvlJc w:val="left"/>
      <w:pPr>
        <w:tabs>
          <w:tab w:val="num" w:pos="1418"/>
        </w:tabs>
        <w:ind w:left="1418" w:hanging="1418"/>
      </w:pPr>
      <w:rPr>
        <w:rFonts w:hint="default"/>
      </w:rPr>
    </w:lvl>
  </w:abstractNum>
  <w:abstractNum w:abstractNumId="24">
    <w:nsid w:val="212B331B"/>
    <w:multiLevelType w:val="hybridMultilevel"/>
    <w:tmpl w:val="86B09B68"/>
    <w:lvl w:ilvl="0" w:tplc="B19C35FC">
      <w:start w:val="1"/>
      <w:numFmt w:val="lowerLetter"/>
      <w:lvlText w:val="(%1)"/>
      <w:lvlJc w:val="left"/>
      <w:pPr>
        <w:ind w:left="720" w:hanging="360"/>
      </w:pPr>
      <w:rPr>
        <w:rFonts w:hint="default"/>
      </w:rPr>
    </w:lvl>
    <w:lvl w:ilvl="1" w:tplc="8ACC1CEE" w:tentative="1">
      <w:start w:val="1"/>
      <w:numFmt w:val="lowerLetter"/>
      <w:lvlText w:val="%2."/>
      <w:lvlJc w:val="left"/>
      <w:pPr>
        <w:ind w:left="1440" w:hanging="360"/>
      </w:pPr>
    </w:lvl>
    <w:lvl w:ilvl="2" w:tplc="3B6E52B0" w:tentative="1">
      <w:start w:val="1"/>
      <w:numFmt w:val="lowerRoman"/>
      <w:lvlText w:val="%3."/>
      <w:lvlJc w:val="right"/>
      <w:pPr>
        <w:ind w:left="2160" w:hanging="180"/>
      </w:pPr>
    </w:lvl>
    <w:lvl w:ilvl="3" w:tplc="B6625BCA" w:tentative="1">
      <w:start w:val="1"/>
      <w:numFmt w:val="decimal"/>
      <w:lvlText w:val="%4."/>
      <w:lvlJc w:val="left"/>
      <w:pPr>
        <w:ind w:left="2880" w:hanging="360"/>
      </w:pPr>
    </w:lvl>
    <w:lvl w:ilvl="4" w:tplc="B5249A04" w:tentative="1">
      <w:start w:val="1"/>
      <w:numFmt w:val="lowerLetter"/>
      <w:lvlText w:val="%5."/>
      <w:lvlJc w:val="left"/>
      <w:pPr>
        <w:ind w:left="3600" w:hanging="360"/>
      </w:pPr>
    </w:lvl>
    <w:lvl w:ilvl="5" w:tplc="F45C273E" w:tentative="1">
      <w:start w:val="1"/>
      <w:numFmt w:val="lowerRoman"/>
      <w:lvlText w:val="%6."/>
      <w:lvlJc w:val="right"/>
      <w:pPr>
        <w:ind w:left="4320" w:hanging="180"/>
      </w:pPr>
    </w:lvl>
    <w:lvl w:ilvl="6" w:tplc="DBBC6474" w:tentative="1">
      <w:start w:val="1"/>
      <w:numFmt w:val="decimal"/>
      <w:lvlText w:val="%7."/>
      <w:lvlJc w:val="left"/>
      <w:pPr>
        <w:ind w:left="5040" w:hanging="360"/>
      </w:pPr>
    </w:lvl>
    <w:lvl w:ilvl="7" w:tplc="40485C34" w:tentative="1">
      <w:start w:val="1"/>
      <w:numFmt w:val="lowerLetter"/>
      <w:lvlText w:val="%8."/>
      <w:lvlJc w:val="left"/>
      <w:pPr>
        <w:ind w:left="5760" w:hanging="360"/>
      </w:pPr>
    </w:lvl>
    <w:lvl w:ilvl="8" w:tplc="B61016A6" w:tentative="1">
      <w:start w:val="1"/>
      <w:numFmt w:val="lowerRoman"/>
      <w:lvlText w:val="%9."/>
      <w:lvlJc w:val="right"/>
      <w:pPr>
        <w:ind w:left="6480" w:hanging="180"/>
      </w:pPr>
    </w:lvl>
  </w:abstractNum>
  <w:abstractNum w:abstractNumId="25">
    <w:nsid w:val="28865214"/>
    <w:multiLevelType w:val="hybridMultilevel"/>
    <w:tmpl w:val="11869BEC"/>
    <w:lvl w:ilvl="0" w:tplc="DBA83B7A">
      <w:start w:val="1"/>
      <w:numFmt w:val="lowerLetter"/>
      <w:lvlText w:val="(%1)"/>
      <w:lvlJc w:val="left"/>
      <w:pPr>
        <w:ind w:left="720" w:hanging="360"/>
      </w:pPr>
      <w:rPr>
        <w:rFonts w:hint="default"/>
        <w:b w:val="0"/>
      </w:rPr>
    </w:lvl>
    <w:lvl w:ilvl="1" w:tplc="03704D50" w:tentative="1">
      <w:start w:val="1"/>
      <w:numFmt w:val="lowerLetter"/>
      <w:lvlText w:val="%2."/>
      <w:lvlJc w:val="left"/>
      <w:pPr>
        <w:ind w:left="1440" w:hanging="360"/>
      </w:pPr>
    </w:lvl>
    <w:lvl w:ilvl="2" w:tplc="8CBEE49C" w:tentative="1">
      <w:start w:val="1"/>
      <w:numFmt w:val="lowerRoman"/>
      <w:lvlText w:val="%3."/>
      <w:lvlJc w:val="right"/>
      <w:pPr>
        <w:ind w:left="2160" w:hanging="180"/>
      </w:pPr>
    </w:lvl>
    <w:lvl w:ilvl="3" w:tplc="D8E68C14" w:tentative="1">
      <w:start w:val="1"/>
      <w:numFmt w:val="decimal"/>
      <w:lvlText w:val="%4."/>
      <w:lvlJc w:val="left"/>
      <w:pPr>
        <w:ind w:left="2880" w:hanging="360"/>
      </w:pPr>
    </w:lvl>
    <w:lvl w:ilvl="4" w:tplc="62360DC4" w:tentative="1">
      <w:start w:val="1"/>
      <w:numFmt w:val="lowerLetter"/>
      <w:lvlText w:val="%5."/>
      <w:lvlJc w:val="left"/>
      <w:pPr>
        <w:ind w:left="3600" w:hanging="360"/>
      </w:pPr>
    </w:lvl>
    <w:lvl w:ilvl="5" w:tplc="5A62B400" w:tentative="1">
      <w:start w:val="1"/>
      <w:numFmt w:val="lowerRoman"/>
      <w:lvlText w:val="%6."/>
      <w:lvlJc w:val="right"/>
      <w:pPr>
        <w:ind w:left="4320" w:hanging="180"/>
      </w:pPr>
    </w:lvl>
    <w:lvl w:ilvl="6" w:tplc="00B685C6" w:tentative="1">
      <w:start w:val="1"/>
      <w:numFmt w:val="decimal"/>
      <w:lvlText w:val="%7."/>
      <w:lvlJc w:val="left"/>
      <w:pPr>
        <w:ind w:left="5040" w:hanging="360"/>
      </w:pPr>
    </w:lvl>
    <w:lvl w:ilvl="7" w:tplc="66D8D6BC" w:tentative="1">
      <w:start w:val="1"/>
      <w:numFmt w:val="lowerLetter"/>
      <w:lvlText w:val="%8."/>
      <w:lvlJc w:val="left"/>
      <w:pPr>
        <w:ind w:left="5760" w:hanging="360"/>
      </w:pPr>
    </w:lvl>
    <w:lvl w:ilvl="8" w:tplc="68DC606E" w:tentative="1">
      <w:start w:val="1"/>
      <w:numFmt w:val="lowerRoman"/>
      <w:lvlText w:val="%9."/>
      <w:lvlJc w:val="right"/>
      <w:pPr>
        <w:ind w:left="6480" w:hanging="180"/>
      </w:pPr>
    </w:lvl>
  </w:abstractNum>
  <w:abstractNum w:abstractNumId="26">
    <w:nsid w:val="2950253B"/>
    <w:multiLevelType w:val="multilevel"/>
    <w:tmpl w:val="A57616B4"/>
    <w:lvl w:ilvl="0">
      <w:start w:val="1"/>
      <w:numFmt w:val="decimal"/>
      <w:pStyle w:val="Outline2"/>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hint="default"/>
      </w:rPr>
    </w:lvl>
    <w:lvl w:ilvl="2">
      <w:start w:val="1"/>
      <w:numFmt w:val="decimal"/>
      <w:lvlText w:val="%1.%2.%3"/>
      <w:lvlJc w:val="left"/>
      <w:pPr>
        <w:tabs>
          <w:tab w:val="num" w:pos="1418"/>
        </w:tabs>
        <w:ind w:left="1418" w:hanging="709"/>
      </w:pPr>
      <w:rPr>
        <w:rFonts w:hint="default"/>
      </w:rPr>
    </w:lvl>
    <w:lvl w:ilvl="3">
      <w:start w:val="1"/>
      <w:numFmt w:val="lowerLetter"/>
      <w:lvlText w:val="(%4)"/>
      <w:lvlJc w:val="left"/>
      <w:pPr>
        <w:tabs>
          <w:tab w:val="num" w:pos="2126"/>
        </w:tabs>
        <w:ind w:left="2126" w:hanging="708"/>
      </w:pPr>
      <w:rPr>
        <w:rFonts w:hint="default"/>
      </w:rPr>
    </w:lvl>
    <w:lvl w:ilvl="4">
      <w:start w:val="1"/>
      <w:numFmt w:val="lowerRoman"/>
      <w:lvlText w:val="(%5)"/>
      <w:lvlJc w:val="left"/>
      <w:pPr>
        <w:tabs>
          <w:tab w:val="num" w:pos="2835"/>
        </w:tabs>
        <w:ind w:left="2835" w:hanging="709"/>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27">
    <w:nsid w:val="29AE29C1"/>
    <w:multiLevelType w:val="hybridMultilevel"/>
    <w:tmpl w:val="79203202"/>
    <w:lvl w:ilvl="0" w:tplc="D35AC5DC">
      <w:start w:val="1"/>
      <w:numFmt w:val="lowerLetter"/>
      <w:lvlText w:val="(%1)"/>
      <w:lvlJc w:val="left"/>
      <w:pPr>
        <w:ind w:left="394" w:hanging="360"/>
      </w:pPr>
      <w:rPr>
        <w:rFonts w:hint="default"/>
      </w:rPr>
    </w:lvl>
    <w:lvl w:ilvl="1" w:tplc="04B28320" w:tentative="1">
      <w:start w:val="1"/>
      <w:numFmt w:val="lowerLetter"/>
      <w:lvlText w:val="%2."/>
      <w:lvlJc w:val="left"/>
      <w:pPr>
        <w:ind w:left="1114" w:hanging="360"/>
      </w:pPr>
    </w:lvl>
    <w:lvl w:ilvl="2" w:tplc="FD80B892" w:tentative="1">
      <w:start w:val="1"/>
      <w:numFmt w:val="lowerRoman"/>
      <w:lvlText w:val="%3."/>
      <w:lvlJc w:val="right"/>
      <w:pPr>
        <w:ind w:left="1834" w:hanging="180"/>
      </w:pPr>
    </w:lvl>
    <w:lvl w:ilvl="3" w:tplc="66A43572" w:tentative="1">
      <w:start w:val="1"/>
      <w:numFmt w:val="decimal"/>
      <w:lvlText w:val="%4."/>
      <w:lvlJc w:val="left"/>
      <w:pPr>
        <w:ind w:left="2554" w:hanging="360"/>
      </w:pPr>
    </w:lvl>
    <w:lvl w:ilvl="4" w:tplc="E6F8527A" w:tentative="1">
      <w:start w:val="1"/>
      <w:numFmt w:val="lowerLetter"/>
      <w:lvlText w:val="%5."/>
      <w:lvlJc w:val="left"/>
      <w:pPr>
        <w:ind w:left="3274" w:hanging="360"/>
      </w:pPr>
    </w:lvl>
    <w:lvl w:ilvl="5" w:tplc="97AE63E8" w:tentative="1">
      <w:start w:val="1"/>
      <w:numFmt w:val="lowerRoman"/>
      <w:lvlText w:val="%6."/>
      <w:lvlJc w:val="right"/>
      <w:pPr>
        <w:ind w:left="3994" w:hanging="180"/>
      </w:pPr>
    </w:lvl>
    <w:lvl w:ilvl="6" w:tplc="3B023CFC" w:tentative="1">
      <w:start w:val="1"/>
      <w:numFmt w:val="decimal"/>
      <w:lvlText w:val="%7."/>
      <w:lvlJc w:val="left"/>
      <w:pPr>
        <w:ind w:left="4714" w:hanging="360"/>
      </w:pPr>
    </w:lvl>
    <w:lvl w:ilvl="7" w:tplc="0A1ADA28" w:tentative="1">
      <w:start w:val="1"/>
      <w:numFmt w:val="lowerLetter"/>
      <w:lvlText w:val="%8."/>
      <w:lvlJc w:val="left"/>
      <w:pPr>
        <w:ind w:left="5434" w:hanging="360"/>
      </w:pPr>
    </w:lvl>
    <w:lvl w:ilvl="8" w:tplc="CA3A8E68" w:tentative="1">
      <w:start w:val="1"/>
      <w:numFmt w:val="lowerRoman"/>
      <w:lvlText w:val="%9."/>
      <w:lvlJc w:val="right"/>
      <w:pPr>
        <w:ind w:left="6154" w:hanging="180"/>
      </w:pPr>
    </w:lvl>
  </w:abstractNum>
  <w:abstractNum w:abstractNumId="28">
    <w:nsid w:val="2D170E40"/>
    <w:multiLevelType w:val="multilevel"/>
    <w:tmpl w:val="A6CEBFD8"/>
    <w:lvl w:ilvl="0">
      <w:start w:val="1"/>
      <w:numFmt w:val="decimal"/>
      <w:lvlText w:val="PART %1"/>
      <w:lvlJc w:val="left"/>
      <w:pPr>
        <w:tabs>
          <w:tab w:val="num" w:pos="0"/>
        </w:tabs>
        <w:ind w:left="0" w:firstLine="0"/>
      </w:pPr>
      <w:rPr>
        <w:b/>
        <w:i w:val="0"/>
        <w:caps/>
        <w:sz w:val="32"/>
        <w:szCs w:val="32"/>
      </w:rPr>
    </w:lvl>
    <w:lvl w:ilvl="1">
      <w:start w:val="1"/>
      <w:numFmt w:val="decimal"/>
      <w:lvlText w:val="SUBPART %2"/>
      <w:lvlJc w:val="left"/>
      <w:pPr>
        <w:tabs>
          <w:tab w:val="num" w:pos="0"/>
        </w:tabs>
        <w:ind w:left="0" w:firstLine="0"/>
      </w:pPr>
      <w:rPr>
        <w:b w:val="0"/>
      </w:rPr>
    </w:lvl>
    <w:lvl w:ilvl="2">
      <w:start w:val="1"/>
      <w:numFmt w:val="decimal"/>
      <w:lvlText w:val="SECTION %3"/>
      <w:lvlJc w:val="left"/>
      <w:pPr>
        <w:tabs>
          <w:tab w:val="num" w:pos="0"/>
        </w:tabs>
        <w:ind w:left="0" w:firstLine="0"/>
      </w:pPr>
    </w:lvl>
    <w:lvl w:ilvl="3">
      <w:start w:val="1"/>
      <w:numFmt w:val="decimal"/>
      <w:lvlRestart w:val="1"/>
      <w:lvlText w:val="%1.%4"/>
      <w:lvlJc w:val="left"/>
      <w:pPr>
        <w:tabs>
          <w:tab w:val="num" w:pos="567"/>
        </w:tabs>
        <w:ind w:left="567" w:hanging="567"/>
      </w:pPr>
    </w:lvl>
    <w:lvl w:ilvl="4">
      <w:start w:val="1"/>
      <w:numFmt w:val="decimal"/>
      <w:lvlText w:val="(%5)"/>
      <w:lvlJc w:val="left"/>
      <w:pPr>
        <w:tabs>
          <w:tab w:val="num" w:pos="1702"/>
        </w:tabs>
        <w:ind w:left="1702" w:hanging="567"/>
      </w:pPr>
      <w:rPr>
        <w:rFonts w:ascii="Calibri" w:hAnsi="Calibri" w:cs="Times New Roman" w:hint="default"/>
        <w:b w:val="0"/>
      </w:rPr>
    </w:lvl>
    <w:lvl w:ilvl="5">
      <w:start w:val="1"/>
      <w:numFmt w:val="lowerLetter"/>
      <w:lvlText w:val="(%6)"/>
      <w:lvlJc w:val="left"/>
      <w:pPr>
        <w:tabs>
          <w:tab w:val="num" w:pos="1702"/>
        </w:tabs>
        <w:ind w:left="1702" w:hanging="567"/>
      </w:pPr>
      <w:rPr>
        <w:rFonts w:hint="default"/>
        <w:b w:val="0"/>
      </w:rPr>
    </w:lvl>
    <w:lvl w:ilvl="6">
      <w:start w:val="1"/>
      <w:numFmt w:val="lowerRoman"/>
      <w:lvlText w:val="(%7)"/>
      <w:lvlJc w:val="left"/>
      <w:pPr>
        <w:tabs>
          <w:tab w:val="num" w:pos="3261"/>
        </w:tabs>
        <w:ind w:left="3261" w:hanging="567"/>
      </w:pPr>
      <w:rPr>
        <w:rFonts w:ascii="Calibri" w:hAnsi="Calibri" w:cs="Times New Roman" w:hint="default"/>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rPr>
    </w:lvl>
    <w:lvl w:ilvl="7">
      <w:start w:val="1"/>
      <w:numFmt w:val="decimal"/>
      <w:lvlRestart w:val="0"/>
      <w:lvlText w:val="Figure %8"/>
      <w:lvlJc w:val="left"/>
      <w:pPr>
        <w:tabs>
          <w:tab w:val="num" w:pos="1418"/>
        </w:tabs>
        <w:ind w:left="1418" w:hanging="1418"/>
      </w:pPr>
    </w:lvl>
    <w:lvl w:ilvl="8">
      <w:start w:val="1"/>
      <w:numFmt w:val="decimal"/>
      <w:lvlRestart w:val="0"/>
      <w:lvlText w:val="Table %9"/>
      <w:lvlJc w:val="left"/>
      <w:pPr>
        <w:tabs>
          <w:tab w:val="num" w:pos="1418"/>
        </w:tabs>
        <w:ind w:left="1418" w:hanging="1418"/>
      </w:pPr>
    </w:lvl>
  </w:abstractNum>
  <w:abstractNum w:abstractNumId="29">
    <w:nsid w:val="2DA30E83"/>
    <w:multiLevelType w:val="hybridMultilevel"/>
    <w:tmpl w:val="B9707382"/>
    <w:lvl w:ilvl="0" w:tplc="7E36449A">
      <w:start w:val="1"/>
      <w:numFmt w:val="lowerLetter"/>
      <w:lvlText w:val="(%1)"/>
      <w:lvlJc w:val="left"/>
      <w:pPr>
        <w:ind w:left="720" w:hanging="360"/>
      </w:pPr>
      <w:rPr>
        <w:rFonts w:hint="default"/>
      </w:rPr>
    </w:lvl>
    <w:lvl w:ilvl="1" w:tplc="2EB09622" w:tentative="1">
      <w:start w:val="1"/>
      <w:numFmt w:val="lowerLetter"/>
      <w:lvlText w:val="%2."/>
      <w:lvlJc w:val="left"/>
      <w:pPr>
        <w:ind w:left="1440" w:hanging="360"/>
      </w:pPr>
    </w:lvl>
    <w:lvl w:ilvl="2" w:tplc="4162A0D6" w:tentative="1">
      <w:start w:val="1"/>
      <w:numFmt w:val="lowerRoman"/>
      <w:lvlText w:val="%3."/>
      <w:lvlJc w:val="right"/>
      <w:pPr>
        <w:ind w:left="2160" w:hanging="180"/>
      </w:pPr>
    </w:lvl>
    <w:lvl w:ilvl="3" w:tplc="CE7C1EF4" w:tentative="1">
      <w:start w:val="1"/>
      <w:numFmt w:val="decimal"/>
      <w:lvlText w:val="%4."/>
      <w:lvlJc w:val="left"/>
      <w:pPr>
        <w:ind w:left="2880" w:hanging="360"/>
      </w:pPr>
    </w:lvl>
    <w:lvl w:ilvl="4" w:tplc="E8ACCF98" w:tentative="1">
      <w:start w:val="1"/>
      <w:numFmt w:val="lowerLetter"/>
      <w:lvlText w:val="%5."/>
      <w:lvlJc w:val="left"/>
      <w:pPr>
        <w:ind w:left="3600" w:hanging="360"/>
      </w:pPr>
    </w:lvl>
    <w:lvl w:ilvl="5" w:tplc="9044F5B6" w:tentative="1">
      <w:start w:val="1"/>
      <w:numFmt w:val="lowerRoman"/>
      <w:lvlText w:val="%6."/>
      <w:lvlJc w:val="right"/>
      <w:pPr>
        <w:ind w:left="4320" w:hanging="180"/>
      </w:pPr>
    </w:lvl>
    <w:lvl w:ilvl="6" w:tplc="03682FFA" w:tentative="1">
      <w:start w:val="1"/>
      <w:numFmt w:val="decimal"/>
      <w:lvlText w:val="%7."/>
      <w:lvlJc w:val="left"/>
      <w:pPr>
        <w:ind w:left="5040" w:hanging="360"/>
      </w:pPr>
    </w:lvl>
    <w:lvl w:ilvl="7" w:tplc="E1286432" w:tentative="1">
      <w:start w:val="1"/>
      <w:numFmt w:val="lowerLetter"/>
      <w:lvlText w:val="%8."/>
      <w:lvlJc w:val="left"/>
      <w:pPr>
        <w:ind w:left="5760" w:hanging="360"/>
      </w:pPr>
    </w:lvl>
    <w:lvl w:ilvl="8" w:tplc="5DEA4EBC" w:tentative="1">
      <w:start w:val="1"/>
      <w:numFmt w:val="lowerRoman"/>
      <w:lvlText w:val="%9."/>
      <w:lvlJc w:val="right"/>
      <w:pPr>
        <w:ind w:left="6480" w:hanging="180"/>
      </w:pPr>
    </w:lvl>
  </w:abstractNum>
  <w:abstractNum w:abstractNumId="30">
    <w:nsid w:val="2DE6051F"/>
    <w:multiLevelType w:val="multilevel"/>
    <w:tmpl w:val="C496390E"/>
    <w:lvl w:ilvl="0">
      <w:start w:val="1"/>
      <w:numFmt w:val="decimal"/>
      <w:lvlText w:val="SCHEDULE %1"/>
      <w:lvlJc w:val="left"/>
      <w:pPr>
        <w:tabs>
          <w:tab w:val="num" w:pos="1985"/>
        </w:tabs>
        <w:ind w:left="1985" w:firstLine="0"/>
      </w:pPr>
      <w:rPr>
        <w:rFonts w:hint="default"/>
        <w:caps/>
        <w:sz w:val="32"/>
      </w:rPr>
    </w:lvl>
    <w:lvl w:ilvl="1">
      <w:start w:val="1"/>
      <w:numFmt w:val="decimal"/>
      <w:lvlText w:val="DIVISION %2"/>
      <w:lvlJc w:val="left"/>
      <w:pPr>
        <w:tabs>
          <w:tab w:val="num" w:pos="0"/>
        </w:tabs>
        <w:ind w:left="0" w:firstLine="0"/>
      </w:pPr>
      <w:rPr>
        <w:rFonts w:hint="default"/>
      </w:rPr>
    </w:lvl>
    <w:lvl w:ilvl="2">
      <w:start w:val="1"/>
      <w:numFmt w:val="none"/>
      <w:lvlRestart w:val="0"/>
      <w:suff w:val="nothing"/>
      <w:lvlText w:val=""/>
      <w:lvlJc w:val="left"/>
      <w:pPr>
        <w:ind w:left="0" w:firstLine="0"/>
      </w:pPr>
      <w:rPr>
        <w:rFonts w:hint="default"/>
      </w:rPr>
    </w:lvl>
    <w:lvl w:ilvl="3">
      <w:start w:val="1"/>
      <w:numFmt w:val="decimal"/>
      <w:lvlRestart w:val="1"/>
      <w:lvlText w:val="%4"/>
      <w:lvlJc w:val="left"/>
      <w:pPr>
        <w:tabs>
          <w:tab w:val="num" w:pos="567"/>
        </w:tabs>
        <w:ind w:left="567" w:hanging="567"/>
      </w:pPr>
      <w:rPr>
        <w:rFonts w:asciiTheme="minorHAnsi" w:eastAsia="Times New Roman" w:hAnsiTheme="minorHAnsi" w:cs="Times New Roman" w:hint="default"/>
      </w:rPr>
    </w:lvl>
    <w:lvl w:ilvl="4">
      <w:start w:val="1"/>
      <w:numFmt w:val="decimal"/>
      <w:lvlText w:val="1.%5"/>
      <w:lvlJc w:val="left"/>
      <w:pPr>
        <w:tabs>
          <w:tab w:val="num" w:pos="851"/>
        </w:tabs>
        <w:ind w:left="851" w:hanging="567"/>
      </w:pPr>
      <w:rPr>
        <w:rFonts w:ascii="Calibri" w:hAnsi="Calibri" w:hint="default"/>
        <w:b w:val="0"/>
        <w:i w:val="0"/>
        <w:sz w:val="24"/>
      </w:rPr>
    </w:lvl>
    <w:lvl w:ilvl="5">
      <w:start w:val="1"/>
      <w:numFmt w:val="decimal"/>
      <w:lvlText w:val="2.1.%6"/>
      <w:lvlJc w:val="left"/>
      <w:pPr>
        <w:tabs>
          <w:tab w:val="num" w:pos="1701"/>
        </w:tabs>
        <w:ind w:left="1701" w:hanging="567"/>
      </w:pPr>
      <w:rPr>
        <w:rFonts w:ascii="Calibri" w:hAnsi="Calibri" w:hint="default"/>
        <w:b w:val="0"/>
        <w:i w:val="0"/>
        <w:sz w:val="24"/>
      </w:rPr>
    </w:lvl>
    <w:lvl w:ilvl="6">
      <w:start w:val="1"/>
      <w:numFmt w:val="lowerRoman"/>
      <w:lvlText w:val="(%7)"/>
      <w:lvlJc w:val="left"/>
      <w:pPr>
        <w:tabs>
          <w:tab w:val="num" w:pos="2268"/>
        </w:tabs>
        <w:ind w:left="2268" w:hanging="567"/>
      </w:pPr>
      <w:rPr>
        <w:rFonts w:hint="default"/>
      </w:rPr>
    </w:lvl>
    <w:lvl w:ilvl="7">
      <w:start w:val="1"/>
      <w:numFmt w:val="decimal"/>
      <w:lvlRestart w:val="1"/>
      <w:lvlText w:val="Figure %1%8:"/>
      <w:lvlJc w:val="left"/>
      <w:pPr>
        <w:tabs>
          <w:tab w:val="num" w:pos="1418"/>
        </w:tabs>
        <w:ind w:left="1418" w:hanging="1418"/>
      </w:pPr>
      <w:rPr>
        <w:rFonts w:hint="default"/>
      </w:rPr>
    </w:lvl>
    <w:lvl w:ilvl="8">
      <w:start w:val="1"/>
      <w:numFmt w:val="decimal"/>
      <w:lvlRestart w:val="1"/>
      <w:lvlText w:val="Table %1%9:"/>
      <w:lvlJc w:val="left"/>
      <w:pPr>
        <w:tabs>
          <w:tab w:val="num" w:pos="1418"/>
        </w:tabs>
        <w:ind w:left="1418" w:hanging="1418"/>
      </w:pPr>
      <w:rPr>
        <w:rFonts w:hint="default"/>
      </w:rPr>
    </w:lvl>
  </w:abstractNum>
  <w:abstractNum w:abstractNumId="31">
    <w:nsid w:val="2E2C7984"/>
    <w:multiLevelType w:val="multilevel"/>
    <w:tmpl w:val="6F5EE07E"/>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1418"/>
        </w:tabs>
        <w:ind w:left="1418" w:hanging="709"/>
      </w:pPr>
      <w:rPr>
        <w:rFonts w:hint="default"/>
      </w:rPr>
    </w:lvl>
    <w:lvl w:ilvl="2">
      <w:start w:val="1"/>
      <w:numFmt w:val="decimal"/>
      <w:lvlText w:val="%1.%2.%3"/>
      <w:lvlJc w:val="left"/>
      <w:pPr>
        <w:tabs>
          <w:tab w:val="num" w:pos="2126"/>
        </w:tabs>
        <w:ind w:left="2126" w:hanging="708"/>
      </w:pPr>
      <w:rPr>
        <w:rFonts w:hint="default"/>
      </w:rPr>
    </w:lvl>
    <w:lvl w:ilvl="3">
      <w:start w:val="1"/>
      <w:numFmt w:val="lowerLetter"/>
      <w:lvlText w:val="(%4)"/>
      <w:lvlJc w:val="left"/>
      <w:pPr>
        <w:tabs>
          <w:tab w:val="num" w:pos="2835"/>
        </w:tabs>
        <w:ind w:left="2835" w:hanging="709"/>
      </w:pPr>
      <w:rPr>
        <w:rFonts w:hint="default"/>
      </w:rPr>
    </w:lvl>
    <w:lvl w:ilvl="4">
      <w:start w:val="1"/>
      <w:numFmt w:val="lowerRoman"/>
      <w:lvlText w:val="(%5)"/>
      <w:lvlJc w:val="left"/>
      <w:pPr>
        <w:tabs>
          <w:tab w:val="num" w:pos="3544"/>
        </w:tabs>
        <w:ind w:left="3544" w:hanging="709"/>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32">
    <w:nsid w:val="2E605C8B"/>
    <w:multiLevelType w:val="multilevel"/>
    <w:tmpl w:val="FDFEC7F4"/>
    <w:lvl w:ilvl="0">
      <w:start w:val="1"/>
      <w:numFmt w:val="decimal"/>
      <w:pStyle w:val="HeadingH1"/>
      <w:lvlText w:val="PART %1"/>
      <w:lvlJc w:val="left"/>
      <w:pPr>
        <w:tabs>
          <w:tab w:val="num" w:pos="0"/>
        </w:tabs>
        <w:ind w:left="0" w:firstLine="0"/>
      </w:pPr>
      <w:rPr>
        <w:rFonts w:ascii="Calibri Bold" w:hAnsi="Calibri Bold" w:hint="default"/>
        <w:b/>
        <w:i w:val="0"/>
        <w:caps/>
        <w:sz w:val="28"/>
        <w:szCs w:val="32"/>
      </w:rPr>
    </w:lvl>
    <w:lvl w:ilvl="1">
      <w:start w:val="1"/>
      <w:numFmt w:val="decimal"/>
      <w:lvlText w:val="%1.%2"/>
      <w:lvlJc w:val="left"/>
      <w:pPr>
        <w:tabs>
          <w:tab w:val="num" w:pos="0"/>
        </w:tabs>
        <w:ind w:left="709" w:hanging="709"/>
      </w:pPr>
      <w:rPr>
        <w:rFonts w:ascii="Calibri Bold" w:hAnsi="Calibri Bold" w:hint="default"/>
        <w:b/>
        <w:i w:val="0"/>
        <w:caps/>
        <w:sz w:val="24"/>
      </w:rPr>
    </w:lvl>
    <w:lvl w:ilvl="2">
      <w:start w:val="1"/>
      <w:numFmt w:val="decimal"/>
      <w:lvlText w:val="%1.%2.%3"/>
      <w:lvlJc w:val="left"/>
      <w:pPr>
        <w:tabs>
          <w:tab w:val="num" w:pos="0"/>
        </w:tabs>
        <w:ind w:left="709" w:hanging="709"/>
      </w:pPr>
      <w:rPr>
        <w:rFonts w:hint="default"/>
      </w:rPr>
    </w:lvl>
    <w:lvl w:ilvl="3">
      <w:start w:val="1"/>
      <w:numFmt w:val="decimal"/>
      <w:lvlText w:val="(%4)"/>
      <w:lvlJc w:val="left"/>
      <w:pPr>
        <w:tabs>
          <w:tab w:val="num" w:pos="284"/>
        </w:tabs>
        <w:ind w:left="993" w:hanging="709"/>
      </w:pPr>
      <w:rPr>
        <w:rFonts w:hint="default"/>
      </w:rPr>
    </w:lvl>
    <w:lvl w:ilvl="4">
      <w:start w:val="1"/>
      <w:numFmt w:val="lowerLetter"/>
      <w:lvlText w:val="(%5)"/>
      <w:lvlJc w:val="left"/>
      <w:pPr>
        <w:tabs>
          <w:tab w:val="num" w:pos="0"/>
        </w:tabs>
        <w:ind w:left="2126" w:hanging="708"/>
      </w:pPr>
      <w:rPr>
        <w:rFonts w:ascii="Calibri" w:hAnsi="Calibri" w:cs="Times New Roman" w:hint="default"/>
        <w:b w:val="0"/>
      </w:rPr>
    </w:lvl>
    <w:lvl w:ilvl="5">
      <w:start w:val="1"/>
      <w:numFmt w:val="lowerRoman"/>
      <w:lvlText w:val="(%6)"/>
      <w:lvlJc w:val="left"/>
      <w:pPr>
        <w:ind w:left="2835" w:hanging="709"/>
      </w:pPr>
      <w:rPr>
        <w:rFonts w:ascii="Calibri" w:hAnsi="Calibri" w:cs="Times New Roman" w:hint="default"/>
        <w:b w:val="0"/>
      </w:rPr>
    </w:lvl>
    <w:lvl w:ilvl="6">
      <w:start w:val="1"/>
      <w:numFmt w:val="lowerRoman"/>
      <w:lvlText w:val="(%7)"/>
      <w:lvlJc w:val="left"/>
      <w:pPr>
        <w:tabs>
          <w:tab w:val="num" w:pos="3261"/>
        </w:tabs>
        <w:ind w:left="3261" w:hanging="567"/>
      </w:pPr>
      <w:rPr>
        <w:rFonts w:ascii="Calibri" w:hAnsi="Calibri" w:cs="Times New Roman" w:hint="default"/>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rPr>
    </w:lvl>
    <w:lvl w:ilvl="7">
      <w:start w:val="1"/>
      <w:numFmt w:val="decimal"/>
      <w:lvlRestart w:val="0"/>
      <w:lvlText w:val="Figure %8"/>
      <w:lvlJc w:val="left"/>
      <w:pPr>
        <w:tabs>
          <w:tab w:val="num" w:pos="1418"/>
        </w:tabs>
        <w:ind w:left="1418" w:hanging="1418"/>
      </w:pPr>
      <w:rPr>
        <w:rFonts w:hint="default"/>
      </w:rPr>
    </w:lvl>
    <w:lvl w:ilvl="8">
      <w:start w:val="1"/>
      <w:numFmt w:val="decimal"/>
      <w:lvlRestart w:val="0"/>
      <w:lvlText w:val="Table %9"/>
      <w:lvlJc w:val="left"/>
      <w:pPr>
        <w:tabs>
          <w:tab w:val="num" w:pos="1418"/>
        </w:tabs>
        <w:ind w:left="1418" w:hanging="1418"/>
      </w:pPr>
      <w:rPr>
        <w:rFonts w:hint="default"/>
      </w:rPr>
    </w:lvl>
  </w:abstractNum>
  <w:abstractNum w:abstractNumId="33">
    <w:nsid w:val="2F8F3C76"/>
    <w:multiLevelType w:val="multilevel"/>
    <w:tmpl w:val="771E4A9A"/>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1418"/>
        </w:tabs>
        <w:ind w:left="1418" w:hanging="709"/>
      </w:pPr>
      <w:rPr>
        <w:rFonts w:hint="default"/>
      </w:rPr>
    </w:lvl>
    <w:lvl w:ilvl="2">
      <w:start w:val="1"/>
      <w:numFmt w:val="bullet"/>
      <w:lvlText w:val=""/>
      <w:lvlJc w:val="left"/>
      <w:pPr>
        <w:tabs>
          <w:tab w:val="num" w:pos="2126"/>
        </w:tabs>
        <w:ind w:left="2126" w:hanging="708"/>
      </w:pPr>
      <w:rPr>
        <w:rFonts w:ascii="Symbol" w:hAnsi="Symbol" w:hint="default"/>
      </w:rPr>
    </w:lvl>
    <w:lvl w:ilvl="3">
      <w:start w:val="1"/>
      <w:numFmt w:val="lowerLetter"/>
      <w:lvlText w:val="(%4)"/>
      <w:lvlJc w:val="left"/>
      <w:pPr>
        <w:tabs>
          <w:tab w:val="num" w:pos="2835"/>
        </w:tabs>
        <w:ind w:left="2835" w:hanging="709"/>
      </w:pPr>
      <w:rPr>
        <w:rFonts w:hint="default"/>
      </w:rPr>
    </w:lvl>
    <w:lvl w:ilvl="4">
      <w:start w:val="1"/>
      <w:numFmt w:val="lowerRoman"/>
      <w:lvlText w:val="(%5)"/>
      <w:lvlJc w:val="left"/>
      <w:pPr>
        <w:tabs>
          <w:tab w:val="num" w:pos="3544"/>
        </w:tabs>
        <w:ind w:left="3544" w:hanging="709"/>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34">
    <w:nsid w:val="326E69A5"/>
    <w:multiLevelType w:val="multilevel"/>
    <w:tmpl w:val="6C24227A"/>
    <w:lvl w:ilvl="0">
      <w:start w:val="1"/>
      <w:numFmt w:val="decimal"/>
      <w:lvlText w:val="SCHEDULE %1"/>
      <w:lvlJc w:val="left"/>
      <w:pPr>
        <w:tabs>
          <w:tab w:val="num" w:pos="1985"/>
        </w:tabs>
        <w:ind w:left="1985" w:firstLine="0"/>
      </w:pPr>
      <w:rPr>
        <w:rFonts w:hint="default"/>
        <w:caps/>
        <w:sz w:val="32"/>
      </w:rPr>
    </w:lvl>
    <w:lvl w:ilvl="1">
      <w:start w:val="1"/>
      <w:numFmt w:val="decimal"/>
      <w:lvlText w:val="DIVISION %2"/>
      <w:lvlJc w:val="left"/>
      <w:pPr>
        <w:tabs>
          <w:tab w:val="num" w:pos="0"/>
        </w:tabs>
        <w:ind w:left="0" w:firstLine="0"/>
      </w:pPr>
      <w:rPr>
        <w:rFonts w:hint="default"/>
      </w:rPr>
    </w:lvl>
    <w:lvl w:ilvl="2">
      <w:start w:val="1"/>
      <w:numFmt w:val="none"/>
      <w:lvlRestart w:val="0"/>
      <w:suff w:val="nothing"/>
      <w:lvlText w:val=""/>
      <w:lvlJc w:val="left"/>
      <w:pPr>
        <w:ind w:left="0" w:firstLine="0"/>
      </w:pPr>
      <w:rPr>
        <w:rFonts w:hint="default"/>
      </w:rPr>
    </w:lvl>
    <w:lvl w:ilvl="3">
      <w:start w:val="1"/>
      <w:numFmt w:val="decimal"/>
      <w:lvlRestart w:val="1"/>
      <w:lvlText w:val="%4"/>
      <w:lvlJc w:val="left"/>
      <w:pPr>
        <w:tabs>
          <w:tab w:val="num" w:pos="567"/>
        </w:tabs>
        <w:ind w:left="567" w:hanging="567"/>
      </w:pPr>
      <w:rPr>
        <w:rFonts w:asciiTheme="minorHAnsi" w:eastAsia="Times New Roman" w:hAnsiTheme="minorHAnsi" w:cs="Times New Roman" w:hint="default"/>
      </w:rPr>
    </w:lvl>
    <w:lvl w:ilvl="4">
      <w:start w:val="1"/>
      <w:numFmt w:val="decimal"/>
      <w:lvlText w:val="1.%5"/>
      <w:lvlJc w:val="left"/>
      <w:pPr>
        <w:tabs>
          <w:tab w:val="num" w:pos="851"/>
        </w:tabs>
        <w:ind w:left="851" w:hanging="567"/>
      </w:pPr>
      <w:rPr>
        <w:rFonts w:ascii="Calibri" w:hAnsi="Calibri" w:hint="default"/>
        <w:b w:val="0"/>
        <w:i w:val="0"/>
        <w:sz w:val="24"/>
      </w:rPr>
    </w:lvl>
    <w:lvl w:ilvl="5">
      <w:start w:val="1"/>
      <w:numFmt w:val="decimal"/>
      <w:lvlText w:val="2.3.%6"/>
      <w:lvlJc w:val="left"/>
      <w:pPr>
        <w:tabs>
          <w:tab w:val="num" w:pos="1701"/>
        </w:tabs>
        <w:ind w:left="1701" w:hanging="567"/>
      </w:pPr>
      <w:rPr>
        <w:rFonts w:ascii="Calibri" w:hAnsi="Calibri" w:hint="default"/>
        <w:b w:val="0"/>
        <w:i w:val="0"/>
        <w:sz w:val="24"/>
      </w:rPr>
    </w:lvl>
    <w:lvl w:ilvl="6">
      <w:start w:val="1"/>
      <w:numFmt w:val="lowerRoman"/>
      <w:lvlText w:val="(%7)"/>
      <w:lvlJc w:val="left"/>
      <w:pPr>
        <w:tabs>
          <w:tab w:val="num" w:pos="2268"/>
        </w:tabs>
        <w:ind w:left="2268" w:hanging="567"/>
      </w:pPr>
      <w:rPr>
        <w:rFonts w:hint="default"/>
      </w:rPr>
    </w:lvl>
    <w:lvl w:ilvl="7">
      <w:start w:val="1"/>
      <w:numFmt w:val="decimal"/>
      <w:lvlRestart w:val="1"/>
      <w:lvlText w:val="Figure %1%8:"/>
      <w:lvlJc w:val="left"/>
      <w:pPr>
        <w:tabs>
          <w:tab w:val="num" w:pos="1418"/>
        </w:tabs>
        <w:ind w:left="1418" w:hanging="1418"/>
      </w:pPr>
      <w:rPr>
        <w:rFonts w:hint="default"/>
      </w:rPr>
    </w:lvl>
    <w:lvl w:ilvl="8">
      <w:start w:val="1"/>
      <w:numFmt w:val="decimal"/>
      <w:lvlRestart w:val="1"/>
      <w:lvlText w:val="Table %1%9:"/>
      <w:lvlJc w:val="left"/>
      <w:pPr>
        <w:tabs>
          <w:tab w:val="num" w:pos="1418"/>
        </w:tabs>
        <w:ind w:left="1418" w:hanging="1418"/>
      </w:pPr>
      <w:rPr>
        <w:rFonts w:hint="default"/>
      </w:rPr>
    </w:lvl>
  </w:abstractNum>
  <w:abstractNum w:abstractNumId="35">
    <w:nsid w:val="32E66F1B"/>
    <w:multiLevelType w:val="multilevel"/>
    <w:tmpl w:val="6A7EF15A"/>
    <w:lvl w:ilvl="0">
      <w:start w:val="1"/>
      <w:numFmt w:val="decimal"/>
      <w:lvlText w:val="%1."/>
      <w:lvlJc w:val="left"/>
      <w:pPr>
        <w:tabs>
          <w:tab w:val="num" w:pos="720"/>
        </w:tabs>
        <w:ind w:left="720" w:hanging="360"/>
      </w:pPr>
    </w:lvl>
    <w:lvl w:ilvl="1">
      <w:start w:val="1"/>
      <w:numFmt w:val="lowerLetter"/>
      <w:lvlText w:val="(%2)"/>
      <w:lvlJc w:val="left"/>
      <w:pPr>
        <w:tabs>
          <w:tab w:val="num" w:pos="1920"/>
        </w:tabs>
        <w:ind w:left="1920" w:hanging="840"/>
      </w:pPr>
    </w:lvl>
    <w:lvl w:ilvl="2">
      <w:start w:val="1"/>
      <w:numFmt w:val="lowerRoman"/>
      <w:lvlText w:val="(%3)"/>
      <w:lvlJc w:val="left"/>
      <w:pPr>
        <w:tabs>
          <w:tab w:val="num" w:pos="2160"/>
        </w:tabs>
        <w:ind w:left="2160" w:hanging="180"/>
      </w:pPr>
    </w:lvl>
    <w:lvl w:ilvl="3">
      <w:start w:val="1"/>
      <w:numFmt w:val="lowerLetter"/>
      <w:lvlText w:val="(%4)"/>
      <w:lvlJc w:val="left"/>
      <w:pPr>
        <w:tabs>
          <w:tab w:val="num" w:pos="2880"/>
        </w:tabs>
        <w:ind w:left="2880" w:hanging="360"/>
      </w:pPr>
    </w:lvl>
    <w:lvl w:ilvl="4">
      <w:start w:val="1"/>
      <w:numFmt w:val="lowerLetter"/>
      <w:lvlText w:val="(%5)"/>
      <w:lvlJc w:val="left"/>
      <w:pPr>
        <w:tabs>
          <w:tab w:val="num" w:pos="1353"/>
        </w:tabs>
        <w:ind w:left="1353" w:hanging="360"/>
      </w:pPr>
      <w:rPr>
        <w:rFonts w:hint="default"/>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nsid w:val="33A62BAE"/>
    <w:multiLevelType w:val="multilevel"/>
    <w:tmpl w:val="102E164E"/>
    <w:styleLink w:val="Outlinestyle"/>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1418"/>
        </w:tabs>
        <w:ind w:left="1418" w:hanging="709"/>
      </w:pPr>
      <w:rPr>
        <w:rFonts w:hint="default"/>
      </w:rPr>
    </w:lvl>
    <w:lvl w:ilvl="2">
      <w:start w:val="1"/>
      <w:numFmt w:val="decimal"/>
      <w:lvlText w:val="%1.%2.%3"/>
      <w:lvlJc w:val="left"/>
      <w:pPr>
        <w:tabs>
          <w:tab w:val="num" w:pos="2126"/>
        </w:tabs>
        <w:ind w:left="2126" w:hanging="708"/>
      </w:pPr>
      <w:rPr>
        <w:rFonts w:hint="default"/>
      </w:rPr>
    </w:lvl>
    <w:lvl w:ilvl="3">
      <w:start w:val="1"/>
      <w:numFmt w:val="lowerLetter"/>
      <w:lvlText w:val="(%4)"/>
      <w:lvlJc w:val="left"/>
      <w:pPr>
        <w:tabs>
          <w:tab w:val="num" w:pos="2835"/>
        </w:tabs>
        <w:ind w:left="2835" w:hanging="709"/>
      </w:pPr>
      <w:rPr>
        <w:rFonts w:hint="default"/>
      </w:rPr>
    </w:lvl>
    <w:lvl w:ilvl="4">
      <w:start w:val="1"/>
      <w:numFmt w:val="lowerRoman"/>
      <w:lvlText w:val="(%5)"/>
      <w:lvlJc w:val="left"/>
      <w:pPr>
        <w:tabs>
          <w:tab w:val="num" w:pos="3544"/>
        </w:tabs>
        <w:ind w:left="3544" w:hanging="709"/>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37">
    <w:nsid w:val="33EA5562"/>
    <w:multiLevelType w:val="hybridMultilevel"/>
    <w:tmpl w:val="2DF68AF4"/>
    <w:lvl w:ilvl="0" w:tplc="468A8128">
      <w:start w:val="1"/>
      <w:numFmt w:val="lowerLetter"/>
      <w:lvlText w:val="(%1)"/>
      <w:lvlJc w:val="left"/>
      <w:pPr>
        <w:ind w:left="394" w:hanging="360"/>
      </w:pPr>
      <w:rPr>
        <w:rFonts w:cs="Arial" w:hint="default"/>
      </w:rPr>
    </w:lvl>
    <w:lvl w:ilvl="1" w:tplc="7CE622E8" w:tentative="1">
      <w:start w:val="1"/>
      <w:numFmt w:val="lowerLetter"/>
      <w:lvlText w:val="%2."/>
      <w:lvlJc w:val="left"/>
      <w:pPr>
        <w:ind w:left="1114" w:hanging="360"/>
      </w:pPr>
    </w:lvl>
    <w:lvl w:ilvl="2" w:tplc="77402C60" w:tentative="1">
      <w:start w:val="1"/>
      <w:numFmt w:val="lowerRoman"/>
      <w:lvlText w:val="%3."/>
      <w:lvlJc w:val="right"/>
      <w:pPr>
        <w:ind w:left="1834" w:hanging="180"/>
      </w:pPr>
    </w:lvl>
    <w:lvl w:ilvl="3" w:tplc="BFF6C96E" w:tentative="1">
      <w:start w:val="1"/>
      <w:numFmt w:val="decimal"/>
      <w:lvlText w:val="%4."/>
      <w:lvlJc w:val="left"/>
      <w:pPr>
        <w:ind w:left="2554" w:hanging="360"/>
      </w:pPr>
    </w:lvl>
    <w:lvl w:ilvl="4" w:tplc="FF94714A" w:tentative="1">
      <w:start w:val="1"/>
      <w:numFmt w:val="lowerLetter"/>
      <w:lvlText w:val="%5."/>
      <w:lvlJc w:val="left"/>
      <w:pPr>
        <w:ind w:left="3274" w:hanging="360"/>
      </w:pPr>
    </w:lvl>
    <w:lvl w:ilvl="5" w:tplc="9F6EC50C" w:tentative="1">
      <w:start w:val="1"/>
      <w:numFmt w:val="lowerRoman"/>
      <w:lvlText w:val="%6."/>
      <w:lvlJc w:val="right"/>
      <w:pPr>
        <w:ind w:left="3994" w:hanging="180"/>
      </w:pPr>
    </w:lvl>
    <w:lvl w:ilvl="6" w:tplc="0206D718" w:tentative="1">
      <w:start w:val="1"/>
      <w:numFmt w:val="decimal"/>
      <w:lvlText w:val="%7."/>
      <w:lvlJc w:val="left"/>
      <w:pPr>
        <w:ind w:left="4714" w:hanging="360"/>
      </w:pPr>
    </w:lvl>
    <w:lvl w:ilvl="7" w:tplc="3B0CA3DE" w:tentative="1">
      <w:start w:val="1"/>
      <w:numFmt w:val="lowerLetter"/>
      <w:lvlText w:val="%8."/>
      <w:lvlJc w:val="left"/>
      <w:pPr>
        <w:ind w:left="5434" w:hanging="360"/>
      </w:pPr>
    </w:lvl>
    <w:lvl w:ilvl="8" w:tplc="F306EB44" w:tentative="1">
      <w:start w:val="1"/>
      <w:numFmt w:val="lowerRoman"/>
      <w:lvlText w:val="%9."/>
      <w:lvlJc w:val="right"/>
      <w:pPr>
        <w:ind w:left="6154" w:hanging="180"/>
      </w:pPr>
    </w:lvl>
  </w:abstractNum>
  <w:abstractNum w:abstractNumId="38">
    <w:nsid w:val="36D673EF"/>
    <w:multiLevelType w:val="hybridMultilevel"/>
    <w:tmpl w:val="CCD0E61E"/>
    <w:lvl w:ilvl="0" w:tplc="F73A0960">
      <w:start w:val="1"/>
      <w:numFmt w:val="bullet"/>
      <w:lvlText w:val=""/>
      <w:lvlJc w:val="left"/>
      <w:pPr>
        <w:ind w:left="720" w:hanging="360"/>
      </w:pPr>
      <w:rPr>
        <w:rFonts w:ascii="Symbol" w:hAnsi="Symbol" w:hint="default"/>
      </w:rPr>
    </w:lvl>
    <w:lvl w:ilvl="1" w:tplc="02944F16" w:tentative="1">
      <w:start w:val="1"/>
      <w:numFmt w:val="bullet"/>
      <w:lvlText w:val="o"/>
      <w:lvlJc w:val="left"/>
      <w:pPr>
        <w:ind w:left="1440" w:hanging="360"/>
      </w:pPr>
      <w:rPr>
        <w:rFonts w:ascii="Courier New" w:hAnsi="Courier New" w:cs="Courier New" w:hint="default"/>
      </w:rPr>
    </w:lvl>
    <w:lvl w:ilvl="2" w:tplc="7F52CCE4" w:tentative="1">
      <w:start w:val="1"/>
      <w:numFmt w:val="bullet"/>
      <w:lvlText w:val=""/>
      <w:lvlJc w:val="left"/>
      <w:pPr>
        <w:ind w:left="2160" w:hanging="360"/>
      </w:pPr>
      <w:rPr>
        <w:rFonts w:ascii="Wingdings" w:hAnsi="Wingdings" w:hint="default"/>
      </w:rPr>
    </w:lvl>
    <w:lvl w:ilvl="3" w:tplc="F26825A2" w:tentative="1">
      <w:start w:val="1"/>
      <w:numFmt w:val="bullet"/>
      <w:lvlText w:val=""/>
      <w:lvlJc w:val="left"/>
      <w:pPr>
        <w:ind w:left="2880" w:hanging="360"/>
      </w:pPr>
      <w:rPr>
        <w:rFonts w:ascii="Symbol" w:hAnsi="Symbol" w:hint="default"/>
      </w:rPr>
    </w:lvl>
    <w:lvl w:ilvl="4" w:tplc="FBF0DBBE" w:tentative="1">
      <w:start w:val="1"/>
      <w:numFmt w:val="bullet"/>
      <w:lvlText w:val="o"/>
      <w:lvlJc w:val="left"/>
      <w:pPr>
        <w:ind w:left="3600" w:hanging="360"/>
      </w:pPr>
      <w:rPr>
        <w:rFonts w:ascii="Courier New" w:hAnsi="Courier New" w:cs="Courier New" w:hint="default"/>
      </w:rPr>
    </w:lvl>
    <w:lvl w:ilvl="5" w:tplc="C19E44FE" w:tentative="1">
      <w:start w:val="1"/>
      <w:numFmt w:val="bullet"/>
      <w:lvlText w:val=""/>
      <w:lvlJc w:val="left"/>
      <w:pPr>
        <w:ind w:left="4320" w:hanging="360"/>
      </w:pPr>
      <w:rPr>
        <w:rFonts w:ascii="Wingdings" w:hAnsi="Wingdings" w:hint="default"/>
      </w:rPr>
    </w:lvl>
    <w:lvl w:ilvl="6" w:tplc="3B36FE2E" w:tentative="1">
      <w:start w:val="1"/>
      <w:numFmt w:val="bullet"/>
      <w:lvlText w:val=""/>
      <w:lvlJc w:val="left"/>
      <w:pPr>
        <w:ind w:left="5040" w:hanging="360"/>
      </w:pPr>
      <w:rPr>
        <w:rFonts w:ascii="Symbol" w:hAnsi="Symbol" w:hint="default"/>
      </w:rPr>
    </w:lvl>
    <w:lvl w:ilvl="7" w:tplc="BF2CADC6" w:tentative="1">
      <w:start w:val="1"/>
      <w:numFmt w:val="bullet"/>
      <w:lvlText w:val="o"/>
      <w:lvlJc w:val="left"/>
      <w:pPr>
        <w:ind w:left="5760" w:hanging="360"/>
      </w:pPr>
      <w:rPr>
        <w:rFonts w:ascii="Courier New" w:hAnsi="Courier New" w:cs="Courier New" w:hint="default"/>
      </w:rPr>
    </w:lvl>
    <w:lvl w:ilvl="8" w:tplc="104CA7CE" w:tentative="1">
      <w:start w:val="1"/>
      <w:numFmt w:val="bullet"/>
      <w:lvlText w:val=""/>
      <w:lvlJc w:val="left"/>
      <w:pPr>
        <w:ind w:left="6480" w:hanging="360"/>
      </w:pPr>
      <w:rPr>
        <w:rFonts w:ascii="Wingdings" w:hAnsi="Wingdings" w:hint="default"/>
      </w:rPr>
    </w:lvl>
  </w:abstractNum>
  <w:abstractNum w:abstractNumId="39">
    <w:nsid w:val="374B6E1E"/>
    <w:multiLevelType w:val="multilevel"/>
    <w:tmpl w:val="298AD67A"/>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1418"/>
        </w:tabs>
        <w:ind w:left="1418" w:hanging="709"/>
      </w:pPr>
      <w:rPr>
        <w:rFonts w:hint="default"/>
        <w:b w:val="0"/>
        <w:i w:val="0"/>
        <w:caps w:val="0"/>
        <w:strike w:val="0"/>
        <w:dstrike w:val="0"/>
        <w:outline w:val="0"/>
        <w:shadow w:val="0"/>
        <w:emboss w:val="0"/>
        <w:imprint w:val="0"/>
        <w:vanish w:val="0"/>
        <w:sz w:val="24"/>
        <w:vertAlign w:val="baseline"/>
      </w:rPr>
    </w:lvl>
    <w:lvl w:ilvl="2">
      <w:start w:val="1"/>
      <w:numFmt w:val="decimal"/>
      <w:lvlText w:val="%1.%2.%3"/>
      <w:lvlJc w:val="left"/>
      <w:pPr>
        <w:tabs>
          <w:tab w:val="num" w:pos="2126"/>
        </w:tabs>
        <w:ind w:left="2126" w:hanging="708"/>
      </w:pPr>
      <w:rPr>
        <w:rFonts w:hint="default"/>
        <w:b w:val="0"/>
        <w:i w:val="0"/>
        <w:caps w:val="0"/>
        <w:strike w:val="0"/>
        <w:dstrike w:val="0"/>
        <w:outline w:val="0"/>
        <w:shadow w:val="0"/>
        <w:emboss w:val="0"/>
        <w:imprint w:val="0"/>
        <w:vanish w:val="0"/>
        <w:sz w:val="24"/>
        <w:vertAlign w:val="baseline"/>
      </w:rPr>
    </w:lvl>
    <w:lvl w:ilvl="3">
      <w:start w:val="1"/>
      <w:numFmt w:val="lowerLetter"/>
      <w:lvlText w:val="(%4)"/>
      <w:lvlJc w:val="left"/>
      <w:pPr>
        <w:tabs>
          <w:tab w:val="num" w:pos="2835"/>
        </w:tabs>
        <w:ind w:left="2835" w:hanging="709"/>
      </w:pPr>
      <w:rPr>
        <w:rFonts w:hint="default"/>
      </w:rPr>
    </w:lvl>
    <w:lvl w:ilvl="4">
      <w:start w:val="1"/>
      <w:numFmt w:val="lowerRoman"/>
      <w:lvlText w:val="(%5)"/>
      <w:lvlJc w:val="left"/>
      <w:pPr>
        <w:tabs>
          <w:tab w:val="num" w:pos="3544"/>
        </w:tabs>
        <w:ind w:left="3544" w:hanging="709"/>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40">
    <w:nsid w:val="37E87F9A"/>
    <w:multiLevelType w:val="multilevel"/>
    <w:tmpl w:val="B3C4DF0C"/>
    <w:lvl w:ilvl="0">
      <w:start w:val="1"/>
      <w:numFmt w:val="decimal"/>
      <w:lvlText w:val="SCHEDULE %1"/>
      <w:lvlJc w:val="left"/>
      <w:pPr>
        <w:tabs>
          <w:tab w:val="num" w:pos="1985"/>
        </w:tabs>
        <w:ind w:left="1985" w:firstLine="0"/>
      </w:pPr>
      <w:rPr>
        <w:rFonts w:hint="default"/>
        <w:caps/>
        <w:sz w:val="32"/>
      </w:rPr>
    </w:lvl>
    <w:lvl w:ilvl="1">
      <w:start w:val="1"/>
      <w:numFmt w:val="decimal"/>
      <w:lvlText w:val="DIVISION %2"/>
      <w:lvlJc w:val="left"/>
      <w:pPr>
        <w:tabs>
          <w:tab w:val="num" w:pos="0"/>
        </w:tabs>
        <w:ind w:left="0" w:firstLine="0"/>
      </w:pPr>
      <w:rPr>
        <w:rFonts w:hint="default"/>
      </w:rPr>
    </w:lvl>
    <w:lvl w:ilvl="2">
      <w:start w:val="1"/>
      <w:numFmt w:val="none"/>
      <w:lvlRestart w:val="0"/>
      <w:suff w:val="nothing"/>
      <w:lvlText w:val=""/>
      <w:lvlJc w:val="left"/>
      <w:pPr>
        <w:ind w:left="0" w:firstLine="0"/>
      </w:pPr>
      <w:rPr>
        <w:rFonts w:hint="default"/>
      </w:rPr>
    </w:lvl>
    <w:lvl w:ilvl="3">
      <w:start w:val="1"/>
      <w:numFmt w:val="decimal"/>
      <w:lvlRestart w:val="1"/>
      <w:lvlText w:val="%4"/>
      <w:lvlJc w:val="left"/>
      <w:pPr>
        <w:tabs>
          <w:tab w:val="num" w:pos="567"/>
        </w:tabs>
        <w:ind w:left="567" w:hanging="567"/>
      </w:pPr>
      <w:rPr>
        <w:rFonts w:asciiTheme="minorHAnsi" w:eastAsia="Times New Roman" w:hAnsiTheme="minorHAnsi" w:cs="Times New Roman" w:hint="default"/>
      </w:rPr>
    </w:lvl>
    <w:lvl w:ilvl="4">
      <w:start w:val="1"/>
      <w:numFmt w:val="decimal"/>
      <w:lvlText w:val="1.%5"/>
      <w:lvlJc w:val="left"/>
      <w:pPr>
        <w:tabs>
          <w:tab w:val="num" w:pos="851"/>
        </w:tabs>
        <w:ind w:left="851" w:hanging="567"/>
      </w:pPr>
      <w:rPr>
        <w:rFonts w:hint="default"/>
        <w:b w:val="0"/>
        <w:i w:val="0"/>
        <w:sz w:val="24"/>
      </w:rPr>
    </w:lvl>
    <w:lvl w:ilvl="5">
      <w:start w:val="1"/>
      <w:numFmt w:val="lowerLetter"/>
      <w:lvlText w:val="(%6)"/>
      <w:lvlJc w:val="left"/>
      <w:pPr>
        <w:tabs>
          <w:tab w:val="num" w:pos="1701"/>
        </w:tabs>
        <w:ind w:left="1701" w:hanging="567"/>
      </w:pPr>
      <w:rPr>
        <w:rFonts w:hint="default"/>
      </w:rPr>
    </w:lvl>
    <w:lvl w:ilvl="6">
      <w:start w:val="1"/>
      <w:numFmt w:val="lowerRoman"/>
      <w:lvlText w:val="(%7)"/>
      <w:lvlJc w:val="left"/>
      <w:pPr>
        <w:tabs>
          <w:tab w:val="num" w:pos="2268"/>
        </w:tabs>
        <w:ind w:left="2268" w:hanging="567"/>
      </w:pPr>
      <w:rPr>
        <w:rFonts w:hint="default"/>
      </w:rPr>
    </w:lvl>
    <w:lvl w:ilvl="7">
      <w:start w:val="1"/>
      <w:numFmt w:val="decimal"/>
      <w:lvlRestart w:val="1"/>
      <w:lvlText w:val="Figure %1%8:"/>
      <w:lvlJc w:val="left"/>
      <w:pPr>
        <w:tabs>
          <w:tab w:val="num" w:pos="1418"/>
        </w:tabs>
        <w:ind w:left="1418" w:hanging="1418"/>
      </w:pPr>
      <w:rPr>
        <w:rFonts w:hint="default"/>
      </w:rPr>
    </w:lvl>
    <w:lvl w:ilvl="8">
      <w:start w:val="1"/>
      <w:numFmt w:val="decimal"/>
      <w:lvlRestart w:val="1"/>
      <w:lvlText w:val="Table %1%9:"/>
      <w:lvlJc w:val="left"/>
      <w:pPr>
        <w:tabs>
          <w:tab w:val="num" w:pos="1418"/>
        </w:tabs>
        <w:ind w:left="1418" w:hanging="1418"/>
      </w:pPr>
      <w:rPr>
        <w:rFonts w:hint="default"/>
      </w:rPr>
    </w:lvl>
  </w:abstractNum>
  <w:abstractNum w:abstractNumId="41">
    <w:nsid w:val="38FC6B32"/>
    <w:multiLevelType w:val="multilevel"/>
    <w:tmpl w:val="771E4A9A"/>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1418"/>
        </w:tabs>
        <w:ind w:left="1418" w:hanging="709"/>
      </w:pPr>
      <w:rPr>
        <w:rFonts w:hint="default"/>
      </w:rPr>
    </w:lvl>
    <w:lvl w:ilvl="2">
      <w:start w:val="1"/>
      <w:numFmt w:val="bullet"/>
      <w:lvlText w:val=""/>
      <w:lvlJc w:val="left"/>
      <w:pPr>
        <w:tabs>
          <w:tab w:val="num" w:pos="2126"/>
        </w:tabs>
        <w:ind w:left="2126" w:hanging="708"/>
      </w:pPr>
      <w:rPr>
        <w:rFonts w:ascii="Symbol" w:hAnsi="Symbol" w:hint="default"/>
      </w:rPr>
    </w:lvl>
    <w:lvl w:ilvl="3">
      <w:start w:val="1"/>
      <w:numFmt w:val="lowerLetter"/>
      <w:lvlText w:val="(%4)"/>
      <w:lvlJc w:val="left"/>
      <w:pPr>
        <w:tabs>
          <w:tab w:val="num" w:pos="2835"/>
        </w:tabs>
        <w:ind w:left="2835" w:hanging="709"/>
      </w:pPr>
      <w:rPr>
        <w:rFonts w:hint="default"/>
      </w:rPr>
    </w:lvl>
    <w:lvl w:ilvl="4">
      <w:start w:val="1"/>
      <w:numFmt w:val="lowerRoman"/>
      <w:lvlText w:val="(%5)"/>
      <w:lvlJc w:val="left"/>
      <w:pPr>
        <w:tabs>
          <w:tab w:val="num" w:pos="3544"/>
        </w:tabs>
        <w:ind w:left="3544" w:hanging="709"/>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42">
    <w:nsid w:val="3E0A57E2"/>
    <w:multiLevelType w:val="hybridMultilevel"/>
    <w:tmpl w:val="95046874"/>
    <w:lvl w:ilvl="0" w:tplc="CC461ABE">
      <w:start w:val="1"/>
      <w:numFmt w:val="lowerLetter"/>
      <w:lvlText w:val="(%1)"/>
      <w:lvlJc w:val="left"/>
      <w:pPr>
        <w:ind w:left="394" w:hanging="360"/>
      </w:pPr>
      <w:rPr>
        <w:rFonts w:hint="default"/>
      </w:rPr>
    </w:lvl>
    <w:lvl w:ilvl="1" w:tplc="5B7C31D6" w:tentative="1">
      <w:start w:val="1"/>
      <w:numFmt w:val="lowerLetter"/>
      <w:lvlText w:val="%2."/>
      <w:lvlJc w:val="left"/>
      <w:pPr>
        <w:ind w:left="1114" w:hanging="360"/>
      </w:pPr>
    </w:lvl>
    <w:lvl w:ilvl="2" w:tplc="67B62E5A" w:tentative="1">
      <w:start w:val="1"/>
      <w:numFmt w:val="lowerRoman"/>
      <w:lvlText w:val="%3."/>
      <w:lvlJc w:val="right"/>
      <w:pPr>
        <w:ind w:left="1834" w:hanging="180"/>
      </w:pPr>
    </w:lvl>
    <w:lvl w:ilvl="3" w:tplc="A2BCB8D6" w:tentative="1">
      <w:start w:val="1"/>
      <w:numFmt w:val="decimal"/>
      <w:lvlText w:val="%4."/>
      <w:lvlJc w:val="left"/>
      <w:pPr>
        <w:ind w:left="2554" w:hanging="360"/>
      </w:pPr>
    </w:lvl>
    <w:lvl w:ilvl="4" w:tplc="69485004" w:tentative="1">
      <w:start w:val="1"/>
      <w:numFmt w:val="lowerLetter"/>
      <w:lvlText w:val="%5."/>
      <w:lvlJc w:val="left"/>
      <w:pPr>
        <w:ind w:left="3274" w:hanging="360"/>
      </w:pPr>
    </w:lvl>
    <w:lvl w:ilvl="5" w:tplc="394EF922" w:tentative="1">
      <w:start w:val="1"/>
      <w:numFmt w:val="lowerRoman"/>
      <w:lvlText w:val="%6."/>
      <w:lvlJc w:val="right"/>
      <w:pPr>
        <w:ind w:left="3994" w:hanging="180"/>
      </w:pPr>
    </w:lvl>
    <w:lvl w:ilvl="6" w:tplc="54E4433C" w:tentative="1">
      <w:start w:val="1"/>
      <w:numFmt w:val="decimal"/>
      <w:lvlText w:val="%7."/>
      <w:lvlJc w:val="left"/>
      <w:pPr>
        <w:ind w:left="4714" w:hanging="360"/>
      </w:pPr>
    </w:lvl>
    <w:lvl w:ilvl="7" w:tplc="C37ABD08" w:tentative="1">
      <w:start w:val="1"/>
      <w:numFmt w:val="lowerLetter"/>
      <w:lvlText w:val="%8."/>
      <w:lvlJc w:val="left"/>
      <w:pPr>
        <w:ind w:left="5434" w:hanging="360"/>
      </w:pPr>
    </w:lvl>
    <w:lvl w:ilvl="8" w:tplc="4B7890F0" w:tentative="1">
      <w:start w:val="1"/>
      <w:numFmt w:val="lowerRoman"/>
      <w:lvlText w:val="%9."/>
      <w:lvlJc w:val="right"/>
      <w:pPr>
        <w:ind w:left="6154" w:hanging="180"/>
      </w:pPr>
    </w:lvl>
  </w:abstractNum>
  <w:abstractNum w:abstractNumId="43">
    <w:nsid w:val="3E836084"/>
    <w:multiLevelType w:val="hybridMultilevel"/>
    <w:tmpl w:val="B5CCE91C"/>
    <w:lvl w:ilvl="0" w:tplc="D9645816">
      <w:start w:val="1"/>
      <w:numFmt w:val="lowerLetter"/>
      <w:lvlText w:val="(%1)"/>
      <w:lvlJc w:val="left"/>
      <w:pPr>
        <w:ind w:left="468" w:hanging="360"/>
      </w:pPr>
      <w:rPr>
        <w:rFonts w:hint="default"/>
      </w:rPr>
    </w:lvl>
    <w:lvl w:ilvl="1" w:tplc="AA68D8C0" w:tentative="1">
      <w:start w:val="1"/>
      <w:numFmt w:val="lowerLetter"/>
      <w:lvlText w:val="%2."/>
      <w:lvlJc w:val="left"/>
      <w:pPr>
        <w:ind w:left="1188" w:hanging="360"/>
      </w:pPr>
    </w:lvl>
    <w:lvl w:ilvl="2" w:tplc="B6DEE6C6" w:tentative="1">
      <w:start w:val="1"/>
      <w:numFmt w:val="lowerRoman"/>
      <w:lvlText w:val="%3."/>
      <w:lvlJc w:val="right"/>
      <w:pPr>
        <w:ind w:left="1908" w:hanging="180"/>
      </w:pPr>
    </w:lvl>
    <w:lvl w:ilvl="3" w:tplc="E4A4FB9A" w:tentative="1">
      <w:start w:val="1"/>
      <w:numFmt w:val="decimal"/>
      <w:lvlText w:val="%4."/>
      <w:lvlJc w:val="left"/>
      <w:pPr>
        <w:ind w:left="2628" w:hanging="360"/>
      </w:pPr>
    </w:lvl>
    <w:lvl w:ilvl="4" w:tplc="F912C2B4" w:tentative="1">
      <w:start w:val="1"/>
      <w:numFmt w:val="lowerLetter"/>
      <w:lvlText w:val="%5."/>
      <w:lvlJc w:val="left"/>
      <w:pPr>
        <w:ind w:left="3348" w:hanging="360"/>
      </w:pPr>
    </w:lvl>
    <w:lvl w:ilvl="5" w:tplc="19120770" w:tentative="1">
      <w:start w:val="1"/>
      <w:numFmt w:val="lowerRoman"/>
      <w:lvlText w:val="%6."/>
      <w:lvlJc w:val="right"/>
      <w:pPr>
        <w:ind w:left="4068" w:hanging="180"/>
      </w:pPr>
    </w:lvl>
    <w:lvl w:ilvl="6" w:tplc="C194FA6E" w:tentative="1">
      <w:start w:val="1"/>
      <w:numFmt w:val="decimal"/>
      <w:lvlText w:val="%7."/>
      <w:lvlJc w:val="left"/>
      <w:pPr>
        <w:ind w:left="4788" w:hanging="360"/>
      </w:pPr>
    </w:lvl>
    <w:lvl w:ilvl="7" w:tplc="E774E444" w:tentative="1">
      <w:start w:val="1"/>
      <w:numFmt w:val="lowerLetter"/>
      <w:lvlText w:val="%8."/>
      <w:lvlJc w:val="left"/>
      <w:pPr>
        <w:ind w:left="5508" w:hanging="360"/>
      </w:pPr>
    </w:lvl>
    <w:lvl w:ilvl="8" w:tplc="C6460852" w:tentative="1">
      <w:start w:val="1"/>
      <w:numFmt w:val="lowerRoman"/>
      <w:lvlText w:val="%9."/>
      <w:lvlJc w:val="right"/>
      <w:pPr>
        <w:ind w:left="6228" w:hanging="180"/>
      </w:pPr>
    </w:lvl>
  </w:abstractNum>
  <w:abstractNum w:abstractNumId="44">
    <w:nsid w:val="435314D2"/>
    <w:multiLevelType w:val="hybridMultilevel"/>
    <w:tmpl w:val="FEC20E48"/>
    <w:lvl w:ilvl="0" w:tplc="FD94BB80">
      <w:start w:val="1"/>
      <w:numFmt w:val="decimal"/>
      <w:pStyle w:val="Tablenumberedlist"/>
      <w:lvlText w:val="%1"/>
      <w:lvlJc w:val="left"/>
      <w:pPr>
        <w:tabs>
          <w:tab w:val="num" w:pos="284"/>
        </w:tabs>
        <w:ind w:left="284" w:hanging="284"/>
      </w:pPr>
      <w:rPr>
        <w:rFonts w:hint="default"/>
      </w:rPr>
    </w:lvl>
    <w:lvl w:ilvl="1" w:tplc="D35AC6B2" w:tentative="1">
      <w:start w:val="1"/>
      <w:numFmt w:val="lowerLetter"/>
      <w:lvlText w:val="%2."/>
      <w:lvlJc w:val="left"/>
      <w:pPr>
        <w:tabs>
          <w:tab w:val="num" w:pos="1440"/>
        </w:tabs>
        <w:ind w:left="1440" w:hanging="360"/>
      </w:pPr>
    </w:lvl>
    <w:lvl w:ilvl="2" w:tplc="523C31CE" w:tentative="1">
      <w:start w:val="1"/>
      <w:numFmt w:val="lowerRoman"/>
      <w:lvlText w:val="%3."/>
      <w:lvlJc w:val="right"/>
      <w:pPr>
        <w:tabs>
          <w:tab w:val="num" w:pos="2160"/>
        </w:tabs>
        <w:ind w:left="2160" w:hanging="180"/>
      </w:pPr>
    </w:lvl>
    <w:lvl w:ilvl="3" w:tplc="2EB66B98" w:tentative="1">
      <w:start w:val="1"/>
      <w:numFmt w:val="decimal"/>
      <w:lvlText w:val="%4."/>
      <w:lvlJc w:val="left"/>
      <w:pPr>
        <w:tabs>
          <w:tab w:val="num" w:pos="2880"/>
        </w:tabs>
        <w:ind w:left="2880" w:hanging="360"/>
      </w:pPr>
    </w:lvl>
    <w:lvl w:ilvl="4" w:tplc="00169340" w:tentative="1">
      <w:start w:val="1"/>
      <w:numFmt w:val="lowerLetter"/>
      <w:lvlText w:val="%5."/>
      <w:lvlJc w:val="left"/>
      <w:pPr>
        <w:tabs>
          <w:tab w:val="num" w:pos="3600"/>
        </w:tabs>
        <w:ind w:left="3600" w:hanging="360"/>
      </w:pPr>
    </w:lvl>
    <w:lvl w:ilvl="5" w:tplc="771E25B6" w:tentative="1">
      <w:start w:val="1"/>
      <w:numFmt w:val="lowerRoman"/>
      <w:lvlText w:val="%6."/>
      <w:lvlJc w:val="right"/>
      <w:pPr>
        <w:tabs>
          <w:tab w:val="num" w:pos="4320"/>
        </w:tabs>
        <w:ind w:left="4320" w:hanging="180"/>
      </w:pPr>
    </w:lvl>
    <w:lvl w:ilvl="6" w:tplc="41C0B51E" w:tentative="1">
      <w:start w:val="1"/>
      <w:numFmt w:val="decimal"/>
      <w:lvlText w:val="%7."/>
      <w:lvlJc w:val="left"/>
      <w:pPr>
        <w:tabs>
          <w:tab w:val="num" w:pos="5040"/>
        </w:tabs>
        <w:ind w:left="5040" w:hanging="360"/>
      </w:pPr>
    </w:lvl>
    <w:lvl w:ilvl="7" w:tplc="AC48E504" w:tentative="1">
      <w:start w:val="1"/>
      <w:numFmt w:val="lowerLetter"/>
      <w:lvlText w:val="%8."/>
      <w:lvlJc w:val="left"/>
      <w:pPr>
        <w:tabs>
          <w:tab w:val="num" w:pos="5760"/>
        </w:tabs>
        <w:ind w:left="5760" w:hanging="360"/>
      </w:pPr>
    </w:lvl>
    <w:lvl w:ilvl="8" w:tplc="89EEF44A" w:tentative="1">
      <w:start w:val="1"/>
      <w:numFmt w:val="lowerRoman"/>
      <w:lvlText w:val="%9."/>
      <w:lvlJc w:val="right"/>
      <w:pPr>
        <w:tabs>
          <w:tab w:val="num" w:pos="6480"/>
        </w:tabs>
        <w:ind w:left="6480" w:hanging="180"/>
      </w:pPr>
    </w:lvl>
  </w:abstractNum>
  <w:abstractNum w:abstractNumId="45">
    <w:nsid w:val="475B42BB"/>
    <w:multiLevelType w:val="multilevel"/>
    <w:tmpl w:val="9C90B6F0"/>
    <w:lvl w:ilvl="0">
      <w:start w:val="1"/>
      <w:numFmt w:val="decimal"/>
      <w:pStyle w:val="Para1"/>
      <w:lvlText w:val="%1."/>
      <w:lvlJc w:val="left"/>
      <w:pPr>
        <w:tabs>
          <w:tab w:val="num" w:pos="709"/>
        </w:tabs>
        <w:ind w:left="709" w:hanging="709"/>
      </w:pPr>
      <w:rPr>
        <w:rFonts w:hint="default"/>
      </w:rPr>
    </w:lvl>
    <w:lvl w:ilvl="1">
      <w:start w:val="1"/>
      <w:numFmt w:val="decimal"/>
      <w:pStyle w:val="Para2"/>
      <w:lvlText w:val="%1.%2"/>
      <w:lvlJc w:val="left"/>
      <w:pPr>
        <w:tabs>
          <w:tab w:val="num" w:pos="1418"/>
        </w:tabs>
        <w:ind w:left="1418" w:hanging="709"/>
      </w:pPr>
      <w:rPr>
        <w:rFonts w:hint="default"/>
      </w:rPr>
    </w:lvl>
    <w:lvl w:ilvl="2">
      <w:start w:val="1"/>
      <w:numFmt w:val="decimal"/>
      <w:pStyle w:val="Para3"/>
      <w:lvlText w:val="%1.%2.%3"/>
      <w:lvlJc w:val="left"/>
      <w:pPr>
        <w:tabs>
          <w:tab w:val="num" w:pos="2126"/>
        </w:tabs>
        <w:ind w:left="2126" w:hanging="708"/>
      </w:pPr>
      <w:rPr>
        <w:rFonts w:ascii="Calibri" w:hAnsi="Calibri" w:hint="default"/>
      </w:rPr>
    </w:lvl>
    <w:lvl w:ilvl="3">
      <w:start w:val="1"/>
      <w:numFmt w:val="lowerLetter"/>
      <w:pStyle w:val="Para4"/>
      <w:lvlText w:val="(%4)"/>
      <w:lvlJc w:val="left"/>
      <w:pPr>
        <w:tabs>
          <w:tab w:val="num" w:pos="2835"/>
        </w:tabs>
        <w:ind w:left="2835" w:hanging="709"/>
      </w:pPr>
      <w:rPr>
        <w:rFonts w:hint="default"/>
      </w:rPr>
    </w:lvl>
    <w:lvl w:ilvl="4">
      <w:start w:val="1"/>
      <w:numFmt w:val="lowerRoman"/>
      <w:pStyle w:val="Para5"/>
      <w:lvlText w:val="(%5)"/>
      <w:lvlJc w:val="left"/>
      <w:pPr>
        <w:tabs>
          <w:tab w:val="num" w:pos="3544"/>
        </w:tabs>
        <w:ind w:left="3544" w:hanging="709"/>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46">
    <w:nsid w:val="47750BCB"/>
    <w:multiLevelType w:val="multilevel"/>
    <w:tmpl w:val="7122B92C"/>
    <w:lvl w:ilvl="0">
      <w:start w:val="1"/>
      <w:numFmt w:val="decimal"/>
      <w:lvlText w:val="SCHEDULE %1"/>
      <w:lvlJc w:val="left"/>
      <w:pPr>
        <w:tabs>
          <w:tab w:val="num" w:pos="1985"/>
        </w:tabs>
        <w:ind w:left="1985" w:firstLine="0"/>
      </w:pPr>
      <w:rPr>
        <w:rFonts w:hint="default"/>
        <w:caps/>
        <w:sz w:val="32"/>
      </w:rPr>
    </w:lvl>
    <w:lvl w:ilvl="1">
      <w:start w:val="1"/>
      <w:numFmt w:val="decimal"/>
      <w:lvlText w:val="DIVISION %2"/>
      <w:lvlJc w:val="left"/>
      <w:pPr>
        <w:tabs>
          <w:tab w:val="num" w:pos="0"/>
        </w:tabs>
        <w:ind w:left="0" w:firstLine="0"/>
      </w:pPr>
      <w:rPr>
        <w:rFonts w:hint="default"/>
      </w:rPr>
    </w:lvl>
    <w:lvl w:ilvl="2">
      <w:start w:val="1"/>
      <w:numFmt w:val="none"/>
      <w:lvlRestart w:val="0"/>
      <w:suff w:val="nothing"/>
      <w:lvlText w:val=""/>
      <w:lvlJc w:val="left"/>
      <w:pPr>
        <w:ind w:left="0" w:firstLine="0"/>
      </w:pPr>
      <w:rPr>
        <w:rFonts w:hint="default"/>
      </w:rPr>
    </w:lvl>
    <w:lvl w:ilvl="3">
      <w:start w:val="1"/>
      <w:numFmt w:val="decimal"/>
      <w:lvlRestart w:val="1"/>
      <w:lvlText w:val="%4"/>
      <w:lvlJc w:val="left"/>
      <w:pPr>
        <w:tabs>
          <w:tab w:val="num" w:pos="567"/>
        </w:tabs>
        <w:ind w:left="567" w:hanging="567"/>
      </w:pPr>
      <w:rPr>
        <w:rFonts w:asciiTheme="minorHAnsi" w:eastAsia="Times New Roman" w:hAnsiTheme="minorHAnsi" w:cs="Times New Roman" w:hint="default"/>
      </w:rPr>
    </w:lvl>
    <w:lvl w:ilvl="4">
      <w:start w:val="1"/>
      <w:numFmt w:val="decimal"/>
      <w:lvlText w:val="1.%5"/>
      <w:lvlJc w:val="left"/>
      <w:pPr>
        <w:tabs>
          <w:tab w:val="num" w:pos="851"/>
        </w:tabs>
        <w:ind w:left="851" w:hanging="567"/>
      </w:pPr>
      <w:rPr>
        <w:rFonts w:ascii="Calibri" w:hAnsi="Calibri" w:hint="default"/>
        <w:b w:val="0"/>
        <w:i w:val="0"/>
        <w:sz w:val="24"/>
      </w:rPr>
    </w:lvl>
    <w:lvl w:ilvl="5">
      <w:start w:val="1"/>
      <w:numFmt w:val="decimal"/>
      <w:lvlText w:val="5.1.%6"/>
      <w:lvlJc w:val="left"/>
      <w:pPr>
        <w:tabs>
          <w:tab w:val="num" w:pos="1701"/>
        </w:tabs>
        <w:ind w:left="1701" w:hanging="567"/>
      </w:pPr>
      <w:rPr>
        <w:rFonts w:ascii="Calibri" w:hAnsi="Calibri" w:hint="default"/>
        <w:b w:val="0"/>
        <w:i w:val="0"/>
        <w:sz w:val="24"/>
      </w:rPr>
    </w:lvl>
    <w:lvl w:ilvl="6">
      <w:start w:val="1"/>
      <w:numFmt w:val="lowerRoman"/>
      <w:lvlText w:val="(%7)"/>
      <w:lvlJc w:val="left"/>
      <w:pPr>
        <w:tabs>
          <w:tab w:val="num" w:pos="2268"/>
        </w:tabs>
        <w:ind w:left="2268" w:hanging="567"/>
      </w:pPr>
      <w:rPr>
        <w:rFonts w:hint="default"/>
      </w:rPr>
    </w:lvl>
    <w:lvl w:ilvl="7">
      <w:start w:val="1"/>
      <w:numFmt w:val="decimal"/>
      <w:lvlRestart w:val="1"/>
      <w:lvlText w:val="Figure %1%8:"/>
      <w:lvlJc w:val="left"/>
      <w:pPr>
        <w:tabs>
          <w:tab w:val="num" w:pos="1418"/>
        </w:tabs>
        <w:ind w:left="1418" w:hanging="1418"/>
      </w:pPr>
      <w:rPr>
        <w:rFonts w:hint="default"/>
      </w:rPr>
    </w:lvl>
    <w:lvl w:ilvl="8">
      <w:start w:val="1"/>
      <w:numFmt w:val="decimal"/>
      <w:lvlRestart w:val="1"/>
      <w:lvlText w:val="Table %1%9:"/>
      <w:lvlJc w:val="left"/>
      <w:pPr>
        <w:tabs>
          <w:tab w:val="num" w:pos="1418"/>
        </w:tabs>
        <w:ind w:left="1418" w:hanging="1418"/>
      </w:pPr>
      <w:rPr>
        <w:rFonts w:hint="default"/>
      </w:rPr>
    </w:lvl>
  </w:abstractNum>
  <w:abstractNum w:abstractNumId="47">
    <w:nsid w:val="4A513CB3"/>
    <w:multiLevelType w:val="multilevel"/>
    <w:tmpl w:val="AAD6487E"/>
    <w:lvl w:ilvl="0">
      <w:start w:val="1"/>
      <w:numFmt w:val="decimal"/>
      <w:lvlText w:val="SCHEDULE %1"/>
      <w:lvlJc w:val="left"/>
      <w:pPr>
        <w:tabs>
          <w:tab w:val="num" w:pos="1985"/>
        </w:tabs>
        <w:ind w:left="1985" w:firstLine="0"/>
      </w:pPr>
      <w:rPr>
        <w:rFonts w:hint="default"/>
        <w:caps/>
        <w:sz w:val="32"/>
      </w:rPr>
    </w:lvl>
    <w:lvl w:ilvl="1">
      <w:start w:val="1"/>
      <w:numFmt w:val="decimal"/>
      <w:lvlText w:val="DIVISION %2"/>
      <w:lvlJc w:val="left"/>
      <w:pPr>
        <w:tabs>
          <w:tab w:val="num" w:pos="0"/>
        </w:tabs>
        <w:ind w:left="0" w:firstLine="0"/>
      </w:pPr>
      <w:rPr>
        <w:rFonts w:hint="default"/>
      </w:rPr>
    </w:lvl>
    <w:lvl w:ilvl="2">
      <w:start w:val="1"/>
      <w:numFmt w:val="none"/>
      <w:lvlRestart w:val="0"/>
      <w:suff w:val="nothing"/>
      <w:lvlText w:val=""/>
      <w:lvlJc w:val="left"/>
      <w:pPr>
        <w:ind w:left="0" w:firstLine="0"/>
      </w:pPr>
      <w:rPr>
        <w:rFonts w:hint="default"/>
      </w:rPr>
    </w:lvl>
    <w:lvl w:ilvl="3">
      <w:start w:val="1"/>
      <w:numFmt w:val="decimal"/>
      <w:lvlRestart w:val="1"/>
      <w:lvlText w:val="%4"/>
      <w:lvlJc w:val="left"/>
      <w:pPr>
        <w:tabs>
          <w:tab w:val="num" w:pos="567"/>
        </w:tabs>
        <w:ind w:left="567" w:hanging="567"/>
      </w:pPr>
      <w:rPr>
        <w:rFonts w:asciiTheme="minorHAnsi" w:eastAsia="Times New Roman" w:hAnsiTheme="minorHAnsi" w:cs="Times New Roman" w:hint="default"/>
      </w:rPr>
    </w:lvl>
    <w:lvl w:ilvl="4">
      <w:start w:val="1"/>
      <w:numFmt w:val="decimal"/>
      <w:lvlText w:val="1.%5"/>
      <w:lvlJc w:val="left"/>
      <w:pPr>
        <w:tabs>
          <w:tab w:val="num" w:pos="851"/>
        </w:tabs>
        <w:ind w:left="851" w:hanging="567"/>
      </w:pPr>
      <w:rPr>
        <w:rFonts w:ascii="Calibri" w:hAnsi="Calibri" w:hint="default"/>
        <w:b w:val="0"/>
        <w:i w:val="0"/>
        <w:sz w:val="24"/>
      </w:rPr>
    </w:lvl>
    <w:lvl w:ilvl="5">
      <w:start w:val="1"/>
      <w:numFmt w:val="decimal"/>
      <w:lvlText w:val="2.2.%6"/>
      <w:lvlJc w:val="left"/>
      <w:pPr>
        <w:tabs>
          <w:tab w:val="num" w:pos="1701"/>
        </w:tabs>
        <w:ind w:left="1701" w:hanging="567"/>
      </w:pPr>
      <w:rPr>
        <w:rFonts w:ascii="Calibri" w:hAnsi="Calibri" w:hint="default"/>
        <w:b w:val="0"/>
        <w:i w:val="0"/>
        <w:sz w:val="24"/>
      </w:rPr>
    </w:lvl>
    <w:lvl w:ilvl="6">
      <w:start w:val="1"/>
      <w:numFmt w:val="lowerRoman"/>
      <w:lvlText w:val="(%7)"/>
      <w:lvlJc w:val="left"/>
      <w:pPr>
        <w:tabs>
          <w:tab w:val="num" w:pos="2268"/>
        </w:tabs>
        <w:ind w:left="2268" w:hanging="567"/>
      </w:pPr>
      <w:rPr>
        <w:rFonts w:hint="default"/>
      </w:rPr>
    </w:lvl>
    <w:lvl w:ilvl="7">
      <w:start w:val="1"/>
      <w:numFmt w:val="decimal"/>
      <w:lvlRestart w:val="1"/>
      <w:lvlText w:val="Figure %1%8:"/>
      <w:lvlJc w:val="left"/>
      <w:pPr>
        <w:tabs>
          <w:tab w:val="num" w:pos="1418"/>
        </w:tabs>
        <w:ind w:left="1418" w:hanging="1418"/>
      </w:pPr>
      <w:rPr>
        <w:rFonts w:hint="default"/>
      </w:rPr>
    </w:lvl>
    <w:lvl w:ilvl="8">
      <w:start w:val="1"/>
      <w:numFmt w:val="decimal"/>
      <w:lvlRestart w:val="1"/>
      <w:lvlText w:val="Table %1%9:"/>
      <w:lvlJc w:val="left"/>
      <w:pPr>
        <w:tabs>
          <w:tab w:val="num" w:pos="1418"/>
        </w:tabs>
        <w:ind w:left="1418" w:hanging="1418"/>
      </w:pPr>
      <w:rPr>
        <w:rFonts w:hint="default"/>
      </w:rPr>
    </w:lvl>
  </w:abstractNum>
  <w:abstractNum w:abstractNumId="48">
    <w:nsid w:val="4AC05F9E"/>
    <w:multiLevelType w:val="multilevel"/>
    <w:tmpl w:val="66928652"/>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1418"/>
        </w:tabs>
        <w:ind w:left="1418" w:hanging="709"/>
      </w:pPr>
      <w:rPr>
        <w:rFonts w:hint="default"/>
      </w:rPr>
    </w:lvl>
    <w:lvl w:ilvl="2">
      <w:start w:val="1"/>
      <w:numFmt w:val="bullet"/>
      <w:lvlText w:val=""/>
      <w:lvlJc w:val="left"/>
      <w:pPr>
        <w:tabs>
          <w:tab w:val="num" w:pos="2126"/>
        </w:tabs>
        <w:ind w:left="2126" w:hanging="708"/>
      </w:pPr>
      <w:rPr>
        <w:rFonts w:ascii="Symbol" w:hAnsi="Symbol" w:hint="default"/>
      </w:rPr>
    </w:lvl>
    <w:lvl w:ilvl="3">
      <w:start w:val="1"/>
      <w:numFmt w:val="lowerLetter"/>
      <w:lvlText w:val="(%4)"/>
      <w:lvlJc w:val="left"/>
      <w:pPr>
        <w:tabs>
          <w:tab w:val="num" w:pos="2835"/>
        </w:tabs>
        <w:ind w:left="2835" w:hanging="709"/>
      </w:pPr>
      <w:rPr>
        <w:rFonts w:hint="default"/>
      </w:rPr>
    </w:lvl>
    <w:lvl w:ilvl="4">
      <w:start w:val="1"/>
      <w:numFmt w:val="lowerRoman"/>
      <w:lvlText w:val="(%5)"/>
      <w:lvlJc w:val="left"/>
      <w:pPr>
        <w:tabs>
          <w:tab w:val="num" w:pos="3544"/>
        </w:tabs>
        <w:ind w:left="3544" w:hanging="709"/>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49">
    <w:nsid w:val="4BA41F0E"/>
    <w:multiLevelType w:val="multilevel"/>
    <w:tmpl w:val="0958EEF2"/>
    <w:lvl w:ilvl="0">
      <w:start w:val="1"/>
      <w:numFmt w:val="decimal"/>
      <w:lvlText w:val="PART %1"/>
      <w:lvlJc w:val="left"/>
      <w:pPr>
        <w:tabs>
          <w:tab w:val="num" w:pos="0"/>
        </w:tabs>
        <w:ind w:left="0" w:firstLine="0"/>
      </w:pPr>
      <w:rPr>
        <w:b/>
        <w:i w:val="0"/>
        <w:caps/>
        <w:sz w:val="32"/>
        <w:szCs w:val="32"/>
      </w:rPr>
    </w:lvl>
    <w:lvl w:ilvl="1">
      <w:start w:val="1"/>
      <w:numFmt w:val="decimal"/>
      <w:lvlText w:val="SUBPART %2"/>
      <w:lvlJc w:val="left"/>
      <w:pPr>
        <w:tabs>
          <w:tab w:val="num" w:pos="0"/>
        </w:tabs>
        <w:ind w:left="0" w:firstLine="0"/>
      </w:pPr>
      <w:rPr>
        <w:b w:val="0"/>
      </w:rPr>
    </w:lvl>
    <w:lvl w:ilvl="2">
      <w:start w:val="1"/>
      <w:numFmt w:val="decimal"/>
      <w:lvlText w:val="SECTION %3"/>
      <w:lvlJc w:val="left"/>
      <w:pPr>
        <w:tabs>
          <w:tab w:val="num" w:pos="0"/>
        </w:tabs>
        <w:ind w:left="0" w:firstLine="0"/>
      </w:pPr>
    </w:lvl>
    <w:lvl w:ilvl="3">
      <w:start w:val="1"/>
      <w:numFmt w:val="decimal"/>
      <w:lvlRestart w:val="1"/>
      <w:lvlText w:val="%1.%4"/>
      <w:lvlJc w:val="left"/>
      <w:pPr>
        <w:tabs>
          <w:tab w:val="num" w:pos="567"/>
        </w:tabs>
        <w:ind w:left="567" w:hanging="567"/>
      </w:pPr>
    </w:lvl>
    <w:lvl w:ilvl="4">
      <w:start w:val="5"/>
      <w:numFmt w:val="decimal"/>
      <w:lvlText w:val="(%5)"/>
      <w:lvlJc w:val="left"/>
      <w:pPr>
        <w:tabs>
          <w:tab w:val="num" w:pos="1702"/>
        </w:tabs>
        <w:ind w:left="1702" w:hanging="567"/>
      </w:pPr>
      <w:rPr>
        <w:rFonts w:ascii="Calibri" w:hAnsi="Calibri" w:cs="Times New Roman" w:hint="default"/>
        <w:b w:val="0"/>
      </w:rPr>
    </w:lvl>
    <w:lvl w:ilvl="5">
      <w:start w:val="1"/>
      <w:numFmt w:val="lowerLetter"/>
      <w:lvlText w:val="(%6)"/>
      <w:lvlJc w:val="left"/>
      <w:pPr>
        <w:tabs>
          <w:tab w:val="num" w:pos="1702"/>
        </w:tabs>
        <w:ind w:left="1702" w:hanging="567"/>
      </w:pPr>
      <w:rPr>
        <w:rFonts w:ascii="Calibri" w:hAnsi="Calibri" w:cs="Times New Roman" w:hint="default"/>
        <w:b w:val="0"/>
      </w:rPr>
    </w:lvl>
    <w:lvl w:ilvl="6">
      <w:start w:val="1"/>
      <w:numFmt w:val="lowerRoman"/>
      <w:lvlText w:val="(%7)"/>
      <w:lvlJc w:val="left"/>
      <w:pPr>
        <w:tabs>
          <w:tab w:val="num" w:pos="3261"/>
        </w:tabs>
        <w:ind w:left="3261" w:hanging="567"/>
      </w:pPr>
      <w:rPr>
        <w:rFonts w:ascii="Calibri" w:hAnsi="Calibri" w:cs="Times New Roman" w:hint="default"/>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rPr>
    </w:lvl>
    <w:lvl w:ilvl="7">
      <w:start w:val="1"/>
      <w:numFmt w:val="decimal"/>
      <w:lvlRestart w:val="0"/>
      <w:lvlText w:val="Figure %8"/>
      <w:lvlJc w:val="left"/>
      <w:pPr>
        <w:tabs>
          <w:tab w:val="num" w:pos="1418"/>
        </w:tabs>
        <w:ind w:left="1418" w:hanging="1418"/>
      </w:pPr>
    </w:lvl>
    <w:lvl w:ilvl="8">
      <w:start w:val="1"/>
      <w:numFmt w:val="decimal"/>
      <w:lvlRestart w:val="0"/>
      <w:lvlText w:val="Table %9"/>
      <w:lvlJc w:val="left"/>
      <w:pPr>
        <w:tabs>
          <w:tab w:val="num" w:pos="1418"/>
        </w:tabs>
        <w:ind w:left="1418" w:hanging="1418"/>
      </w:pPr>
    </w:lvl>
  </w:abstractNum>
  <w:abstractNum w:abstractNumId="50">
    <w:nsid w:val="4C1F7650"/>
    <w:multiLevelType w:val="multilevel"/>
    <w:tmpl w:val="1A0C95F2"/>
    <w:lvl w:ilvl="0">
      <w:start w:val="1"/>
      <w:numFmt w:val="decimal"/>
      <w:lvlText w:val="SCHEDULE %1"/>
      <w:lvlJc w:val="left"/>
      <w:pPr>
        <w:tabs>
          <w:tab w:val="num" w:pos="1985"/>
        </w:tabs>
        <w:ind w:left="1985" w:firstLine="0"/>
      </w:pPr>
      <w:rPr>
        <w:rFonts w:hint="default"/>
        <w:caps/>
        <w:sz w:val="32"/>
      </w:rPr>
    </w:lvl>
    <w:lvl w:ilvl="1">
      <w:start w:val="1"/>
      <w:numFmt w:val="decimal"/>
      <w:lvlText w:val="DIVISION %2"/>
      <w:lvlJc w:val="left"/>
      <w:pPr>
        <w:tabs>
          <w:tab w:val="num" w:pos="0"/>
        </w:tabs>
        <w:ind w:left="0" w:firstLine="0"/>
      </w:pPr>
      <w:rPr>
        <w:rFonts w:hint="default"/>
      </w:rPr>
    </w:lvl>
    <w:lvl w:ilvl="2">
      <w:start w:val="1"/>
      <w:numFmt w:val="none"/>
      <w:lvlRestart w:val="0"/>
      <w:suff w:val="nothing"/>
      <w:lvlText w:val=""/>
      <w:lvlJc w:val="left"/>
      <w:pPr>
        <w:ind w:left="0" w:firstLine="0"/>
      </w:pPr>
      <w:rPr>
        <w:rFonts w:hint="default"/>
      </w:rPr>
    </w:lvl>
    <w:lvl w:ilvl="3">
      <w:start w:val="1"/>
      <w:numFmt w:val="decimal"/>
      <w:lvlRestart w:val="1"/>
      <w:lvlText w:val="%4"/>
      <w:lvlJc w:val="left"/>
      <w:pPr>
        <w:tabs>
          <w:tab w:val="num" w:pos="567"/>
        </w:tabs>
        <w:ind w:left="567" w:hanging="567"/>
      </w:pPr>
      <w:rPr>
        <w:rFonts w:asciiTheme="minorHAnsi" w:eastAsia="Times New Roman" w:hAnsiTheme="minorHAnsi" w:cs="Times New Roman" w:hint="default"/>
      </w:rPr>
    </w:lvl>
    <w:lvl w:ilvl="4">
      <w:start w:val="1"/>
      <w:numFmt w:val="decimal"/>
      <w:lvlText w:val="1.%5"/>
      <w:lvlJc w:val="left"/>
      <w:pPr>
        <w:tabs>
          <w:tab w:val="num" w:pos="851"/>
        </w:tabs>
        <w:ind w:left="851" w:hanging="567"/>
      </w:pPr>
      <w:rPr>
        <w:rFonts w:ascii="Calibri" w:hAnsi="Calibri" w:hint="default"/>
        <w:b w:val="0"/>
        <w:i w:val="0"/>
        <w:sz w:val="24"/>
      </w:rPr>
    </w:lvl>
    <w:lvl w:ilvl="5">
      <w:start w:val="1"/>
      <w:numFmt w:val="decimal"/>
      <w:lvlText w:val="4.1.%6"/>
      <w:lvlJc w:val="left"/>
      <w:pPr>
        <w:tabs>
          <w:tab w:val="num" w:pos="1701"/>
        </w:tabs>
        <w:ind w:left="1701" w:hanging="567"/>
      </w:pPr>
      <w:rPr>
        <w:rFonts w:ascii="Calibri" w:hAnsi="Calibri" w:hint="default"/>
        <w:b w:val="0"/>
        <w:i w:val="0"/>
        <w:sz w:val="24"/>
      </w:rPr>
    </w:lvl>
    <w:lvl w:ilvl="6">
      <w:start w:val="1"/>
      <w:numFmt w:val="lowerRoman"/>
      <w:lvlText w:val="(%7)"/>
      <w:lvlJc w:val="left"/>
      <w:pPr>
        <w:tabs>
          <w:tab w:val="num" w:pos="2268"/>
        </w:tabs>
        <w:ind w:left="2268" w:hanging="567"/>
      </w:pPr>
      <w:rPr>
        <w:rFonts w:hint="default"/>
      </w:rPr>
    </w:lvl>
    <w:lvl w:ilvl="7">
      <w:start w:val="1"/>
      <w:numFmt w:val="decimal"/>
      <w:lvlRestart w:val="1"/>
      <w:lvlText w:val="Figure %1%8:"/>
      <w:lvlJc w:val="left"/>
      <w:pPr>
        <w:tabs>
          <w:tab w:val="num" w:pos="1418"/>
        </w:tabs>
        <w:ind w:left="1418" w:hanging="1418"/>
      </w:pPr>
      <w:rPr>
        <w:rFonts w:hint="default"/>
      </w:rPr>
    </w:lvl>
    <w:lvl w:ilvl="8">
      <w:start w:val="1"/>
      <w:numFmt w:val="decimal"/>
      <w:lvlRestart w:val="1"/>
      <w:lvlText w:val="Table %1%9:"/>
      <w:lvlJc w:val="left"/>
      <w:pPr>
        <w:tabs>
          <w:tab w:val="num" w:pos="1418"/>
        </w:tabs>
        <w:ind w:left="1418" w:hanging="1418"/>
      </w:pPr>
      <w:rPr>
        <w:rFonts w:hint="default"/>
      </w:rPr>
    </w:lvl>
  </w:abstractNum>
  <w:abstractNum w:abstractNumId="51">
    <w:nsid w:val="4C435C4B"/>
    <w:multiLevelType w:val="hybridMultilevel"/>
    <w:tmpl w:val="B5E80AE4"/>
    <w:lvl w:ilvl="0" w:tplc="BD62D5FC">
      <w:start w:val="1"/>
      <w:numFmt w:val="lowerLetter"/>
      <w:lvlText w:val="(%1)"/>
      <w:lvlJc w:val="left"/>
      <w:pPr>
        <w:ind w:left="468" w:hanging="360"/>
      </w:pPr>
      <w:rPr>
        <w:rFonts w:hint="default"/>
      </w:rPr>
    </w:lvl>
    <w:lvl w:ilvl="1" w:tplc="D0225A3E">
      <w:start w:val="1"/>
      <w:numFmt w:val="lowerLetter"/>
      <w:lvlText w:val="%2."/>
      <w:lvlJc w:val="left"/>
      <w:pPr>
        <w:ind w:left="1188" w:hanging="360"/>
      </w:pPr>
    </w:lvl>
    <w:lvl w:ilvl="2" w:tplc="8402A7A4" w:tentative="1">
      <w:start w:val="1"/>
      <w:numFmt w:val="lowerRoman"/>
      <w:lvlText w:val="%3."/>
      <w:lvlJc w:val="right"/>
      <w:pPr>
        <w:ind w:left="1908" w:hanging="180"/>
      </w:pPr>
    </w:lvl>
    <w:lvl w:ilvl="3" w:tplc="AA1C9512" w:tentative="1">
      <w:start w:val="1"/>
      <w:numFmt w:val="decimal"/>
      <w:lvlText w:val="%4."/>
      <w:lvlJc w:val="left"/>
      <w:pPr>
        <w:ind w:left="2628" w:hanging="360"/>
      </w:pPr>
    </w:lvl>
    <w:lvl w:ilvl="4" w:tplc="43708C00" w:tentative="1">
      <w:start w:val="1"/>
      <w:numFmt w:val="lowerLetter"/>
      <w:lvlText w:val="%5."/>
      <w:lvlJc w:val="left"/>
      <w:pPr>
        <w:ind w:left="3348" w:hanging="360"/>
      </w:pPr>
    </w:lvl>
    <w:lvl w:ilvl="5" w:tplc="53B00660" w:tentative="1">
      <w:start w:val="1"/>
      <w:numFmt w:val="lowerRoman"/>
      <w:lvlText w:val="%6."/>
      <w:lvlJc w:val="right"/>
      <w:pPr>
        <w:ind w:left="4068" w:hanging="180"/>
      </w:pPr>
    </w:lvl>
    <w:lvl w:ilvl="6" w:tplc="E264B24E" w:tentative="1">
      <w:start w:val="1"/>
      <w:numFmt w:val="decimal"/>
      <w:lvlText w:val="%7."/>
      <w:lvlJc w:val="left"/>
      <w:pPr>
        <w:ind w:left="4788" w:hanging="360"/>
      </w:pPr>
    </w:lvl>
    <w:lvl w:ilvl="7" w:tplc="11346D72" w:tentative="1">
      <w:start w:val="1"/>
      <w:numFmt w:val="lowerLetter"/>
      <w:lvlText w:val="%8."/>
      <w:lvlJc w:val="left"/>
      <w:pPr>
        <w:ind w:left="5508" w:hanging="360"/>
      </w:pPr>
    </w:lvl>
    <w:lvl w:ilvl="8" w:tplc="110EC536" w:tentative="1">
      <w:start w:val="1"/>
      <w:numFmt w:val="lowerRoman"/>
      <w:lvlText w:val="%9."/>
      <w:lvlJc w:val="right"/>
      <w:pPr>
        <w:ind w:left="6228" w:hanging="180"/>
      </w:pPr>
    </w:lvl>
  </w:abstractNum>
  <w:abstractNum w:abstractNumId="52">
    <w:nsid w:val="4F954864"/>
    <w:multiLevelType w:val="hybridMultilevel"/>
    <w:tmpl w:val="F3A2576E"/>
    <w:lvl w:ilvl="0" w:tplc="F3EEB3BA">
      <w:start w:val="1"/>
      <w:numFmt w:val="bullet"/>
      <w:lvlText w:val=""/>
      <w:lvlJc w:val="left"/>
      <w:pPr>
        <w:ind w:left="720" w:hanging="360"/>
      </w:pPr>
      <w:rPr>
        <w:rFonts w:ascii="Symbol" w:hAnsi="Symbol" w:hint="default"/>
      </w:rPr>
    </w:lvl>
    <w:lvl w:ilvl="1" w:tplc="8D9E7BA8">
      <w:start w:val="1"/>
      <w:numFmt w:val="bullet"/>
      <w:lvlText w:val="o"/>
      <w:lvlJc w:val="left"/>
      <w:pPr>
        <w:ind w:left="1440" w:hanging="360"/>
      </w:pPr>
      <w:rPr>
        <w:rFonts w:ascii="Courier New" w:hAnsi="Courier New" w:cs="Courier New" w:hint="default"/>
      </w:rPr>
    </w:lvl>
    <w:lvl w:ilvl="2" w:tplc="391AF600" w:tentative="1">
      <w:start w:val="1"/>
      <w:numFmt w:val="bullet"/>
      <w:lvlText w:val=""/>
      <w:lvlJc w:val="left"/>
      <w:pPr>
        <w:ind w:left="2160" w:hanging="360"/>
      </w:pPr>
      <w:rPr>
        <w:rFonts w:ascii="Wingdings" w:hAnsi="Wingdings" w:hint="default"/>
      </w:rPr>
    </w:lvl>
    <w:lvl w:ilvl="3" w:tplc="E13EB6E6" w:tentative="1">
      <w:start w:val="1"/>
      <w:numFmt w:val="bullet"/>
      <w:lvlText w:val=""/>
      <w:lvlJc w:val="left"/>
      <w:pPr>
        <w:ind w:left="2880" w:hanging="360"/>
      </w:pPr>
      <w:rPr>
        <w:rFonts w:ascii="Symbol" w:hAnsi="Symbol" w:hint="default"/>
      </w:rPr>
    </w:lvl>
    <w:lvl w:ilvl="4" w:tplc="4ACAA0D4" w:tentative="1">
      <w:start w:val="1"/>
      <w:numFmt w:val="bullet"/>
      <w:lvlText w:val="o"/>
      <w:lvlJc w:val="left"/>
      <w:pPr>
        <w:ind w:left="3600" w:hanging="360"/>
      </w:pPr>
      <w:rPr>
        <w:rFonts w:ascii="Courier New" w:hAnsi="Courier New" w:cs="Courier New" w:hint="default"/>
      </w:rPr>
    </w:lvl>
    <w:lvl w:ilvl="5" w:tplc="792C263A" w:tentative="1">
      <w:start w:val="1"/>
      <w:numFmt w:val="bullet"/>
      <w:lvlText w:val=""/>
      <w:lvlJc w:val="left"/>
      <w:pPr>
        <w:ind w:left="4320" w:hanging="360"/>
      </w:pPr>
      <w:rPr>
        <w:rFonts w:ascii="Wingdings" w:hAnsi="Wingdings" w:hint="default"/>
      </w:rPr>
    </w:lvl>
    <w:lvl w:ilvl="6" w:tplc="0B7A9D50" w:tentative="1">
      <w:start w:val="1"/>
      <w:numFmt w:val="bullet"/>
      <w:lvlText w:val=""/>
      <w:lvlJc w:val="left"/>
      <w:pPr>
        <w:ind w:left="5040" w:hanging="360"/>
      </w:pPr>
      <w:rPr>
        <w:rFonts w:ascii="Symbol" w:hAnsi="Symbol" w:hint="default"/>
      </w:rPr>
    </w:lvl>
    <w:lvl w:ilvl="7" w:tplc="B5003126" w:tentative="1">
      <w:start w:val="1"/>
      <w:numFmt w:val="bullet"/>
      <w:lvlText w:val="o"/>
      <w:lvlJc w:val="left"/>
      <w:pPr>
        <w:ind w:left="5760" w:hanging="360"/>
      </w:pPr>
      <w:rPr>
        <w:rFonts w:ascii="Courier New" w:hAnsi="Courier New" w:cs="Courier New" w:hint="default"/>
      </w:rPr>
    </w:lvl>
    <w:lvl w:ilvl="8" w:tplc="F52640EE" w:tentative="1">
      <w:start w:val="1"/>
      <w:numFmt w:val="bullet"/>
      <w:lvlText w:val=""/>
      <w:lvlJc w:val="left"/>
      <w:pPr>
        <w:ind w:left="6480" w:hanging="360"/>
      </w:pPr>
      <w:rPr>
        <w:rFonts w:ascii="Wingdings" w:hAnsi="Wingdings" w:hint="default"/>
      </w:rPr>
    </w:lvl>
  </w:abstractNum>
  <w:abstractNum w:abstractNumId="53">
    <w:nsid w:val="4FB62F87"/>
    <w:multiLevelType w:val="hybridMultilevel"/>
    <w:tmpl w:val="06426A3C"/>
    <w:lvl w:ilvl="0" w:tplc="E80A724A">
      <w:start w:val="1"/>
      <w:numFmt w:val="lowerLetter"/>
      <w:lvlText w:val="%1)"/>
      <w:lvlJc w:val="left"/>
      <w:pPr>
        <w:ind w:left="720" w:hanging="360"/>
      </w:pPr>
    </w:lvl>
    <w:lvl w:ilvl="1" w:tplc="DB2EF0C0" w:tentative="1">
      <w:start w:val="1"/>
      <w:numFmt w:val="lowerLetter"/>
      <w:lvlText w:val="%2."/>
      <w:lvlJc w:val="left"/>
      <w:pPr>
        <w:ind w:left="1440" w:hanging="360"/>
      </w:pPr>
    </w:lvl>
    <w:lvl w:ilvl="2" w:tplc="8A44C834" w:tentative="1">
      <w:start w:val="1"/>
      <w:numFmt w:val="lowerRoman"/>
      <w:lvlText w:val="%3."/>
      <w:lvlJc w:val="right"/>
      <w:pPr>
        <w:ind w:left="2160" w:hanging="180"/>
      </w:pPr>
    </w:lvl>
    <w:lvl w:ilvl="3" w:tplc="F8463532" w:tentative="1">
      <w:start w:val="1"/>
      <w:numFmt w:val="decimal"/>
      <w:lvlText w:val="%4."/>
      <w:lvlJc w:val="left"/>
      <w:pPr>
        <w:ind w:left="2880" w:hanging="360"/>
      </w:pPr>
    </w:lvl>
    <w:lvl w:ilvl="4" w:tplc="18968D90" w:tentative="1">
      <w:start w:val="1"/>
      <w:numFmt w:val="lowerLetter"/>
      <w:lvlText w:val="%5."/>
      <w:lvlJc w:val="left"/>
      <w:pPr>
        <w:ind w:left="3600" w:hanging="360"/>
      </w:pPr>
    </w:lvl>
    <w:lvl w:ilvl="5" w:tplc="41468530" w:tentative="1">
      <w:start w:val="1"/>
      <w:numFmt w:val="lowerRoman"/>
      <w:lvlText w:val="%6."/>
      <w:lvlJc w:val="right"/>
      <w:pPr>
        <w:ind w:left="4320" w:hanging="180"/>
      </w:pPr>
    </w:lvl>
    <w:lvl w:ilvl="6" w:tplc="050E37D4" w:tentative="1">
      <w:start w:val="1"/>
      <w:numFmt w:val="decimal"/>
      <w:lvlText w:val="%7."/>
      <w:lvlJc w:val="left"/>
      <w:pPr>
        <w:ind w:left="5040" w:hanging="360"/>
      </w:pPr>
    </w:lvl>
    <w:lvl w:ilvl="7" w:tplc="175444B0" w:tentative="1">
      <w:start w:val="1"/>
      <w:numFmt w:val="lowerLetter"/>
      <w:lvlText w:val="%8."/>
      <w:lvlJc w:val="left"/>
      <w:pPr>
        <w:ind w:left="5760" w:hanging="360"/>
      </w:pPr>
    </w:lvl>
    <w:lvl w:ilvl="8" w:tplc="64523AEC" w:tentative="1">
      <w:start w:val="1"/>
      <w:numFmt w:val="lowerRoman"/>
      <w:lvlText w:val="%9."/>
      <w:lvlJc w:val="right"/>
      <w:pPr>
        <w:ind w:left="6480" w:hanging="180"/>
      </w:pPr>
    </w:lvl>
  </w:abstractNum>
  <w:abstractNum w:abstractNumId="54">
    <w:nsid w:val="50AC1E7B"/>
    <w:multiLevelType w:val="multilevel"/>
    <w:tmpl w:val="37A4F21E"/>
    <w:lvl w:ilvl="0">
      <w:start w:val="1"/>
      <w:numFmt w:val="decimal"/>
      <w:lvlText w:val="%1."/>
      <w:lvlJc w:val="left"/>
      <w:pPr>
        <w:tabs>
          <w:tab w:val="num" w:pos="720"/>
        </w:tabs>
        <w:ind w:left="720" w:hanging="360"/>
      </w:pPr>
    </w:lvl>
    <w:lvl w:ilvl="1">
      <w:start w:val="1"/>
      <w:numFmt w:val="lowerRoman"/>
      <w:lvlText w:val="(%2)"/>
      <w:lvlJc w:val="left"/>
      <w:pPr>
        <w:tabs>
          <w:tab w:val="num" w:pos="1920"/>
        </w:tabs>
        <w:ind w:left="1920" w:hanging="840"/>
      </w:pPr>
      <w:rPr>
        <w:rFonts w:hint="default"/>
      </w:rPr>
    </w:lvl>
    <w:lvl w:ilvl="2">
      <w:start w:val="1"/>
      <w:numFmt w:val="lowerRoman"/>
      <w:lvlText w:val="(%3)"/>
      <w:lvlJc w:val="left"/>
      <w:pPr>
        <w:tabs>
          <w:tab w:val="num" w:pos="2160"/>
        </w:tabs>
        <w:ind w:left="2160" w:hanging="18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5">
    <w:nsid w:val="55044503"/>
    <w:multiLevelType w:val="hybridMultilevel"/>
    <w:tmpl w:val="65AE2456"/>
    <w:lvl w:ilvl="0" w:tplc="A3B84BEA">
      <w:start w:val="1"/>
      <w:numFmt w:val="lowerLetter"/>
      <w:lvlText w:val="(%1)"/>
      <w:lvlJc w:val="left"/>
      <w:pPr>
        <w:ind w:left="720" w:hanging="360"/>
      </w:pPr>
      <w:rPr>
        <w:rFonts w:hint="default"/>
        <w:b w:val="0"/>
      </w:rPr>
    </w:lvl>
    <w:lvl w:ilvl="1" w:tplc="B98CBFDE" w:tentative="1">
      <w:start w:val="1"/>
      <w:numFmt w:val="lowerLetter"/>
      <w:lvlText w:val="%2."/>
      <w:lvlJc w:val="left"/>
      <w:pPr>
        <w:ind w:left="1440" w:hanging="360"/>
      </w:pPr>
    </w:lvl>
    <w:lvl w:ilvl="2" w:tplc="482AE9C8" w:tentative="1">
      <w:start w:val="1"/>
      <w:numFmt w:val="lowerRoman"/>
      <w:lvlText w:val="%3."/>
      <w:lvlJc w:val="right"/>
      <w:pPr>
        <w:ind w:left="2160" w:hanging="180"/>
      </w:pPr>
    </w:lvl>
    <w:lvl w:ilvl="3" w:tplc="64161DBA" w:tentative="1">
      <w:start w:val="1"/>
      <w:numFmt w:val="decimal"/>
      <w:lvlText w:val="%4."/>
      <w:lvlJc w:val="left"/>
      <w:pPr>
        <w:ind w:left="2880" w:hanging="360"/>
      </w:pPr>
    </w:lvl>
    <w:lvl w:ilvl="4" w:tplc="AF1A1582">
      <w:start w:val="1"/>
      <w:numFmt w:val="lowerLetter"/>
      <w:lvlText w:val="%5."/>
      <w:lvlJc w:val="left"/>
      <w:pPr>
        <w:ind w:left="3600" w:hanging="360"/>
      </w:pPr>
    </w:lvl>
    <w:lvl w:ilvl="5" w:tplc="97A4D768" w:tentative="1">
      <w:start w:val="1"/>
      <w:numFmt w:val="lowerRoman"/>
      <w:lvlText w:val="%6."/>
      <w:lvlJc w:val="right"/>
      <w:pPr>
        <w:ind w:left="4320" w:hanging="180"/>
      </w:pPr>
    </w:lvl>
    <w:lvl w:ilvl="6" w:tplc="5F084D9E" w:tentative="1">
      <w:start w:val="1"/>
      <w:numFmt w:val="decimal"/>
      <w:lvlText w:val="%7."/>
      <w:lvlJc w:val="left"/>
      <w:pPr>
        <w:ind w:left="5040" w:hanging="360"/>
      </w:pPr>
    </w:lvl>
    <w:lvl w:ilvl="7" w:tplc="3954C9A8" w:tentative="1">
      <w:start w:val="1"/>
      <w:numFmt w:val="lowerLetter"/>
      <w:lvlText w:val="%8."/>
      <w:lvlJc w:val="left"/>
      <w:pPr>
        <w:ind w:left="5760" w:hanging="360"/>
      </w:pPr>
    </w:lvl>
    <w:lvl w:ilvl="8" w:tplc="CEFE9AA8" w:tentative="1">
      <w:start w:val="1"/>
      <w:numFmt w:val="lowerRoman"/>
      <w:lvlText w:val="%9."/>
      <w:lvlJc w:val="right"/>
      <w:pPr>
        <w:ind w:left="6480" w:hanging="180"/>
      </w:pPr>
    </w:lvl>
  </w:abstractNum>
  <w:abstractNum w:abstractNumId="56">
    <w:nsid w:val="55851545"/>
    <w:multiLevelType w:val="multilevel"/>
    <w:tmpl w:val="37A4F21E"/>
    <w:lvl w:ilvl="0">
      <w:start w:val="1"/>
      <w:numFmt w:val="decimal"/>
      <w:lvlText w:val="%1."/>
      <w:lvlJc w:val="left"/>
      <w:pPr>
        <w:tabs>
          <w:tab w:val="num" w:pos="720"/>
        </w:tabs>
        <w:ind w:left="720" w:hanging="360"/>
      </w:pPr>
    </w:lvl>
    <w:lvl w:ilvl="1">
      <w:start w:val="1"/>
      <w:numFmt w:val="lowerRoman"/>
      <w:lvlText w:val="(%2)"/>
      <w:lvlJc w:val="left"/>
      <w:pPr>
        <w:tabs>
          <w:tab w:val="num" w:pos="1920"/>
        </w:tabs>
        <w:ind w:left="1920" w:hanging="840"/>
      </w:pPr>
      <w:rPr>
        <w:rFonts w:hint="default"/>
      </w:rPr>
    </w:lvl>
    <w:lvl w:ilvl="2">
      <w:start w:val="1"/>
      <w:numFmt w:val="lowerRoman"/>
      <w:lvlText w:val="(%3)"/>
      <w:lvlJc w:val="left"/>
      <w:pPr>
        <w:tabs>
          <w:tab w:val="num" w:pos="2160"/>
        </w:tabs>
        <w:ind w:left="2160" w:hanging="18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7">
    <w:nsid w:val="56070D4E"/>
    <w:multiLevelType w:val="hybridMultilevel"/>
    <w:tmpl w:val="57BAE50E"/>
    <w:lvl w:ilvl="0" w:tplc="2A22CF9A">
      <w:start w:val="1"/>
      <w:numFmt w:val="lowerLetter"/>
      <w:lvlText w:val="(%1)"/>
      <w:lvlJc w:val="left"/>
      <w:pPr>
        <w:ind w:left="720" w:hanging="360"/>
      </w:pPr>
      <w:rPr>
        <w:rFonts w:asciiTheme="minorHAnsi" w:eastAsia="Times New Roman" w:hAnsiTheme="minorHAnsi" w:cs="Arial"/>
      </w:rPr>
    </w:lvl>
    <w:lvl w:ilvl="1" w:tplc="D7C404D6">
      <w:start w:val="1"/>
      <w:numFmt w:val="lowerLetter"/>
      <w:lvlText w:val="%2."/>
      <w:lvlJc w:val="left"/>
      <w:pPr>
        <w:ind w:left="1440" w:hanging="360"/>
      </w:pPr>
    </w:lvl>
    <w:lvl w:ilvl="2" w:tplc="FB68675A" w:tentative="1">
      <w:start w:val="1"/>
      <w:numFmt w:val="lowerRoman"/>
      <w:lvlText w:val="%3."/>
      <w:lvlJc w:val="right"/>
      <w:pPr>
        <w:ind w:left="2160" w:hanging="180"/>
      </w:pPr>
    </w:lvl>
    <w:lvl w:ilvl="3" w:tplc="423A1DBE" w:tentative="1">
      <w:start w:val="1"/>
      <w:numFmt w:val="decimal"/>
      <w:lvlText w:val="%4."/>
      <w:lvlJc w:val="left"/>
      <w:pPr>
        <w:ind w:left="2880" w:hanging="360"/>
      </w:pPr>
    </w:lvl>
    <w:lvl w:ilvl="4" w:tplc="464063E2" w:tentative="1">
      <w:start w:val="1"/>
      <w:numFmt w:val="lowerLetter"/>
      <w:lvlText w:val="%5."/>
      <w:lvlJc w:val="left"/>
      <w:pPr>
        <w:ind w:left="3600" w:hanging="360"/>
      </w:pPr>
    </w:lvl>
    <w:lvl w:ilvl="5" w:tplc="5FB4F57A" w:tentative="1">
      <w:start w:val="1"/>
      <w:numFmt w:val="lowerRoman"/>
      <w:lvlText w:val="%6."/>
      <w:lvlJc w:val="right"/>
      <w:pPr>
        <w:ind w:left="4320" w:hanging="180"/>
      </w:pPr>
    </w:lvl>
    <w:lvl w:ilvl="6" w:tplc="F1C4A726" w:tentative="1">
      <w:start w:val="1"/>
      <w:numFmt w:val="decimal"/>
      <w:lvlText w:val="%7."/>
      <w:lvlJc w:val="left"/>
      <w:pPr>
        <w:ind w:left="5040" w:hanging="360"/>
      </w:pPr>
    </w:lvl>
    <w:lvl w:ilvl="7" w:tplc="02B4FE7E" w:tentative="1">
      <w:start w:val="1"/>
      <w:numFmt w:val="lowerLetter"/>
      <w:lvlText w:val="%8."/>
      <w:lvlJc w:val="left"/>
      <w:pPr>
        <w:ind w:left="5760" w:hanging="360"/>
      </w:pPr>
    </w:lvl>
    <w:lvl w:ilvl="8" w:tplc="DC402640" w:tentative="1">
      <w:start w:val="1"/>
      <w:numFmt w:val="lowerRoman"/>
      <w:lvlText w:val="%9."/>
      <w:lvlJc w:val="right"/>
      <w:pPr>
        <w:ind w:left="6480" w:hanging="180"/>
      </w:pPr>
    </w:lvl>
  </w:abstractNum>
  <w:abstractNum w:abstractNumId="58">
    <w:nsid w:val="57E5353F"/>
    <w:multiLevelType w:val="multilevel"/>
    <w:tmpl w:val="8292B964"/>
    <w:styleLink w:val="zInstructionsbulletlist"/>
    <w:lvl w:ilvl="0">
      <w:start w:val="1"/>
      <w:numFmt w:val="bullet"/>
      <w:pStyle w:val="zInstructionsbullet"/>
      <w:lvlText w:val=""/>
      <w:lvlJc w:val="left"/>
      <w:pPr>
        <w:tabs>
          <w:tab w:val="num" w:pos="709"/>
        </w:tabs>
        <w:ind w:left="709" w:hanging="709"/>
      </w:pPr>
      <w:rPr>
        <w:rFonts w:ascii="Symbol" w:hAnsi="Symbol" w:hint="default"/>
      </w:rPr>
    </w:lvl>
    <w:lvl w:ilvl="1">
      <w:start w:val="1"/>
      <w:numFmt w:val="bullet"/>
      <w:lvlText w:val="o"/>
      <w:lvlJc w:val="left"/>
      <w:pPr>
        <w:tabs>
          <w:tab w:val="num" w:pos="1418"/>
        </w:tabs>
        <w:ind w:left="1418" w:hanging="709"/>
      </w:pPr>
      <w:rPr>
        <w:rFonts w:ascii="Courier New" w:hAnsi="Courier New" w:hint="default"/>
      </w:rPr>
    </w:lvl>
    <w:lvl w:ilvl="2">
      <w:start w:val="1"/>
      <w:numFmt w:val="bullet"/>
      <w:lvlText w:val=""/>
      <w:lvlJc w:val="left"/>
      <w:pPr>
        <w:tabs>
          <w:tab w:val="num" w:pos="2126"/>
        </w:tabs>
        <w:ind w:left="2126" w:hanging="708"/>
      </w:pPr>
      <w:rPr>
        <w:rFonts w:ascii="Wingdings" w:hAnsi="Wingding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59">
    <w:nsid w:val="58C66B4A"/>
    <w:multiLevelType w:val="multilevel"/>
    <w:tmpl w:val="9D00A394"/>
    <w:styleLink w:val="Attachmentsliststyle"/>
    <w:lvl w:ilvl="0">
      <w:start w:val="1"/>
      <w:numFmt w:val="upperLetter"/>
      <w:pStyle w:val="Attachmentsheading"/>
      <w:lvlText w:val="Attachment %1:"/>
      <w:lvlJc w:val="left"/>
      <w:pPr>
        <w:tabs>
          <w:tab w:val="num" w:pos="1701"/>
        </w:tabs>
        <w:ind w:left="1701" w:hanging="1701"/>
      </w:pPr>
      <w:rPr>
        <w:rFonts w:hint="default"/>
      </w:rPr>
    </w:lvl>
    <w:lvl w:ilvl="1">
      <w:start w:val="1"/>
      <w:numFmt w:val="none"/>
      <w:lvlText w:val=""/>
      <w:lvlJc w:val="left"/>
      <w:pPr>
        <w:tabs>
          <w:tab w:val="num" w:pos="0"/>
        </w:tabs>
        <w:ind w:left="0" w:firstLine="0"/>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60">
    <w:nsid w:val="591E0F60"/>
    <w:multiLevelType w:val="hybridMultilevel"/>
    <w:tmpl w:val="AA062754"/>
    <w:lvl w:ilvl="0" w:tplc="371A53E4">
      <w:start w:val="1"/>
      <w:numFmt w:val="bullet"/>
      <w:pStyle w:val="Level1bullet"/>
      <w:lvlText w:val=""/>
      <w:lvlJc w:val="left"/>
      <w:pPr>
        <w:tabs>
          <w:tab w:val="num" w:pos="567"/>
        </w:tabs>
        <w:ind w:left="567" w:hanging="567"/>
      </w:pPr>
      <w:rPr>
        <w:rFonts w:ascii="Wingdings" w:hAnsi="Wingdings" w:hint="default"/>
      </w:rPr>
    </w:lvl>
    <w:lvl w:ilvl="1" w:tplc="A9CEBA08" w:tentative="1">
      <w:start w:val="1"/>
      <w:numFmt w:val="bullet"/>
      <w:lvlText w:val="o"/>
      <w:lvlJc w:val="left"/>
      <w:pPr>
        <w:tabs>
          <w:tab w:val="num" w:pos="1440"/>
        </w:tabs>
        <w:ind w:left="1440" w:hanging="360"/>
      </w:pPr>
      <w:rPr>
        <w:rFonts w:ascii="Courier New" w:hAnsi="Courier New" w:cs="Courier New" w:hint="default"/>
      </w:rPr>
    </w:lvl>
    <w:lvl w:ilvl="2" w:tplc="64E62182" w:tentative="1">
      <w:start w:val="1"/>
      <w:numFmt w:val="bullet"/>
      <w:lvlText w:val=""/>
      <w:lvlJc w:val="left"/>
      <w:pPr>
        <w:tabs>
          <w:tab w:val="num" w:pos="2160"/>
        </w:tabs>
        <w:ind w:left="2160" w:hanging="360"/>
      </w:pPr>
      <w:rPr>
        <w:rFonts w:ascii="Wingdings" w:hAnsi="Wingdings" w:hint="default"/>
      </w:rPr>
    </w:lvl>
    <w:lvl w:ilvl="3" w:tplc="DEB6A024" w:tentative="1">
      <w:start w:val="1"/>
      <w:numFmt w:val="bullet"/>
      <w:lvlText w:val=""/>
      <w:lvlJc w:val="left"/>
      <w:pPr>
        <w:tabs>
          <w:tab w:val="num" w:pos="2880"/>
        </w:tabs>
        <w:ind w:left="2880" w:hanging="360"/>
      </w:pPr>
      <w:rPr>
        <w:rFonts w:ascii="Symbol" w:hAnsi="Symbol" w:hint="default"/>
      </w:rPr>
    </w:lvl>
    <w:lvl w:ilvl="4" w:tplc="2026AE34" w:tentative="1">
      <w:start w:val="1"/>
      <w:numFmt w:val="bullet"/>
      <w:lvlText w:val="o"/>
      <w:lvlJc w:val="left"/>
      <w:pPr>
        <w:tabs>
          <w:tab w:val="num" w:pos="3600"/>
        </w:tabs>
        <w:ind w:left="3600" w:hanging="360"/>
      </w:pPr>
      <w:rPr>
        <w:rFonts w:ascii="Courier New" w:hAnsi="Courier New" w:cs="Courier New" w:hint="default"/>
      </w:rPr>
    </w:lvl>
    <w:lvl w:ilvl="5" w:tplc="95F20FD6" w:tentative="1">
      <w:start w:val="1"/>
      <w:numFmt w:val="bullet"/>
      <w:lvlText w:val=""/>
      <w:lvlJc w:val="left"/>
      <w:pPr>
        <w:tabs>
          <w:tab w:val="num" w:pos="4320"/>
        </w:tabs>
        <w:ind w:left="4320" w:hanging="360"/>
      </w:pPr>
      <w:rPr>
        <w:rFonts w:ascii="Wingdings" w:hAnsi="Wingdings" w:hint="default"/>
      </w:rPr>
    </w:lvl>
    <w:lvl w:ilvl="6" w:tplc="CD16494E" w:tentative="1">
      <w:start w:val="1"/>
      <w:numFmt w:val="bullet"/>
      <w:lvlText w:val=""/>
      <w:lvlJc w:val="left"/>
      <w:pPr>
        <w:tabs>
          <w:tab w:val="num" w:pos="5040"/>
        </w:tabs>
        <w:ind w:left="5040" w:hanging="360"/>
      </w:pPr>
      <w:rPr>
        <w:rFonts w:ascii="Symbol" w:hAnsi="Symbol" w:hint="default"/>
      </w:rPr>
    </w:lvl>
    <w:lvl w:ilvl="7" w:tplc="8A7421E2" w:tentative="1">
      <w:start w:val="1"/>
      <w:numFmt w:val="bullet"/>
      <w:lvlText w:val="o"/>
      <w:lvlJc w:val="left"/>
      <w:pPr>
        <w:tabs>
          <w:tab w:val="num" w:pos="5760"/>
        </w:tabs>
        <w:ind w:left="5760" w:hanging="360"/>
      </w:pPr>
      <w:rPr>
        <w:rFonts w:ascii="Courier New" w:hAnsi="Courier New" w:cs="Courier New" w:hint="default"/>
      </w:rPr>
    </w:lvl>
    <w:lvl w:ilvl="8" w:tplc="3DB2402A" w:tentative="1">
      <w:start w:val="1"/>
      <w:numFmt w:val="bullet"/>
      <w:lvlText w:val=""/>
      <w:lvlJc w:val="left"/>
      <w:pPr>
        <w:tabs>
          <w:tab w:val="num" w:pos="6480"/>
        </w:tabs>
        <w:ind w:left="6480" w:hanging="360"/>
      </w:pPr>
      <w:rPr>
        <w:rFonts w:ascii="Wingdings" w:hAnsi="Wingdings" w:hint="default"/>
      </w:rPr>
    </w:lvl>
  </w:abstractNum>
  <w:abstractNum w:abstractNumId="61">
    <w:nsid w:val="5A857422"/>
    <w:multiLevelType w:val="multilevel"/>
    <w:tmpl w:val="026A1AF4"/>
    <w:lvl w:ilvl="0">
      <w:start w:val="1"/>
      <w:numFmt w:val="decimal"/>
      <w:lvlText w:val="PART %1"/>
      <w:lvlJc w:val="left"/>
      <w:pPr>
        <w:tabs>
          <w:tab w:val="num" w:pos="0"/>
        </w:tabs>
        <w:ind w:left="0" w:firstLine="0"/>
      </w:pPr>
      <w:rPr>
        <w:b/>
        <w:i w:val="0"/>
        <w:caps/>
        <w:sz w:val="32"/>
        <w:szCs w:val="32"/>
      </w:rPr>
    </w:lvl>
    <w:lvl w:ilvl="1">
      <w:start w:val="1"/>
      <w:numFmt w:val="decimal"/>
      <w:lvlText w:val="SUBPART %2"/>
      <w:lvlJc w:val="left"/>
      <w:pPr>
        <w:tabs>
          <w:tab w:val="num" w:pos="0"/>
        </w:tabs>
        <w:ind w:left="0" w:firstLine="0"/>
      </w:pPr>
      <w:rPr>
        <w:b w:val="0"/>
      </w:rPr>
    </w:lvl>
    <w:lvl w:ilvl="2">
      <w:start w:val="1"/>
      <w:numFmt w:val="decimal"/>
      <w:lvlText w:val="SECTION %3"/>
      <w:lvlJc w:val="left"/>
      <w:pPr>
        <w:tabs>
          <w:tab w:val="num" w:pos="0"/>
        </w:tabs>
        <w:ind w:left="0" w:firstLine="0"/>
      </w:pPr>
    </w:lvl>
    <w:lvl w:ilvl="3">
      <w:start w:val="1"/>
      <w:numFmt w:val="decimal"/>
      <w:lvlRestart w:val="1"/>
      <w:lvlText w:val="%1.%4"/>
      <w:lvlJc w:val="left"/>
      <w:pPr>
        <w:tabs>
          <w:tab w:val="num" w:pos="567"/>
        </w:tabs>
        <w:ind w:left="567" w:hanging="567"/>
      </w:pPr>
    </w:lvl>
    <w:lvl w:ilvl="4">
      <w:start w:val="5"/>
      <w:numFmt w:val="decimal"/>
      <w:lvlText w:val="(%5)"/>
      <w:lvlJc w:val="left"/>
      <w:pPr>
        <w:tabs>
          <w:tab w:val="num" w:pos="1702"/>
        </w:tabs>
        <w:ind w:left="1702" w:hanging="567"/>
      </w:pPr>
      <w:rPr>
        <w:rFonts w:ascii="Calibri" w:hAnsi="Calibri" w:cs="Times New Roman" w:hint="default"/>
        <w:b w:val="0"/>
      </w:rPr>
    </w:lvl>
    <w:lvl w:ilvl="5">
      <w:start w:val="1"/>
      <w:numFmt w:val="lowerRoman"/>
      <w:lvlText w:val="(%6)"/>
      <w:lvlJc w:val="left"/>
      <w:pPr>
        <w:tabs>
          <w:tab w:val="num" w:pos="1702"/>
        </w:tabs>
        <w:ind w:left="1702" w:hanging="567"/>
      </w:pPr>
      <w:rPr>
        <w:rFonts w:hint="default"/>
        <w:b w:val="0"/>
      </w:rPr>
    </w:lvl>
    <w:lvl w:ilvl="6">
      <w:start w:val="1"/>
      <w:numFmt w:val="lowerRoman"/>
      <w:lvlText w:val="(%7)"/>
      <w:lvlJc w:val="left"/>
      <w:pPr>
        <w:tabs>
          <w:tab w:val="num" w:pos="3261"/>
        </w:tabs>
        <w:ind w:left="3261" w:hanging="567"/>
      </w:pPr>
      <w:rPr>
        <w:rFonts w:ascii="Calibri" w:hAnsi="Calibri" w:cs="Times New Roman" w:hint="default"/>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rPr>
    </w:lvl>
    <w:lvl w:ilvl="7">
      <w:start w:val="1"/>
      <w:numFmt w:val="decimal"/>
      <w:lvlRestart w:val="0"/>
      <w:lvlText w:val="Figure %8"/>
      <w:lvlJc w:val="left"/>
      <w:pPr>
        <w:tabs>
          <w:tab w:val="num" w:pos="1418"/>
        </w:tabs>
        <w:ind w:left="1418" w:hanging="1418"/>
      </w:pPr>
    </w:lvl>
    <w:lvl w:ilvl="8">
      <w:start w:val="1"/>
      <w:numFmt w:val="decimal"/>
      <w:lvlRestart w:val="0"/>
      <w:lvlText w:val="Table %9"/>
      <w:lvlJc w:val="left"/>
      <w:pPr>
        <w:tabs>
          <w:tab w:val="num" w:pos="1418"/>
        </w:tabs>
        <w:ind w:left="1418" w:hanging="1418"/>
      </w:pPr>
    </w:lvl>
  </w:abstractNum>
  <w:abstractNum w:abstractNumId="62">
    <w:nsid w:val="5E227D2A"/>
    <w:multiLevelType w:val="hybridMultilevel"/>
    <w:tmpl w:val="029C8D50"/>
    <w:lvl w:ilvl="0" w:tplc="4F2CC44A">
      <w:start w:val="1"/>
      <w:numFmt w:val="lowerLetter"/>
      <w:lvlText w:val="(%1)"/>
      <w:lvlJc w:val="left"/>
      <w:pPr>
        <w:ind w:left="360" w:hanging="360"/>
      </w:pPr>
      <w:rPr>
        <w:rFonts w:cs="Arial" w:hint="default"/>
        <w:b w:val="0"/>
      </w:rPr>
    </w:lvl>
    <w:lvl w:ilvl="1" w:tplc="DD70C614" w:tentative="1">
      <w:start w:val="1"/>
      <w:numFmt w:val="lowerLetter"/>
      <w:lvlText w:val="%2."/>
      <w:lvlJc w:val="left"/>
      <w:pPr>
        <w:ind w:left="1080" w:hanging="360"/>
      </w:pPr>
    </w:lvl>
    <w:lvl w:ilvl="2" w:tplc="9D9854E0" w:tentative="1">
      <w:start w:val="1"/>
      <w:numFmt w:val="lowerRoman"/>
      <w:lvlText w:val="%3."/>
      <w:lvlJc w:val="right"/>
      <w:pPr>
        <w:ind w:left="1800" w:hanging="180"/>
      </w:pPr>
    </w:lvl>
    <w:lvl w:ilvl="3" w:tplc="7D42E1D2" w:tentative="1">
      <w:start w:val="1"/>
      <w:numFmt w:val="decimal"/>
      <w:lvlText w:val="%4."/>
      <w:lvlJc w:val="left"/>
      <w:pPr>
        <w:ind w:left="2520" w:hanging="360"/>
      </w:pPr>
    </w:lvl>
    <w:lvl w:ilvl="4" w:tplc="C6A2A790" w:tentative="1">
      <w:start w:val="1"/>
      <w:numFmt w:val="lowerLetter"/>
      <w:lvlText w:val="%5."/>
      <w:lvlJc w:val="left"/>
      <w:pPr>
        <w:ind w:left="3240" w:hanging="360"/>
      </w:pPr>
    </w:lvl>
    <w:lvl w:ilvl="5" w:tplc="B6A6776E" w:tentative="1">
      <w:start w:val="1"/>
      <w:numFmt w:val="lowerRoman"/>
      <w:lvlText w:val="%6."/>
      <w:lvlJc w:val="right"/>
      <w:pPr>
        <w:ind w:left="3960" w:hanging="180"/>
      </w:pPr>
    </w:lvl>
    <w:lvl w:ilvl="6" w:tplc="206663C0" w:tentative="1">
      <w:start w:val="1"/>
      <w:numFmt w:val="decimal"/>
      <w:lvlText w:val="%7."/>
      <w:lvlJc w:val="left"/>
      <w:pPr>
        <w:ind w:left="4680" w:hanging="360"/>
      </w:pPr>
    </w:lvl>
    <w:lvl w:ilvl="7" w:tplc="3A2AA80C" w:tentative="1">
      <w:start w:val="1"/>
      <w:numFmt w:val="lowerLetter"/>
      <w:lvlText w:val="%8."/>
      <w:lvlJc w:val="left"/>
      <w:pPr>
        <w:ind w:left="5400" w:hanging="360"/>
      </w:pPr>
    </w:lvl>
    <w:lvl w:ilvl="8" w:tplc="74E03AC0" w:tentative="1">
      <w:start w:val="1"/>
      <w:numFmt w:val="lowerRoman"/>
      <w:lvlText w:val="%9."/>
      <w:lvlJc w:val="right"/>
      <w:pPr>
        <w:ind w:left="6120" w:hanging="180"/>
      </w:pPr>
    </w:lvl>
  </w:abstractNum>
  <w:abstractNum w:abstractNumId="63">
    <w:nsid w:val="5F806D8A"/>
    <w:multiLevelType w:val="multilevel"/>
    <w:tmpl w:val="BCB2B308"/>
    <w:lvl w:ilvl="0">
      <w:start w:val="1"/>
      <w:numFmt w:val="decimal"/>
      <w:lvlText w:val="PART %1"/>
      <w:lvlJc w:val="left"/>
      <w:pPr>
        <w:tabs>
          <w:tab w:val="num" w:pos="0"/>
        </w:tabs>
        <w:ind w:left="0" w:firstLine="0"/>
      </w:pPr>
      <w:rPr>
        <w:rFonts w:hint="default"/>
        <w:b/>
        <w:i w:val="0"/>
        <w:caps/>
        <w:sz w:val="32"/>
        <w:szCs w:val="32"/>
      </w:rPr>
    </w:lvl>
    <w:lvl w:ilvl="1">
      <w:start w:val="1"/>
      <w:numFmt w:val="decimal"/>
      <w:lvlText w:val="SUBPART %2"/>
      <w:lvlJc w:val="left"/>
      <w:pPr>
        <w:tabs>
          <w:tab w:val="num" w:pos="0"/>
        </w:tabs>
        <w:ind w:left="0" w:firstLine="0"/>
      </w:pPr>
      <w:rPr>
        <w:rFonts w:hint="default"/>
        <w:b w:val="0"/>
      </w:rPr>
    </w:lvl>
    <w:lvl w:ilvl="2">
      <w:start w:val="1"/>
      <w:numFmt w:val="decimal"/>
      <w:lvlText w:val="SECTION %3"/>
      <w:lvlJc w:val="left"/>
      <w:pPr>
        <w:tabs>
          <w:tab w:val="num" w:pos="0"/>
        </w:tabs>
        <w:ind w:left="0" w:firstLine="0"/>
      </w:pPr>
      <w:rPr>
        <w:rFonts w:hint="default"/>
      </w:rPr>
    </w:lvl>
    <w:lvl w:ilvl="3">
      <w:start w:val="1"/>
      <w:numFmt w:val="decimal"/>
      <w:lvlRestart w:val="1"/>
      <w:lvlText w:val="%1.%4"/>
      <w:lvlJc w:val="left"/>
      <w:pPr>
        <w:tabs>
          <w:tab w:val="num" w:pos="567"/>
        </w:tabs>
        <w:ind w:left="567" w:hanging="567"/>
      </w:pPr>
      <w:rPr>
        <w:rFonts w:hint="default"/>
      </w:rPr>
    </w:lvl>
    <w:lvl w:ilvl="4">
      <w:start w:val="1"/>
      <w:numFmt w:val="decimal"/>
      <w:lvlText w:val="(%5)"/>
      <w:lvlJc w:val="left"/>
      <w:pPr>
        <w:tabs>
          <w:tab w:val="num" w:pos="1702"/>
        </w:tabs>
        <w:ind w:left="1702" w:hanging="567"/>
      </w:pPr>
      <w:rPr>
        <w:rFonts w:ascii="Calibri" w:hAnsi="Calibri" w:cs="Times New Roman" w:hint="default"/>
        <w:b w:val="0"/>
      </w:rPr>
    </w:lvl>
    <w:lvl w:ilvl="5">
      <w:start w:val="1"/>
      <w:numFmt w:val="lowerLetter"/>
      <w:lvlText w:val="%6)"/>
      <w:lvlJc w:val="left"/>
      <w:pPr>
        <w:tabs>
          <w:tab w:val="num" w:pos="1702"/>
        </w:tabs>
        <w:ind w:left="1702" w:hanging="567"/>
      </w:pPr>
      <w:rPr>
        <w:rFonts w:hint="default"/>
        <w:b w:val="0"/>
      </w:rPr>
    </w:lvl>
    <w:lvl w:ilvl="6">
      <w:start w:val="1"/>
      <w:numFmt w:val="lowerRoman"/>
      <w:lvlText w:val="(%7)"/>
      <w:lvlJc w:val="left"/>
      <w:pPr>
        <w:tabs>
          <w:tab w:val="num" w:pos="3261"/>
        </w:tabs>
        <w:ind w:left="3261" w:hanging="567"/>
      </w:pPr>
      <w:rPr>
        <w:rFonts w:ascii="Calibri" w:hAnsi="Calibri"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rPr>
    </w:lvl>
    <w:lvl w:ilvl="7">
      <w:start w:val="1"/>
      <w:numFmt w:val="decimal"/>
      <w:lvlRestart w:val="0"/>
      <w:lvlText w:val="Figure %8"/>
      <w:lvlJc w:val="left"/>
      <w:pPr>
        <w:tabs>
          <w:tab w:val="num" w:pos="1418"/>
        </w:tabs>
        <w:ind w:left="1418" w:hanging="1418"/>
      </w:pPr>
      <w:rPr>
        <w:rFonts w:hint="default"/>
      </w:rPr>
    </w:lvl>
    <w:lvl w:ilvl="8">
      <w:start w:val="1"/>
      <w:numFmt w:val="decimal"/>
      <w:lvlRestart w:val="0"/>
      <w:lvlText w:val="Table %9"/>
      <w:lvlJc w:val="left"/>
      <w:pPr>
        <w:tabs>
          <w:tab w:val="num" w:pos="1418"/>
        </w:tabs>
        <w:ind w:left="1418" w:hanging="1418"/>
      </w:pPr>
      <w:rPr>
        <w:rFonts w:hint="default"/>
      </w:rPr>
    </w:lvl>
  </w:abstractNum>
  <w:abstractNum w:abstractNumId="64">
    <w:nsid w:val="60E21637"/>
    <w:multiLevelType w:val="hybridMultilevel"/>
    <w:tmpl w:val="F1224BE6"/>
    <w:lvl w:ilvl="0" w:tplc="67FA3E08">
      <w:start w:val="1"/>
      <w:numFmt w:val="lowerLetter"/>
      <w:lvlText w:val="(%1)"/>
      <w:lvlJc w:val="left"/>
      <w:pPr>
        <w:ind w:left="720" w:hanging="360"/>
      </w:pPr>
      <w:rPr>
        <w:rFonts w:hint="default"/>
      </w:rPr>
    </w:lvl>
    <w:lvl w:ilvl="1" w:tplc="4C6E6962" w:tentative="1">
      <w:start w:val="1"/>
      <w:numFmt w:val="lowerLetter"/>
      <w:lvlText w:val="%2."/>
      <w:lvlJc w:val="left"/>
      <w:pPr>
        <w:ind w:left="1440" w:hanging="360"/>
      </w:pPr>
    </w:lvl>
    <w:lvl w:ilvl="2" w:tplc="2B04C16C" w:tentative="1">
      <w:start w:val="1"/>
      <w:numFmt w:val="lowerRoman"/>
      <w:lvlText w:val="%3."/>
      <w:lvlJc w:val="right"/>
      <w:pPr>
        <w:ind w:left="2160" w:hanging="180"/>
      </w:pPr>
    </w:lvl>
    <w:lvl w:ilvl="3" w:tplc="0174380E" w:tentative="1">
      <w:start w:val="1"/>
      <w:numFmt w:val="decimal"/>
      <w:lvlText w:val="%4."/>
      <w:lvlJc w:val="left"/>
      <w:pPr>
        <w:ind w:left="2880" w:hanging="360"/>
      </w:pPr>
    </w:lvl>
    <w:lvl w:ilvl="4" w:tplc="E5B6F97E" w:tentative="1">
      <w:start w:val="1"/>
      <w:numFmt w:val="lowerLetter"/>
      <w:lvlText w:val="%5."/>
      <w:lvlJc w:val="left"/>
      <w:pPr>
        <w:ind w:left="3600" w:hanging="360"/>
      </w:pPr>
    </w:lvl>
    <w:lvl w:ilvl="5" w:tplc="20A84CB4" w:tentative="1">
      <w:start w:val="1"/>
      <w:numFmt w:val="lowerRoman"/>
      <w:lvlText w:val="%6."/>
      <w:lvlJc w:val="right"/>
      <w:pPr>
        <w:ind w:left="4320" w:hanging="180"/>
      </w:pPr>
    </w:lvl>
    <w:lvl w:ilvl="6" w:tplc="2DBE2B02" w:tentative="1">
      <w:start w:val="1"/>
      <w:numFmt w:val="decimal"/>
      <w:lvlText w:val="%7."/>
      <w:lvlJc w:val="left"/>
      <w:pPr>
        <w:ind w:left="5040" w:hanging="360"/>
      </w:pPr>
    </w:lvl>
    <w:lvl w:ilvl="7" w:tplc="75244F8C" w:tentative="1">
      <w:start w:val="1"/>
      <w:numFmt w:val="lowerLetter"/>
      <w:lvlText w:val="%8."/>
      <w:lvlJc w:val="left"/>
      <w:pPr>
        <w:ind w:left="5760" w:hanging="360"/>
      </w:pPr>
    </w:lvl>
    <w:lvl w:ilvl="8" w:tplc="0F8E1434" w:tentative="1">
      <w:start w:val="1"/>
      <w:numFmt w:val="lowerRoman"/>
      <w:lvlText w:val="%9."/>
      <w:lvlJc w:val="right"/>
      <w:pPr>
        <w:ind w:left="6480" w:hanging="180"/>
      </w:pPr>
    </w:lvl>
  </w:abstractNum>
  <w:abstractNum w:abstractNumId="65">
    <w:nsid w:val="615B18ED"/>
    <w:multiLevelType w:val="hybridMultilevel"/>
    <w:tmpl w:val="1EC60B36"/>
    <w:lvl w:ilvl="0" w:tplc="7A7A103C">
      <w:start w:val="1"/>
      <w:numFmt w:val="lowerLetter"/>
      <w:lvlText w:val="(%1)"/>
      <w:lvlJc w:val="left"/>
      <w:pPr>
        <w:ind w:left="720" w:hanging="360"/>
      </w:pPr>
      <w:rPr>
        <w:rFonts w:hint="default"/>
      </w:rPr>
    </w:lvl>
    <w:lvl w:ilvl="1" w:tplc="25FC942C" w:tentative="1">
      <w:start w:val="1"/>
      <w:numFmt w:val="lowerLetter"/>
      <w:lvlText w:val="%2."/>
      <w:lvlJc w:val="left"/>
      <w:pPr>
        <w:ind w:left="1440" w:hanging="360"/>
      </w:pPr>
    </w:lvl>
    <w:lvl w:ilvl="2" w:tplc="D7FA4E36" w:tentative="1">
      <w:start w:val="1"/>
      <w:numFmt w:val="lowerRoman"/>
      <w:lvlText w:val="%3."/>
      <w:lvlJc w:val="right"/>
      <w:pPr>
        <w:ind w:left="2160" w:hanging="180"/>
      </w:pPr>
    </w:lvl>
    <w:lvl w:ilvl="3" w:tplc="BDA2745A" w:tentative="1">
      <w:start w:val="1"/>
      <w:numFmt w:val="decimal"/>
      <w:lvlText w:val="%4."/>
      <w:lvlJc w:val="left"/>
      <w:pPr>
        <w:ind w:left="2880" w:hanging="360"/>
      </w:pPr>
    </w:lvl>
    <w:lvl w:ilvl="4" w:tplc="0E3EC6C4" w:tentative="1">
      <w:start w:val="1"/>
      <w:numFmt w:val="lowerLetter"/>
      <w:lvlText w:val="%5."/>
      <w:lvlJc w:val="left"/>
      <w:pPr>
        <w:ind w:left="3600" w:hanging="360"/>
      </w:pPr>
    </w:lvl>
    <w:lvl w:ilvl="5" w:tplc="C7AA3D5C" w:tentative="1">
      <w:start w:val="1"/>
      <w:numFmt w:val="lowerRoman"/>
      <w:lvlText w:val="%6."/>
      <w:lvlJc w:val="right"/>
      <w:pPr>
        <w:ind w:left="4320" w:hanging="180"/>
      </w:pPr>
    </w:lvl>
    <w:lvl w:ilvl="6" w:tplc="815894F8" w:tentative="1">
      <w:start w:val="1"/>
      <w:numFmt w:val="decimal"/>
      <w:lvlText w:val="%7."/>
      <w:lvlJc w:val="left"/>
      <w:pPr>
        <w:ind w:left="5040" w:hanging="360"/>
      </w:pPr>
    </w:lvl>
    <w:lvl w:ilvl="7" w:tplc="7EB2E970" w:tentative="1">
      <w:start w:val="1"/>
      <w:numFmt w:val="lowerLetter"/>
      <w:lvlText w:val="%8."/>
      <w:lvlJc w:val="left"/>
      <w:pPr>
        <w:ind w:left="5760" w:hanging="360"/>
      </w:pPr>
    </w:lvl>
    <w:lvl w:ilvl="8" w:tplc="0204A2C8" w:tentative="1">
      <w:start w:val="1"/>
      <w:numFmt w:val="lowerRoman"/>
      <w:lvlText w:val="%9."/>
      <w:lvlJc w:val="right"/>
      <w:pPr>
        <w:ind w:left="6480" w:hanging="180"/>
      </w:pPr>
    </w:lvl>
  </w:abstractNum>
  <w:abstractNum w:abstractNumId="66">
    <w:nsid w:val="61956FB5"/>
    <w:multiLevelType w:val="multilevel"/>
    <w:tmpl w:val="7512CF7E"/>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1418"/>
        </w:tabs>
        <w:ind w:left="1418" w:hanging="709"/>
      </w:pPr>
      <w:rPr>
        <w:rFonts w:hint="default"/>
      </w:rPr>
    </w:lvl>
    <w:lvl w:ilvl="2">
      <w:start w:val="1"/>
      <w:numFmt w:val="decimal"/>
      <w:lvlText w:val="%1.%2.%3"/>
      <w:lvlJc w:val="left"/>
      <w:pPr>
        <w:tabs>
          <w:tab w:val="num" w:pos="2126"/>
        </w:tabs>
        <w:ind w:left="2126" w:hanging="708"/>
      </w:pPr>
      <w:rPr>
        <w:rFonts w:hint="default"/>
      </w:rPr>
    </w:lvl>
    <w:lvl w:ilvl="3">
      <w:start w:val="1"/>
      <w:numFmt w:val="lowerLetter"/>
      <w:lvlText w:val="(%4)"/>
      <w:lvlJc w:val="left"/>
      <w:pPr>
        <w:tabs>
          <w:tab w:val="num" w:pos="2835"/>
        </w:tabs>
        <w:ind w:left="2835" w:hanging="709"/>
      </w:pPr>
      <w:rPr>
        <w:rFonts w:hint="default"/>
      </w:rPr>
    </w:lvl>
    <w:lvl w:ilvl="4">
      <w:start w:val="1"/>
      <w:numFmt w:val="lowerRoman"/>
      <w:lvlText w:val="(%5)"/>
      <w:lvlJc w:val="left"/>
      <w:pPr>
        <w:tabs>
          <w:tab w:val="num" w:pos="3544"/>
        </w:tabs>
        <w:ind w:left="3544" w:hanging="709"/>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67">
    <w:nsid w:val="624A78A5"/>
    <w:multiLevelType w:val="hybridMultilevel"/>
    <w:tmpl w:val="235C0136"/>
    <w:lvl w:ilvl="0" w:tplc="A06E0AF4">
      <w:start w:val="1"/>
      <w:numFmt w:val="lowerLetter"/>
      <w:lvlText w:val="(%1)"/>
      <w:lvlJc w:val="left"/>
      <w:pPr>
        <w:ind w:left="394" w:hanging="360"/>
      </w:pPr>
      <w:rPr>
        <w:rFonts w:hint="default"/>
      </w:rPr>
    </w:lvl>
    <w:lvl w:ilvl="1" w:tplc="7748AB7A" w:tentative="1">
      <w:start w:val="1"/>
      <w:numFmt w:val="lowerLetter"/>
      <w:lvlText w:val="%2."/>
      <w:lvlJc w:val="left"/>
      <w:pPr>
        <w:ind w:left="1114" w:hanging="360"/>
      </w:pPr>
    </w:lvl>
    <w:lvl w:ilvl="2" w:tplc="EAFC5F18" w:tentative="1">
      <w:start w:val="1"/>
      <w:numFmt w:val="lowerRoman"/>
      <w:lvlText w:val="%3."/>
      <w:lvlJc w:val="right"/>
      <w:pPr>
        <w:ind w:left="1834" w:hanging="180"/>
      </w:pPr>
    </w:lvl>
    <w:lvl w:ilvl="3" w:tplc="73E6C36C" w:tentative="1">
      <w:start w:val="1"/>
      <w:numFmt w:val="decimal"/>
      <w:lvlText w:val="%4."/>
      <w:lvlJc w:val="left"/>
      <w:pPr>
        <w:ind w:left="2554" w:hanging="360"/>
      </w:pPr>
    </w:lvl>
    <w:lvl w:ilvl="4" w:tplc="B330E7B2" w:tentative="1">
      <w:start w:val="1"/>
      <w:numFmt w:val="lowerLetter"/>
      <w:lvlText w:val="%5."/>
      <w:lvlJc w:val="left"/>
      <w:pPr>
        <w:ind w:left="3274" w:hanging="360"/>
      </w:pPr>
    </w:lvl>
    <w:lvl w:ilvl="5" w:tplc="46408B4A" w:tentative="1">
      <w:start w:val="1"/>
      <w:numFmt w:val="lowerRoman"/>
      <w:lvlText w:val="%6."/>
      <w:lvlJc w:val="right"/>
      <w:pPr>
        <w:ind w:left="3994" w:hanging="180"/>
      </w:pPr>
    </w:lvl>
    <w:lvl w:ilvl="6" w:tplc="4036E330" w:tentative="1">
      <w:start w:val="1"/>
      <w:numFmt w:val="decimal"/>
      <w:lvlText w:val="%7."/>
      <w:lvlJc w:val="left"/>
      <w:pPr>
        <w:ind w:left="4714" w:hanging="360"/>
      </w:pPr>
    </w:lvl>
    <w:lvl w:ilvl="7" w:tplc="3948D674" w:tentative="1">
      <w:start w:val="1"/>
      <w:numFmt w:val="lowerLetter"/>
      <w:lvlText w:val="%8."/>
      <w:lvlJc w:val="left"/>
      <w:pPr>
        <w:ind w:left="5434" w:hanging="360"/>
      </w:pPr>
    </w:lvl>
    <w:lvl w:ilvl="8" w:tplc="BA62F2E6" w:tentative="1">
      <w:start w:val="1"/>
      <w:numFmt w:val="lowerRoman"/>
      <w:lvlText w:val="%9."/>
      <w:lvlJc w:val="right"/>
      <w:pPr>
        <w:ind w:left="6154" w:hanging="180"/>
      </w:pPr>
    </w:lvl>
  </w:abstractNum>
  <w:abstractNum w:abstractNumId="68">
    <w:nsid w:val="62BE5FA9"/>
    <w:multiLevelType w:val="multilevel"/>
    <w:tmpl w:val="9A8C520C"/>
    <w:lvl w:ilvl="0">
      <w:start w:val="1"/>
      <w:numFmt w:val="decimal"/>
      <w:pStyle w:val="ChapterHeading"/>
      <w:lvlText w:val="%1."/>
      <w:lvlJc w:val="left"/>
      <w:pPr>
        <w:tabs>
          <w:tab w:val="num" w:pos="360"/>
        </w:tabs>
        <w:ind w:left="360" w:hanging="360"/>
      </w:pPr>
    </w:lvl>
    <w:lvl w:ilvl="1">
      <w:start w:val="1"/>
      <w:numFmt w:val="lowerLetter"/>
      <w:pStyle w:val="Numberlist"/>
      <w:lvlText w:val="(%2)"/>
      <w:lvlJc w:val="left"/>
      <w:pPr>
        <w:tabs>
          <w:tab w:val="num" w:pos="1560"/>
        </w:tabs>
        <w:ind w:left="1560" w:hanging="840"/>
      </w:pPr>
      <w:rPr>
        <w:color w:val="auto"/>
      </w:rPr>
    </w:lvl>
    <w:lvl w:ilvl="2">
      <w:start w:val="1"/>
      <w:numFmt w:val="lowerRoman"/>
      <w:pStyle w:val="number2"/>
      <w:lvlText w:val="(%3)"/>
      <w:lvlJc w:val="left"/>
      <w:pPr>
        <w:tabs>
          <w:tab w:val="num" w:pos="1800"/>
        </w:tabs>
        <w:ind w:left="1800" w:hanging="180"/>
      </w:pPr>
    </w:lvl>
    <w:lvl w:ilvl="3">
      <w:start w:val="1"/>
      <w:numFmt w:val="lowerLetter"/>
      <w:pStyle w:val="number3"/>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9">
    <w:nsid w:val="63F32E16"/>
    <w:multiLevelType w:val="hybridMultilevel"/>
    <w:tmpl w:val="FA8A449E"/>
    <w:lvl w:ilvl="0" w:tplc="C9BE2B12">
      <w:start w:val="1"/>
      <w:numFmt w:val="lowerLetter"/>
      <w:lvlText w:val="(%1)"/>
      <w:lvlJc w:val="left"/>
      <w:pPr>
        <w:ind w:left="720" w:hanging="360"/>
      </w:pPr>
      <w:rPr>
        <w:rFonts w:cs="Arial" w:hint="default"/>
      </w:rPr>
    </w:lvl>
    <w:lvl w:ilvl="1" w:tplc="D96ED354" w:tentative="1">
      <w:start w:val="1"/>
      <w:numFmt w:val="lowerLetter"/>
      <w:lvlText w:val="%2."/>
      <w:lvlJc w:val="left"/>
      <w:pPr>
        <w:ind w:left="1440" w:hanging="360"/>
      </w:pPr>
    </w:lvl>
    <w:lvl w:ilvl="2" w:tplc="EC9C9D92" w:tentative="1">
      <w:start w:val="1"/>
      <w:numFmt w:val="lowerRoman"/>
      <w:lvlText w:val="%3."/>
      <w:lvlJc w:val="right"/>
      <w:pPr>
        <w:ind w:left="2160" w:hanging="180"/>
      </w:pPr>
    </w:lvl>
    <w:lvl w:ilvl="3" w:tplc="7B7CDA54" w:tentative="1">
      <w:start w:val="1"/>
      <w:numFmt w:val="decimal"/>
      <w:lvlText w:val="%4."/>
      <w:lvlJc w:val="left"/>
      <w:pPr>
        <w:ind w:left="2880" w:hanging="360"/>
      </w:pPr>
    </w:lvl>
    <w:lvl w:ilvl="4" w:tplc="7A4663B8" w:tentative="1">
      <w:start w:val="1"/>
      <w:numFmt w:val="lowerLetter"/>
      <w:lvlText w:val="%5."/>
      <w:lvlJc w:val="left"/>
      <w:pPr>
        <w:ind w:left="3600" w:hanging="360"/>
      </w:pPr>
    </w:lvl>
    <w:lvl w:ilvl="5" w:tplc="F4E816F8" w:tentative="1">
      <w:start w:val="1"/>
      <w:numFmt w:val="lowerRoman"/>
      <w:lvlText w:val="%6."/>
      <w:lvlJc w:val="right"/>
      <w:pPr>
        <w:ind w:left="4320" w:hanging="180"/>
      </w:pPr>
    </w:lvl>
    <w:lvl w:ilvl="6" w:tplc="97F4F44A" w:tentative="1">
      <w:start w:val="1"/>
      <w:numFmt w:val="decimal"/>
      <w:lvlText w:val="%7."/>
      <w:lvlJc w:val="left"/>
      <w:pPr>
        <w:ind w:left="5040" w:hanging="360"/>
      </w:pPr>
    </w:lvl>
    <w:lvl w:ilvl="7" w:tplc="61F2F6B2" w:tentative="1">
      <w:start w:val="1"/>
      <w:numFmt w:val="lowerLetter"/>
      <w:lvlText w:val="%8."/>
      <w:lvlJc w:val="left"/>
      <w:pPr>
        <w:ind w:left="5760" w:hanging="360"/>
      </w:pPr>
    </w:lvl>
    <w:lvl w:ilvl="8" w:tplc="C81C6EA8" w:tentative="1">
      <w:start w:val="1"/>
      <w:numFmt w:val="lowerRoman"/>
      <w:lvlText w:val="%9."/>
      <w:lvlJc w:val="right"/>
      <w:pPr>
        <w:ind w:left="6480" w:hanging="180"/>
      </w:pPr>
    </w:lvl>
  </w:abstractNum>
  <w:abstractNum w:abstractNumId="70">
    <w:nsid w:val="644163FE"/>
    <w:multiLevelType w:val="multilevel"/>
    <w:tmpl w:val="22E2C42E"/>
    <w:lvl w:ilvl="0">
      <w:start w:val="1"/>
      <w:numFmt w:val="lowerLetter"/>
      <w:lvlText w:val="(%1)"/>
      <w:lvlJc w:val="left"/>
      <w:pPr>
        <w:ind w:left="720" w:hanging="360"/>
      </w:pPr>
      <w:rPr>
        <w:rFonts w:hint="default"/>
      </w:rPr>
    </w:lvl>
    <w:lvl w:ilvl="1">
      <w:start w:val="1"/>
      <w:numFmt w:val="lowerRoman"/>
      <w:lvlText w:val="(%2)"/>
      <w:lvlJc w:val="left"/>
      <w:pPr>
        <w:ind w:left="1800" w:hanging="72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1">
    <w:nsid w:val="66284B94"/>
    <w:multiLevelType w:val="multilevel"/>
    <w:tmpl w:val="9C90B6F0"/>
    <w:styleLink w:val="Style1"/>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1418"/>
        </w:tabs>
        <w:ind w:left="1418" w:hanging="709"/>
      </w:pPr>
      <w:rPr>
        <w:rFonts w:hint="default"/>
      </w:rPr>
    </w:lvl>
    <w:lvl w:ilvl="2">
      <w:start w:val="1"/>
      <w:numFmt w:val="decimal"/>
      <w:lvlText w:val="%1.%2.%3"/>
      <w:lvlJc w:val="left"/>
      <w:pPr>
        <w:tabs>
          <w:tab w:val="num" w:pos="2126"/>
        </w:tabs>
        <w:ind w:left="2126" w:hanging="708"/>
      </w:pPr>
      <w:rPr>
        <w:rFonts w:ascii="Calibri" w:hAnsi="Calibri" w:hint="default"/>
      </w:rPr>
    </w:lvl>
    <w:lvl w:ilvl="3">
      <w:start w:val="1"/>
      <w:numFmt w:val="lowerLetter"/>
      <w:lvlText w:val="(%4)"/>
      <w:lvlJc w:val="left"/>
      <w:pPr>
        <w:tabs>
          <w:tab w:val="num" w:pos="2835"/>
        </w:tabs>
        <w:ind w:left="2835" w:hanging="709"/>
      </w:pPr>
      <w:rPr>
        <w:rFonts w:hint="default"/>
      </w:rPr>
    </w:lvl>
    <w:lvl w:ilvl="4">
      <w:start w:val="1"/>
      <w:numFmt w:val="lowerRoman"/>
      <w:lvlText w:val="(%5)"/>
      <w:lvlJc w:val="left"/>
      <w:pPr>
        <w:tabs>
          <w:tab w:val="num" w:pos="3544"/>
        </w:tabs>
        <w:ind w:left="3544" w:hanging="709"/>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72">
    <w:nsid w:val="67557934"/>
    <w:multiLevelType w:val="multilevel"/>
    <w:tmpl w:val="63B460FC"/>
    <w:lvl w:ilvl="0">
      <w:start w:val="1"/>
      <w:numFmt w:val="decimal"/>
      <w:pStyle w:val="SchHead1SCHEDULE"/>
      <w:lvlText w:val="SCHEDULE %1"/>
      <w:lvlJc w:val="left"/>
      <w:pPr>
        <w:tabs>
          <w:tab w:val="num" w:pos="1985"/>
        </w:tabs>
        <w:ind w:left="1985" w:firstLine="0"/>
      </w:pPr>
      <w:rPr>
        <w:rFonts w:hint="default"/>
        <w:caps/>
        <w:sz w:val="32"/>
      </w:rPr>
    </w:lvl>
    <w:lvl w:ilvl="1">
      <w:start w:val="1"/>
      <w:numFmt w:val="decimal"/>
      <w:pStyle w:val="SchHead2Division"/>
      <w:lvlText w:val="DIVISION %2"/>
      <w:lvlJc w:val="left"/>
      <w:pPr>
        <w:tabs>
          <w:tab w:val="num" w:pos="0"/>
        </w:tabs>
        <w:ind w:left="0" w:firstLine="0"/>
      </w:pPr>
      <w:rPr>
        <w:rFonts w:hint="default"/>
      </w:rPr>
    </w:lvl>
    <w:lvl w:ilvl="2">
      <w:start w:val="1"/>
      <w:numFmt w:val="none"/>
      <w:lvlRestart w:val="0"/>
      <w:pStyle w:val="SchHead3Sub-Divisiontitle"/>
      <w:suff w:val="nothing"/>
      <w:lvlText w:val=""/>
      <w:lvlJc w:val="left"/>
      <w:pPr>
        <w:ind w:left="0" w:firstLine="0"/>
      </w:pPr>
      <w:rPr>
        <w:rFonts w:hint="default"/>
      </w:rPr>
    </w:lvl>
    <w:lvl w:ilvl="3">
      <w:start w:val="1"/>
      <w:numFmt w:val="decimal"/>
      <w:lvlRestart w:val="1"/>
      <w:pStyle w:val="SchHead4Clause"/>
      <w:lvlText w:val="%4"/>
      <w:lvlJc w:val="left"/>
      <w:pPr>
        <w:tabs>
          <w:tab w:val="num" w:pos="567"/>
        </w:tabs>
        <w:ind w:left="567" w:hanging="567"/>
      </w:pPr>
      <w:rPr>
        <w:rFonts w:asciiTheme="minorHAnsi" w:eastAsia="Times New Roman" w:hAnsiTheme="minorHAnsi" w:cs="Times New Roman" w:hint="default"/>
      </w:rPr>
    </w:lvl>
    <w:lvl w:ilvl="4">
      <w:start w:val="1"/>
      <w:numFmt w:val="decimal"/>
      <w:pStyle w:val="ClauseTextnumberedLvl1"/>
      <w:lvlText w:val="(%5)"/>
      <w:lvlJc w:val="left"/>
      <w:pPr>
        <w:tabs>
          <w:tab w:val="num" w:pos="851"/>
        </w:tabs>
        <w:ind w:left="851" w:hanging="567"/>
      </w:pPr>
      <w:rPr>
        <w:rFonts w:hint="default"/>
      </w:rPr>
    </w:lvl>
    <w:lvl w:ilvl="5">
      <w:start w:val="1"/>
      <w:numFmt w:val="lowerLetter"/>
      <w:pStyle w:val="SchHead6ClausesubtextL2"/>
      <w:lvlText w:val="(%6)"/>
      <w:lvlJc w:val="left"/>
      <w:pPr>
        <w:tabs>
          <w:tab w:val="num" w:pos="1701"/>
        </w:tabs>
        <w:ind w:left="1701" w:hanging="567"/>
      </w:pPr>
      <w:rPr>
        <w:rFonts w:hint="default"/>
      </w:rPr>
    </w:lvl>
    <w:lvl w:ilvl="6">
      <w:start w:val="1"/>
      <w:numFmt w:val="lowerRoman"/>
      <w:pStyle w:val="SchHead7ClausesubttextL3"/>
      <w:lvlText w:val="(%7)"/>
      <w:lvlJc w:val="left"/>
      <w:pPr>
        <w:tabs>
          <w:tab w:val="num" w:pos="2268"/>
        </w:tabs>
        <w:ind w:left="2268" w:hanging="567"/>
      </w:pPr>
      <w:rPr>
        <w:rFonts w:hint="default"/>
      </w:rPr>
    </w:lvl>
    <w:lvl w:ilvl="7">
      <w:start w:val="1"/>
      <w:numFmt w:val="decimal"/>
      <w:lvlRestart w:val="1"/>
      <w:pStyle w:val="SchHeadFigures"/>
      <w:lvlText w:val="Figure %1%8:"/>
      <w:lvlJc w:val="left"/>
      <w:pPr>
        <w:tabs>
          <w:tab w:val="num" w:pos="1418"/>
        </w:tabs>
        <w:ind w:left="1418" w:hanging="1418"/>
      </w:pPr>
      <w:rPr>
        <w:rFonts w:hint="default"/>
      </w:rPr>
    </w:lvl>
    <w:lvl w:ilvl="8">
      <w:start w:val="1"/>
      <w:numFmt w:val="decimal"/>
      <w:lvlRestart w:val="1"/>
      <w:pStyle w:val="SchHeadTables"/>
      <w:lvlText w:val="Table %1%9:"/>
      <w:lvlJc w:val="left"/>
      <w:pPr>
        <w:tabs>
          <w:tab w:val="num" w:pos="1418"/>
        </w:tabs>
        <w:ind w:left="1418" w:hanging="1418"/>
      </w:pPr>
      <w:rPr>
        <w:rFonts w:hint="default"/>
      </w:rPr>
    </w:lvl>
  </w:abstractNum>
  <w:abstractNum w:abstractNumId="73">
    <w:nsid w:val="681946EC"/>
    <w:multiLevelType w:val="hybridMultilevel"/>
    <w:tmpl w:val="17266BDA"/>
    <w:lvl w:ilvl="0" w:tplc="E788C9EE">
      <w:start w:val="1"/>
      <w:numFmt w:val="bullet"/>
      <w:lvlText w:val=""/>
      <w:lvlJc w:val="left"/>
      <w:pPr>
        <w:ind w:left="720" w:hanging="360"/>
      </w:pPr>
      <w:rPr>
        <w:rFonts w:ascii="Symbol" w:hAnsi="Symbol" w:hint="default"/>
      </w:rPr>
    </w:lvl>
    <w:lvl w:ilvl="1" w:tplc="36F846E2">
      <w:start w:val="1"/>
      <w:numFmt w:val="bullet"/>
      <w:lvlText w:val="o"/>
      <w:lvlJc w:val="left"/>
      <w:pPr>
        <w:ind w:left="1440" w:hanging="360"/>
      </w:pPr>
      <w:rPr>
        <w:rFonts w:ascii="Courier New" w:hAnsi="Courier New" w:cs="Courier New" w:hint="default"/>
      </w:rPr>
    </w:lvl>
    <w:lvl w:ilvl="2" w:tplc="C3E8128A" w:tentative="1">
      <w:start w:val="1"/>
      <w:numFmt w:val="bullet"/>
      <w:lvlText w:val=""/>
      <w:lvlJc w:val="left"/>
      <w:pPr>
        <w:ind w:left="2160" w:hanging="360"/>
      </w:pPr>
      <w:rPr>
        <w:rFonts w:ascii="Wingdings" w:hAnsi="Wingdings" w:hint="default"/>
      </w:rPr>
    </w:lvl>
    <w:lvl w:ilvl="3" w:tplc="BCFA5256" w:tentative="1">
      <w:start w:val="1"/>
      <w:numFmt w:val="bullet"/>
      <w:lvlText w:val=""/>
      <w:lvlJc w:val="left"/>
      <w:pPr>
        <w:ind w:left="2880" w:hanging="360"/>
      </w:pPr>
      <w:rPr>
        <w:rFonts w:ascii="Symbol" w:hAnsi="Symbol" w:hint="default"/>
      </w:rPr>
    </w:lvl>
    <w:lvl w:ilvl="4" w:tplc="0D20E380" w:tentative="1">
      <w:start w:val="1"/>
      <w:numFmt w:val="bullet"/>
      <w:lvlText w:val="o"/>
      <w:lvlJc w:val="left"/>
      <w:pPr>
        <w:ind w:left="3600" w:hanging="360"/>
      </w:pPr>
      <w:rPr>
        <w:rFonts w:ascii="Courier New" w:hAnsi="Courier New" w:cs="Courier New" w:hint="default"/>
      </w:rPr>
    </w:lvl>
    <w:lvl w:ilvl="5" w:tplc="2DE4D9EC" w:tentative="1">
      <w:start w:val="1"/>
      <w:numFmt w:val="bullet"/>
      <w:lvlText w:val=""/>
      <w:lvlJc w:val="left"/>
      <w:pPr>
        <w:ind w:left="4320" w:hanging="360"/>
      </w:pPr>
      <w:rPr>
        <w:rFonts w:ascii="Wingdings" w:hAnsi="Wingdings" w:hint="default"/>
      </w:rPr>
    </w:lvl>
    <w:lvl w:ilvl="6" w:tplc="EDE8A68E" w:tentative="1">
      <w:start w:val="1"/>
      <w:numFmt w:val="bullet"/>
      <w:lvlText w:val=""/>
      <w:lvlJc w:val="left"/>
      <w:pPr>
        <w:ind w:left="5040" w:hanging="360"/>
      </w:pPr>
      <w:rPr>
        <w:rFonts w:ascii="Symbol" w:hAnsi="Symbol" w:hint="default"/>
      </w:rPr>
    </w:lvl>
    <w:lvl w:ilvl="7" w:tplc="2F5431D8" w:tentative="1">
      <w:start w:val="1"/>
      <w:numFmt w:val="bullet"/>
      <w:lvlText w:val="o"/>
      <w:lvlJc w:val="left"/>
      <w:pPr>
        <w:ind w:left="5760" w:hanging="360"/>
      </w:pPr>
      <w:rPr>
        <w:rFonts w:ascii="Courier New" w:hAnsi="Courier New" w:cs="Courier New" w:hint="default"/>
      </w:rPr>
    </w:lvl>
    <w:lvl w:ilvl="8" w:tplc="A80EA7DA" w:tentative="1">
      <w:start w:val="1"/>
      <w:numFmt w:val="bullet"/>
      <w:lvlText w:val=""/>
      <w:lvlJc w:val="left"/>
      <w:pPr>
        <w:ind w:left="6480" w:hanging="360"/>
      </w:pPr>
      <w:rPr>
        <w:rFonts w:ascii="Wingdings" w:hAnsi="Wingdings" w:hint="default"/>
      </w:rPr>
    </w:lvl>
  </w:abstractNum>
  <w:abstractNum w:abstractNumId="74">
    <w:nsid w:val="6D9E0E85"/>
    <w:multiLevelType w:val="multilevel"/>
    <w:tmpl w:val="6F5EE07E"/>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1418"/>
        </w:tabs>
        <w:ind w:left="1418" w:hanging="709"/>
      </w:pPr>
      <w:rPr>
        <w:rFonts w:hint="default"/>
      </w:rPr>
    </w:lvl>
    <w:lvl w:ilvl="2">
      <w:start w:val="1"/>
      <w:numFmt w:val="decimal"/>
      <w:lvlText w:val="%1.%2.%3"/>
      <w:lvlJc w:val="left"/>
      <w:pPr>
        <w:tabs>
          <w:tab w:val="num" w:pos="2126"/>
        </w:tabs>
        <w:ind w:left="2126" w:hanging="708"/>
      </w:pPr>
      <w:rPr>
        <w:rFonts w:hint="default"/>
      </w:rPr>
    </w:lvl>
    <w:lvl w:ilvl="3">
      <w:start w:val="1"/>
      <w:numFmt w:val="lowerLetter"/>
      <w:lvlText w:val="(%4)"/>
      <w:lvlJc w:val="left"/>
      <w:pPr>
        <w:tabs>
          <w:tab w:val="num" w:pos="2835"/>
        </w:tabs>
        <w:ind w:left="2835" w:hanging="709"/>
      </w:pPr>
      <w:rPr>
        <w:rFonts w:hint="default"/>
      </w:rPr>
    </w:lvl>
    <w:lvl w:ilvl="4">
      <w:start w:val="1"/>
      <w:numFmt w:val="lowerRoman"/>
      <w:lvlText w:val="(%5)"/>
      <w:lvlJc w:val="left"/>
      <w:pPr>
        <w:tabs>
          <w:tab w:val="num" w:pos="3544"/>
        </w:tabs>
        <w:ind w:left="3544" w:hanging="709"/>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75">
    <w:nsid w:val="74965E45"/>
    <w:multiLevelType w:val="multilevel"/>
    <w:tmpl w:val="F59AD61E"/>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1418"/>
        </w:tabs>
        <w:ind w:left="1418" w:hanging="709"/>
      </w:pPr>
      <w:rPr>
        <w:rFonts w:hint="default"/>
      </w:rPr>
    </w:lvl>
    <w:lvl w:ilvl="2">
      <w:start w:val="1"/>
      <w:numFmt w:val="decimal"/>
      <w:lvlText w:val="%1.%2.%3"/>
      <w:lvlJc w:val="left"/>
      <w:pPr>
        <w:tabs>
          <w:tab w:val="num" w:pos="2126"/>
        </w:tabs>
        <w:ind w:left="2126" w:hanging="708"/>
      </w:pPr>
      <w:rPr>
        <w:rFonts w:hint="default"/>
      </w:rPr>
    </w:lvl>
    <w:lvl w:ilvl="3">
      <w:start w:val="1"/>
      <w:numFmt w:val="lowerLetter"/>
      <w:lvlText w:val="(%4)"/>
      <w:lvlJc w:val="left"/>
      <w:pPr>
        <w:tabs>
          <w:tab w:val="num" w:pos="2835"/>
        </w:tabs>
        <w:ind w:left="2835" w:hanging="709"/>
      </w:pPr>
      <w:rPr>
        <w:rFonts w:hint="default"/>
      </w:rPr>
    </w:lvl>
    <w:lvl w:ilvl="4">
      <w:start w:val="1"/>
      <w:numFmt w:val="lowerRoman"/>
      <w:lvlText w:val="(%5)"/>
      <w:lvlJc w:val="left"/>
      <w:pPr>
        <w:tabs>
          <w:tab w:val="num" w:pos="3544"/>
        </w:tabs>
        <w:ind w:left="3544" w:hanging="709"/>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76">
    <w:nsid w:val="74F652A0"/>
    <w:multiLevelType w:val="multilevel"/>
    <w:tmpl w:val="37A4F21E"/>
    <w:lvl w:ilvl="0">
      <w:start w:val="1"/>
      <w:numFmt w:val="decimal"/>
      <w:lvlText w:val="%1."/>
      <w:lvlJc w:val="left"/>
      <w:pPr>
        <w:tabs>
          <w:tab w:val="num" w:pos="720"/>
        </w:tabs>
        <w:ind w:left="720" w:hanging="360"/>
      </w:pPr>
    </w:lvl>
    <w:lvl w:ilvl="1">
      <w:start w:val="1"/>
      <w:numFmt w:val="lowerRoman"/>
      <w:lvlText w:val="(%2)"/>
      <w:lvlJc w:val="left"/>
      <w:pPr>
        <w:tabs>
          <w:tab w:val="num" w:pos="1920"/>
        </w:tabs>
        <w:ind w:left="1920" w:hanging="840"/>
      </w:pPr>
      <w:rPr>
        <w:rFonts w:hint="default"/>
      </w:rPr>
    </w:lvl>
    <w:lvl w:ilvl="2">
      <w:start w:val="1"/>
      <w:numFmt w:val="lowerRoman"/>
      <w:lvlText w:val="(%3)"/>
      <w:lvlJc w:val="left"/>
      <w:pPr>
        <w:tabs>
          <w:tab w:val="num" w:pos="2160"/>
        </w:tabs>
        <w:ind w:left="2160" w:hanging="18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7">
    <w:nsid w:val="75D96909"/>
    <w:multiLevelType w:val="hybridMultilevel"/>
    <w:tmpl w:val="51D0063E"/>
    <w:lvl w:ilvl="0" w:tplc="29DC4734">
      <w:start w:val="1"/>
      <w:numFmt w:val="lowerLetter"/>
      <w:lvlText w:val="(%1)"/>
      <w:lvlJc w:val="left"/>
      <w:pPr>
        <w:ind w:left="720" w:hanging="360"/>
      </w:pPr>
      <w:rPr>
        <w:rFonts w:hint="default"/>
        <w:b w:val="0"/>
      </w:rPr>
    </w:lvl>
    <w:lvl w:ilvl="1" w:tplc="F142185E" w:tentative="1">
      <w:start w:val="1"/>
      <w:numFmt w:val="lowerLetter"/>
      <w:lvlText w:val="%2."/>
      <w:lvlJc w:val="left"/>
      <w:pPr>
        <w:ind w:left="1440" w:hanging="360"/>
      </w:pPr>
    </w:lvl>
    <w:lvl w:ilvl="2" w:tplc="42E6EE42" w:tentative="1">
      <w:start w:val="1"/>
      <w:numFmt w:val="lowerRoman"/>
      <w:lvlText w:val="%3."/>
      <w:lvlJc w:val="right"/>
      <w:pPr>
        <w:ind w:left="2160" w:hanging="180"/>
      </w:pPr>
    </w:lvl>
    <w:lvl w:ilvl="3" w:tplc="17B86672" w:tentative="1">
      <w:start w:val="1"/>
      <w:numFmt w:val="decimal"/>
      <w:lvlText w:val="%4."/>
      <w:lvlJc w:val="left"/>
      <w:pPr>
        <w:ind w:left="2880" w:hanging="360"/>
      </w:pPr>
    </w:lvl>
    <w:lvl w:ilvl="4" w:tplc="8A58B580" w:tentative="1">
      <w:start w:val="1"/>
      <w:numFmt w:val="lowerLetter"/>
      <w:lvlText w:val="%5."/>
      <w:lvlJc w:val="left"/>
      <w:pPr>
        <w:ind w:left="3600" w:hanging="360"/>
      </w:pPr>
    </w:lvl>
    <w:lvl w:ilvl="5" w:tplc="984C1472" w:tentative="1">
      <w:start w:val="1"/>
      <w:numFmt w:val="lowerRoman"/>
      <w:lvlText w:val="%6."/>
      <w:lvlJc w:val="right"/>
      <w:pPr>
        <w:ind w:left="4320" w:hanging="180"/>
      </w:pPr>
    </w:lvl>
    <w:lvl w:ilvl="6" w:tplc="D482F734" w:tentative="1">
      <w:start w:val="1"/>
      <w:numFmt w:val="decimal"/>
      <w:lvlText w:val="%7."/>
      <w:lvlJc w:val="left"/>
      <w:pPr>
        <w:ind w:left="5040" w:hanging="360"/>
      </w:pPr>
    </w:lvl>
    <w:lvl w:ilvl="7" w:tplc="4192020A" w:tentative="1">
      <w:start w:val="1"/>
      <w:numFmt w:val="lowerLetter"/>
      <w:lvlText w:val="%8."/>
      <w:lvlJc w:val="left"/>
      <w:pPr>
        <w:ind w:left="5760" w:hanging="360"/>
      </w:pPr>
    </w:lvl>
    <w:lvl w:ilvl="8" w:tplc="8FCE7A66" w:tentative="1">
      <w:start w:val="1"/>
      <w:numFmt w:val="lowerRoman"/>
      <w:lvlText w:val="%9."/>
      <w:lvlJc w:val="right"/>
      <w:pPr>
        <w:ind w:left="6480" w:hanging="180"/>
      </w:pPr>
    </w:lvl>
  </w:abstractNum>
  <w:abstractNum w:abstractNumId="78">
    <w:nsid w:val="75E23EEB"/>
    <w:multiLevelType w:val="multilevel"/>
    <w:tmpl w:val="4F468308"/>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1418"/>
        </w:tabs>
        <w:ind w:left="1418" w:hanging="709"/>
      </w:pPr>
      <w:rPr>
        <w:rFonts w:hint="default"/>
      </w:rPr>
    </w:lvl>
    <w:lvl w:ilvl="2">
      <w:start w:val="1"/>
      <w:numFmt w:val="decimal"/>
      <w:lvlText w:val="%1.%2.%3"/>
      <w:lvlJc w:val="left"/>
      <w:pPr>
        <w:tabs>
          <w:tab w:val="num" w:pos="2126"/>
        </w:tabs>
        <w:ind w:left="2126" w:hanging="708"/>
      </w:pPr>
      <w:rPr>
        <w:rFonts w:hint="default"/>
      </w:rPr>
    </w:lvl>
    <w:lvl w:ilvl="3">
      <w:start w:val="1"/>
      <w:numFmt w:val="lowerLetter"/>
      <w:lvlText w:val="(%4)"/>
      <w:lvlJc w:val="left"/>
      <w:pPr>
        <w:tabs>
          <w:tab w:val="num" w:pos="2835"/>
        </w:tabs>
        <w:ind w:left="2835" w:hanging="709"/>
      </w:pPr>
      <w:rPr>
        <w:rFonts w:hint="default"/>
      </w:rPr>
    </w:lvl>
    <w:lvl w:ilvl="4">
      <w:start w:val="1"/>
      <w:numFmt w:val="lowerRoman"/>
      <w:lvlText w:val="(%5)"/>
      <w:lvlJc w:val="left"/>
      <w:pPr>
        <w:tabs>
          <w:tab w:val="num" w:pos="3544"/>
        </w:tabs>
        <w:ind w:left="3544" w:hanging="709"/>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79">
    <w:nsid w:val="76626E22"/>
    <w:multiLevelType w:val="multilevel"/>
    <w:tmpl w:val="1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0">
    <w:nsid w:val="76933C1C"/>
    <w:multiLevelType w:val="hybridMultilevel"/>
    <w:tmpl w:val="63F06570"/>
    <w:lvl w:ilvl="0" w:tplc="91063396">
      <w:start w:val="1"/>
      <w:numFmt w:val="bullet"/>
      <w:lvlText w:val=""/>
      <w:lvlJc w:val="left"/>
      <w:pPr>
        <w:ind w:left="1571" w:hanging="360"/>
      </w:pPr>
      <w:rPr>
        <w:rFonts w:ascii="Symbol" w:hAnsi="Symbol" w:hint="default"/>
      </w:rPr>
    </w:lvl>
    <w:lvl w:ilvl="1" w:tplc="4F303488" w:tentative="1">
      <w:start w:val="1"/>
      <w:numFmt w:val="bullet"/>
      <w:lvlText w:val="o"/>
      <w:lvlJc w:val="left"/>
      <w:pPr>
        <w:ind w:left="2291" w:hanging="360"/>
      </w:pPr>
      <w:rPr>
        <w:rFonts w:ascii="Courier New" w:hAnsi="Courier New" w:cs="Courier New" w:hint="default"/>
      </w:rPr>
    </w:lvl>
    <w:lvl w:ilvl="2" w:tplc="A3929708" w:tentative="1">
      <w:start w:val="1"/>
      <w:numFmt w:val="bullet"/>
      <w:lvlText w:val=""/>
      <w:lvlJc w:val="left"/>
      <w:pPr>
        <w:ind w:left="3011" w:hanging="360"/>
      </w:pPr>
      <w:rPr>
        <w:rFonts w:ascii="Wingdings" w:hAnsi="Wingdings" w:hint="default"/>
      </w:rPr>
    </w:lvl>
    <w:lvl w:ilvl="3" w:tplc="82D81E34" w:tentative="1">
      <w:start w:val="1"/>
      <w:numFmt w:val="bullet"/>
      <w:lvlText w:val=""/>
      <w:lvlJc w:val="left"/>
      <w:pPr>
        <w:ind w:left="3731" w:hanging="360"/>
      </w:pPr>
      <w:rPr>
        <w:rFonts w:ascii="Symbol" w:hAnsi="Symbol" w:hint="default"/>
      </w:rPr>
    </w:lvl>
    <w:lvl w:ilvl="4" w:tplc="F1D05BEA" w:tentative="1">
      <w:start w:val="1"/>
      <w:numFmt w:val="bullet"/>
      <w:lvlText w:val="o"/>
      <w:lvlJc w:val="left"/>
      <w:pPr>
        <w:ind w:left="4451" w:hanging="360"/>
      </w:pPr>
      <w:rPr>
        <w:rFonts w:ascii="Courier New" w:hAnsi="Courier New" w:cs="Courier New" w:hint="default"/>
      </w:rPr>
    </w:lvl>
    <w:lvl w:ilvl="5" w:tplc="9B487E4E" w:tentative="1">
      <w:start w:val="1"/>
      <w:numFmt w:val="bullet"/>
      <w:lvlText w:val=""/>
      <w:lvlJc w:val="left"/>
      <w:pPr>
        <w:ind w:left="5171" w:hanging="360"/>
      </w:pPr>
      <w:rPr>
        <w:rFonts w:ascii="Wingdings" w:hAnsi="Wingdings" w:hint="default"/>
      </w:rPr>
    </w:lvl>
    <w:lvl w:ilvl="6" w:tplc="D9D8CB30" w:tentative="1">
      <w:start w:val="1"/>
      <w:numFmt w:val="bullet"/>
      <w:lvlText w:val=""/>
      <w:lvlJc w:val="left"/>
      <w:pPr>
        <w:ind w:left="5891" w:hanging="360"/>
      </w:pPr>
      <w:rPr>
        <w:rFonts w:ascii="Symbol" w:hAnsi="Symbol" w:hint="default"/>
      </w:rPr>
    </w:lvl>
    <w:lvl w:ilvl="7" w:tplc="A7944A36" w:tentative="1">
      <w:start w:val="1"/>
      <w:numFmt w:val="bullet"/>
      <w:lvlText w:val="o"/>
      <w:lvlJc w:val="left"/>
      <w:pPr>
        <w:ind w:left="6611" w:hanging="360"/>
      </w:pPr>
      <w:rPr>
        <w:rFonts w:ascii="Courier New" w:hAnsi="Courier New" w:cs="Courier New" w:hint="default"/>
      </w:rPr>
    </w:lvl>
    <w:lvl w:ilvl="8" w:tplc="57167886" w:tentative="1">
      <w:start w:val="1"/>
      <w:numFmt w:val="bullet"/>
      <w:lvlText w:val=""/>
      <w:lvlJc w:val="left"/>
      <w:pPr>
        <w:ind w:left="7331" w:hanging="360"/>
      </w:pPr>
      <w:rPr>
        <w:rFonts w:ascii="Wingdings" w:hAnsi="Wingdings" w:hint="default"/>
      </w:rPr>
    </w:lvl>
  </w:abstractNum>
  <w:abstractNum w:abstractNumId="81">
    <w:nsid w:val="77787DAF"/>
    <w:multiLevelType w:val="multilevel"/>
    <w:tmpl w:val="D44ADBAC"/>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1418"/>
        </w:tabs>
        <w:ind w:left="1418" w:hanging="709"/>
      </w:pPr>
      <w:rPr>
        <w:rFonts w:hint="default"/>
      </w:rPr>
    </w:lvl>
    <w:lvl w:ilvl="2">
      <w:start w:val="1"/>
      <w:numFmt w:val="decimal"/>
      <w:lvlText w:val="%1.%2.%3"/>
      <w:lvlJc w:val="left"/>
      <w:pPr>
        <w:tabs>
          <w:tab w:val="num" w:pos="2126"/>
        </w:tabs>
        <w:ind w:left="2126" w:hanging="708"/>
      </w:pPr>
      <w:rPr>
        <w:rFonts w:hint="default"/>
      </w:rPr>
    </w:lvl>
    <w:lvl w:ilvl="3">
      <w:start w:val="1"/>
      <w:numFmt w:val="lowerLetter"/>
      <w:lvlText w:val="(%4)"/>
      <w:lvlJc w:val="left"/>
      <w:pPr>
        <w:tabs>
          <w:tab w:val="num" w:pos="2835"/>
        </w:tabs>
        <w:ind w:left="2835" w:hanging="709"/>
      </w:pPr>
      <w:rPr>
        <w:rFonts w:hint="default"/>
      </w:rPr>
    </w:lvl>
    <w:lvl w:ilvl="4">
      <w:start w:val="1"/>
      <w:numFmt w:val="lowerRoman"/>
      <w:lvlText w:val="(%5)"/>
      <w:lvlJc w:val="left"/>
      <w:pPr>
        <w:tabs>
          <w:tab w:val="num" w:pos="3544"/>
        </w:tabs>
        <w:ind w:left="3544" w:hanging="709"/>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82">
    <w:nsid w:val="7799788F"/>
    <w:multiLevelType w:val="multilevel"/>
    <w:tmpl w:val="8FA8C4B4"/>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1418"/>
        </w:tabs>
        <w:ind w:left="1418" w:hanging="709"/>
      </w:pPr>
      <w:rPr>
        <w:rFonts w:hint="default"/>
      </w:rPr>
    </w:lvl>
    <w:lvl w:ilvl="2">
      <w:start w:val="1"/>
      <w:numFmt w:val="decimal"/>
      <w:lvlText w:val="%1.%2.%3"/>
      <w:lvlJc w:val="left"/>
      <w:pPr>
        <w:tabs>
          <w:tab w:val="num" w:pos="2126"/>
        </w:tabs>
        <w:ind w:left="2126" w:hanging="708"/>
      </w:pPr>
      <w:rPr>
        <w:rFonts w:hint="default"/>
      </w:rPr>
    </w:lvl>
    <w:lvl w:ilvl="3">
      <w:start w:val="1"/>
      <w:numFmt w:val="lowerLetter"/>
      <w:lvlText w:val="(%4)"/>
      <w:lvlJc w:val="left"/>
      <w:pPr>
        <w:tabs>
          <w:tab w:val="num" w:pos="2835"/>
        </w:tabs>
        <w:ind w:left="2835" w:hanging="709"/>
      </w:pPr>
      <w:rPr>
        <w:rFonts w:hint="default"/>
      </w:rPr>
    </w:lvl>
    <w:lvl w:ilvl="4">
      <w:start w:val="1"/>
      <w:numFmt w:val="lowerRoman"/>
      <w:lvlText w:val="(%5)"/>
      <w:lvlJc w:val="left"/>
      <w:pPr>
        <w:tabs>
          <w:tab w:val="num" w:pos="3544"/>
        </w:tabs>
        <w:ind w:left="3544" w:hanging="709"/>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83">
    <w:nsid w:val="79AE6065"/>
    <w:multiLevelType w:val="multilevel"/>
    <w:tmpl w:val="BCB02130"/>
    <w:styleLink w:val="Bulletliststyle"/>
    <w:lvl w:ilvl="0">
      <w:start w:val="1"/>
      <w:numFmt w:val="bullet"/>
      <w:pStyle w:val="Bullet"/>
      <w:lvlText w:val=""/>
      <w:lvlJc w:val="left"/>
      <w:pPr>
        <w:tabs>
          <w:tab w:val="num" w:pos="709"/>
        </w:tabs>
        <w:ind w:left="709" w:hanging="709"/>
      </w:pPr>
      <w:rPr>
        <w:rFonts w:ascii="Symbol" w:hAnsi="Symbol" w:hint="default"/>
      </w:rPr>
    </w:lvl>
    <w:lvl w:ilvl="1">
      <w:start w:val="1"/>
      <w:numFmt w:val="bullet"/>
      <w:lvlText w:val="o"/>
      <w:lvlJc w:val="left"/>
      <w:pPr>
        <w:tabs>
          <w:tab w:val="num" w:pos="1418"/>
        </w:tabs>
        <w:ind w:left="1418" w:hanging="709"/>
      </w:pPr>
      <w:rPr>
        <w:rFonts w:ascii="Courier New" w:hAnsi="Courier New" w:hint="default"/>
        <w:b/>
        <w:i w:val="0"/>
      </w:rPr>
    </w:lvl>
    <w:lvl w:ilvl="2">
      <w:start w:val="1"/>
      <w:numFmt w:val="bullet"/>
      <w:lvlText w:val=""/>
      <w:lvlJc w:val="left"/>
      <w:pPr>
        <w:tabs>
          <w:tab w:val="num" w:pos="2126"/>
        </w:tabs>
        <w:ind w:left="2126" w:hanging="708"/>
      </w:pPr>
      <w:rPr>
        <w:rFonts w:ascii="Wingdings 2" w:hAnsi="Wingdings 2" w:hint="default"/>
        <w:color w:val="auto"/>
        <w:u w:val="none"/>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84">
    <w:nsid w:val="79F62A6C"/>
    <w:multiLevelType w:val="multilevel"/>
    <w:tmpl w:val="93A0ED54"/>
    <w:lvl w:ilvl="0">
      <w:start w:val="1"/>
      <w:numFmt w:val="decimal"/>
      <w:lvlText w:val="PART %1"/>
      <w:lvlJc w:val="left"/>
      <w:pPr>
        <w:tabs>
          <w:tab w:val="num" w:pos="0"/>
        </w:tabs>
        <w:ind w:left="0" w:firstLine="0"/>
      </w:pPr>
      <w:rPr>
        <w:rFonts w:hint="default"/>
        <w:b/>
        <w:i w:val="0"/>
        <w:caps/>
        <w:sz w:val="32"/>
        <w:szCs w:val="32"/>
      </w:rPr>
    </w:lvl>
    <w:lvl w:ilvl="1">
      <w:start w:val="1"/>
      <w:numFmt w:val="decimal"/>
      <w:lvlText w:val="SUBPART %2"/>
      <w:lvlJc w:val="left"/>
      <w:pPr>
        <w:tabs>
          <w:tab w:val="num" w:pos="0"/>
        </w:tabs>
        <w:ind w:left="0" w:firstLine="0"/>
      </w:pPr>
      <w:rPr>
        <w:rFonts w:hint="default"/>
        <w:b w:val="0"/>
      </w:rPr>
    </w:lvl>
    <w:lvl w:ilvl="2">
      <w:start w:val="1"/>
      <w:numFmt w:val="decimal"/>
      <w:lvlText w:val="SECTION %3"/>
      <w:lvlJc w:val="left"/>
      <w:pPr>
        <w:tabs>
          <w:tab w:val="num" w:pos="0"/>
        </w:tabs>
        <w:ind w:left="0" w:firstLine="0"/>
      </w:pPr>
      <w:rPr>
        <w:rFonts w:hint="default"/>
      </w:rPr>
    </w:lvl>
    <w:lvl w:ilvl="3">
      <w:start w:val="1"/>
      <w:numFmt w:val="decimal"/>
      <w:lvlText w:val="2.10.%4"/>
      <w:lvlJc w:val="left"/>
      <w:pPr>
        <w:tabs>
          <w:tab w:val="num" w:pos="567"/>
        </w:tabs>
        <w:ind w:left="567" w:hanging="567"/>
      </w:pPr>
      <w:rPr>
        <w:rFonts w:hint="default"/>
      </w:rPr>
    </w:lvl>
    <w:lvl w:ilvl="4">
      <w:start w:val="1"/>
      <w:numFmt w:val="decimal"/>
      <w:lvlText w:val="(%5)"/>
      <w:lvlJc w:val="left"/>
      <w:pPr>
        <w:tabs>
          <w:tab w:val="num" w:pos="1134"/>
        </w:tabs>
        <w:ind w:left="1134" w:hanging="567"/>
      </w:pPr>
      <w:rPr>
        <w:rFonts w:ascii="Calibri" w:hAnsi="Calibri" w:hint="default"/>
      </w:rPr>
    </w:lvl>
    <w:lvl w:ilvl="5">
      <w:start w:val="1"/>
      <w:numFmt w:val="lowerLetter"/>
      <w:lvlText w:val="(%6)"/>
      <w:lvlJc w:val="left"/>
      <w:pPr>
        <w:tabs>
          <w:tab w:val="num" w:pos="1701"/>
        </w:tabs>
        <w:ind w:left="1701" w:hanging="567"/>
      </w:pPr>
      <w:rPr>
        <w:rFonts w:ascii="Times New Roman" w:hAnsi="Times New Roman" w:cs="Times New Roman" w:hint="default"/>
        <w:b w:val="0"/>
      </w:rPr>
    </w:lvl>
    <w:lvl w:ilvl="6">
      <w:start w:val="1"/>
      <w:numFmt w:val="lowerRoman"/>
      <w:lvlText w:val="(%7)"/>
      <w:lvlJc w:val="left"/>
      <w:pPr>
        <w:tabs>
          <w:tab w:val="num" w:pos="2268"/>
        </w:tabs>
        <w:ind w:left="2268" w:hanging="567"/>
      </w:pPr>
      <w:rPr>
        <w:rFonts w:ascii="Calibri" w:hAnsi="Calibri" w:cs="Times New Roman" w:hint="default"/>
      </w:rPr>
    </w:lvl>
    <w:lvl w:ilvl="7">
      <w:start w:val="1"/>
      <w:numFmt w:val="decimal"/>
      <w:lvlRestart w:val="0"/>
      <w:lvlText w:val="Figure %8"/>
      <w:lvlJc w:val="left"/>
      <w:pPr>
        <w:tabs>
          <w:tab w:val="num" w:pos="1418"/>
        </w:tabs>
        <w:ind w:left="1418" w:hanging="1418"/>
      </w:pPr>
      <w:rPr>
        <w:rFonts w:hint="default"/>
      </w:rPr>
    </w:lvl>
    <w:lvl w:ilvl="8">
      <w:start w:val="1"/>
      <w:numFmt w:val="decimal"/>
      <w:lvlRestart w:val="0"/>
      <w:lvlText w:val="Table %9"/>
      <w:lvlJc w:val="left"/>
      <w:pPr>
        <w:tabs>
          <w:tab w:val="num" w:pos="1418"/>
        </w:tabs>
        <w:ind w:left="1418" w:hanging="1418"/>
      </w:pPr>
      <w:rPr>
        <w:rFonts w:hint="default"/>
      </w:rPr>
    </w:lvl>
  </w:abstractNum>
  <w:abstractNum w:abstractNumId="85">
    <w:nsid w:val="7A347250"/>
    <w:multiLevelType w:val="hybridMultilevel"/>
    <w:tmpl w:val="5E8EFC8C"/>
    <w:lvl w:ilvl="0" w:tplc="6658B6DE">
      <w:start w:val="1"/>
      <w:numFmt w:val="bullet"/>
      <w:lvlText w:val=""/>
      <w:lvlJc w:val="left"/>
      <w:pPr>
        <w:ind w:left="2138" w:hanging="360"/>
      </w:pPr>
      <w:rPr>
        <w:rFonts w:ascii="Symbol" w:hAnsi="Symbol" w:hint="default"/>
      </w:rPr>
    </w:lvl>
    <w:lvl w:ilvl="1" w:tplc="DB748564" w:tentative="1">
      <w:start w:val="1"/>
      <w:numFmt w:val="bullet"/>
      <w:lvlText w:val="o"/>
      <w:lvlJc w:val="left"/>
      <w:pPr>
        <w:ind w:left="2858" w:hanging="360"/>
      </w:pPr>
      <w:rPr>
        <w:rFonts w:ascii="Courier New" w:hAnsi="Courier New" w:cs="Courier New" w:hint="default"/>
      </w:rPr>
    </w:lvl>
    <w:lvl w:ilvl="2" w:tplc="F26CB0EA" w:tentative="1">
      <w:start w:val="1"/>
      <w:numFmt w:val="bullet"/>
      <w:lvlText w:val=""/>
      <w:lvlJc w:val="left"/>
      <w:pPr>
        <w:ind w:left="3578" w:hanging="360"/>
      </w:pPr>
      <w:rPr>
        <w:rFonts w:ascii="Wingdings" w:hAnsi="Wingdings" w:hint="default"/>
      </w:rPr>
    </w:lvl>
    <w:lvl w:ilvl="3" w:tplc="9356F20C" w:tentative="1">
      <w:start w:val="1"/>
      <w:numFmt w:val="bullet"/>
      <w:lvlText w:val=""/>
      <w:lvlJc w:val="left"/>
      <w:pPr>
        <w:ind w:left="4298" w:hanging="360"/>
      </w:pPr>
      <w:rPr>
        <w:rFonts w:ascii="Symbol" w:hAnsi="Symbol" w:hint="default"/>
      </w:rPr>
    </w:lvl>
    <w:lvl w:ilvl="4" w:tplc="4702792E" w:tentative="1">
      <w:start w:val="1"/>
      <w:numFmt w:val="bullet"/>
      <w:lvlText w:val="o"/>
      <w:lvlJc w:val="left"/>
      <w:pPr>
        <w:ind w:left="5018" w:hanging="360"/>
      </w:pPr>
      <w:rPr>
        <w:rFonts w:ascii="Courier New" w:hAnsi="Courier New" w:cs="Courier New" w:hint="default"/>
      </w:rPr>
    </w:lvl>
    <w:lvl w:ilvl="5" w:tplc="3E024454" w:tentative="1">
      <w:start w:val="1"/>
      <w:numFmt w:val="bullet"/>
      <w:lvlText w:val=""/>
      <w:lvlJc w:val="left"/>
      <w:pPr>
        <w:ind w:left="5738" w:hanging="360"/>
      </w:pPr>
      <w:rPr>
        <w:rFonts w:ascii="Wingdings" w:hAnsi="Wingdings" w:hint="default"/>
      </w:rPr>
    </w:lvl>
    <w:lvl w:ilvl="6" w:tplc="C0FADED0" w:tentative="1">
      <w:start w:val="1"/>
      <w:numFmt w:val="bullet"/>
      <w:lvlText w:val=""/>
      <w:lvlJc w:val="left"/>
      <w:pPr>
        <w:ind w:left="6458" w:hanging="360"/>
      </w:pPr>
      <w:rPr>
        <w:rFonts w:ascii="Symbol" w:hAnsi="Symbol" w:hint="default"/>
      </w:rPr>
    </w:lvl>
    <w:lvl w:ilvl="7" w:tplc="751643A8" w:tentative="1">
      <w:start w:val="1"/>
      <w:numFmt w:val="bullet"/>
      <w:lvlText w:val="o"/>
      <w:lvlJc w:val="left"/>
      <w:pPr>
        <w:ind w:left="7178" w:hanging="360"/>
      </w:pPr>
      <w:rPr>
        <w:rFonts w:ascii="Courier New" w:hAnsi="Courier New" w:cs="Courier New" w:hint="default"/>
      </w:rPr>
    </w:lvl>
    <w:lvl w:ilvl="8" w:tplc="F348C9D0" w:tentative="1">
      <w:start w:val="1"/>
      <w:numFmt w:val="bullet"/>
      <w:lvlText w:val=""/>
      <w:lvlJc w:val="left"/>
      <w:pPr>
        <w:ind w:left="7898" w:hanging="360"/>
      </w:pPr>
      <w:rPr>
        <w:rFonts w:ascii="Wingdings" w:hAnsi="Wingdings" w:hint="default"/>
      </w:rPr>
    </w:lvl>
  </w:abstractNum>
  <w:abstractNum w:abstractNumId="86">
    <w:nsid w:val="7C55099B"/>
    <w:multiLevelType w:val="multilevel"/>
    <w:tmpl w:val="66928652"/>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1418"/>
        </w:tabs>
        <w:ind w:left="1418" w:hanging="709"/>
      </w:pPr>
      <w:rPr>
        <w:rFonts w:hint="default"/>
      </w:rPr>
    </w:lvl>
    <w:lvl w:ilvl="2">
      <w:start w:val="1"/>
      <w:numFmt w:val="bullet"/>
      <w:lvlText w:val=""/>
      <w:lvlJc w:val="left"/>
      <w:pPr>
        <w:tabs>
          <w:tab w:val="num" w:pos="2126"/>
        </w:tabs>
        <w:ind w:left="2126" w:hanging="708"/>
      </w:pPr>
      <w:rPr>
        <w:rFonts w:ascii="Symbol" w:hAnsi="Symbol" w:hint="default"/>
      </w:rPr>
    </w:lvl>
    <w:lvl w:ilvl="3">
      <w:start w:val="1"/>
      <w:numFmt w:val="lowerLetter"/>
      <w:lvlText w:val="(%4)"/>
      <w:lvlJc w:val="left"/>
      <w:pPr>
        <w:tabs>
          <w:tab w:val="num" w:pos="2835"/>
        </w:tabs>
        <w:ind w:left="2835" w:hanging="709"/>
      </w:pPr>
      <w:rPr>
        <w:rFonts w:hint="default"/>
      </w:rPr>
    </w:lvl>
    <w:lvl w:ilvl="4">
      <w:start w:val="1"/>
      <w:numFmt w:val="lowerRoman"/>
      <w:lvlText w:val="(%5)"/>
      <w:lvlJc w:val="left"/>
      <w:pPr>
        <w:tabs>
          <w:tab w:val="num" w:pos="3544"/>
        </w:tabs>
        <w:ind w:left="3544" w:hanging="709"/>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87">
    <w:nsid w:val="7CCB3E2C"/>
    <w:multiLevelType w:val="hybridMultilevel"/>
    <w:tmpl w:val="94A29726"/>
    <w:lvl w:ilvl="0" w:tplc="137E3C3C">
      <w:numFmt w:val="bullet"/>
      <w:pStyle w:val="Level2bullet"/>
      <w:lvlText w:val=""/>
      <w:lvlJc w:val="left"/>
      <w:pPr>
        <w:tabs>
          <w:tab w:val="num" w:pos="568"/>
        </w:tabs>
        <w:ind w:left="568" w:hanging="284"/>
      </w:pPr>
      <w:rPr>
        <w:rFonts w:ascii="Symbol" w:eastAsia="Calibri" w:hAnsi="Symbol" w:cs="Garamond" w:hint="default"/>
      </w:rPr>
    </w:lvl>
    <w:lvl w:ilvl="1" w:tplc="124C5BD8" w:tentative="1">
      <w:start w:val="1"/>
      <w:numFmt w:val="bullet"/>
      <w:lvlText w:val="o"/>
      <w:lvlJc w:val="left"/>
      <w:pPr>
        <w:tabs>
          <w:tab w:val="num" w:pos="1440"/>
        </w:tabs>
        <w:ind w:left="1440" w:hanging="360"/>
      </w:pPr>
      <w:rPr>
        <w:rFonts w:ascii="Courier New" w:hAnsi="Courier New" w:cs="Courier New" w:hint="default"/>
      </w:rPr>
    </w:lvl>
    <w:lvl w:ilvl="2" w:tplc="DD92C276" w:tentative="1">
      <w:start w:val="1"/>
      <w:numFmt w:val="bullet"/>
      <w:lvlText w:val=""/>
      <w:lvlJc w:val="left"/>
      <w:pPr>
        <w:tabs>
          <w:tab w:val="num" w:pos="2160"/>
        </w:tabs>
        <w:ind w:left="2160" w:hanging="360"/>
      </w:pPr>
      <w:rPr>
        <w:rFonts w:ascii="Wingdings" w:hAnsi="Wingdings" w:hint="default"/>
      </w:rPr>
    </w:lvl>
    <w:lvl w:ilvl="3" w:tplc="D1067466" w:tentative="1">
      <w:start w:val="1"/>
      <w:numFmt w:val="bullet"/>
      <w:lvlText w:val=""/>
      <w:lvlJc w:val="left"/>
      <w:pPr>
        <w:tabs>
          <w:tab w:val="num" w:pos="2880"/>
        </w:tabs>
        <w:ind w:left="2880" w:hanging="360"/>
      </w:pPr>
      <w:rPr>
        <w:rFonts w:ascii="Symbol" w:hAnsi="Symbol" w:hint="default"/>
      </w:rPr>
    </w:lvl>
    <w:lvl w:ilvl="4" w:tplc="E8021CB2" w:tentative="1">
      <w:start w:val="1"/>
      <w:numFmt w:val="bullet"/>
      <w:lvlText w:val="o"/>
      <w:lvlJc w:val="left"/>
      <w:pPr>
        <w:tabs>
          <w:tab w:val="num" w:pos="3600"/>
        </w:tabs>
        <w:ind w:left="3600" w:hanging="360"/>
      </w:pPr>
      <w:rPr>
        <w:rFonts w:ascii="Courier New" w:hAnsi="Courier New" w:cs="Courier New" w:hint="default"/>
      </w:rPr>
    </w:lvl>
    <w:lvl w:ilvl="5" w:tplc="4E04412E" w:tentative="1">
      <w:start w:val="1"/>
      <w:numFmt w:val="bullet"/>
      <w:lvlText w:val=""/>
      <w:lvlJc w:val="left"/>
      <w:pPr>
        <w:tabs>
          <w:tab w:val="num" w:pos="4320"/>
        </w:tabs>
        <w:ind w:left="4320" w:hanging="360"/>
      </w:pPr>
      <w:rPr>
        <w:rFonts w:ascii="Wingdings" w:hAnsi="Wingdings" w:hint="default"/>
      </w:rPr>
    </w:lvl>
    <w:lvl w:ilvl="6" w:tplc="D160FC5E" w:tentative="1">
      <w:start w:val="1"/>
      <w:numFmt w:val="bullet"/>
      <w:lvlText w:val=""/>
      <w:lvlJc w:val="left"/>
      <w:pPr>
        <w:tabs>
          <w:tab w:val="num" w:pos="5040"/>
        </w:tabs>
        <w:ind w:left="5040" w:hanging="360"/>
      </w:pPr>
      <w:rPr>
        <w:rFonts w:ascii="Symbol" w:hAnsi="Symbol" w:hint="default"/>
      </w:rPr>
    </w:lvl>
    <w:lvl w:ilvl="7" w:tplc="37984D78" w:tentative="1">
      <w:start w:val="1"/>
      <w:numFmt w:val="bullet"/>
      <w:lvlText w:val="o"/>
      <w:lvlJc w:val="left"/>
      <w:pPr>
        <w:tabs>
          <w:tab w:val="num" w:pos="5760"/>
        </w:tabs>
        <w:ind w:left="5760" w:hanging="360"/>
      </w:pPr>
      <w:rPr>
        <w:rFonts w:ascii="Courier New" w:hAnsi="Courier New" w:cs="Courier New" w:hint="default"/>
      </w:rPr>
    </w:lvl>
    <w:lvl w:ilvl="8" w:tplc="82FA33F0" w:tentative="1">
      <w:start w:val="1"/>
      <w:numFmt w:val="bullet"/>
      <w:lvlText w:val=""/>
      <w:lvlJc w:val="left"/>
      <w:pPr>
        <w:tabs>
          <w:tab w:val="num" w:pos="6480"/>
        </w:tabs>
        <w:ind w:left="6480" w:hanging="360"/>
      </w:pPr>
      <w:rPr>
        <w:rFonts w:ascii="Wingdings" w:hAnsi="Wingdings" w:hint="default"/>
      </w:rPr>
    </w:lvl>
  </w:abstractNum>
  <w:abstractNum w:abstractNumId="88">
    <w:nsid w:val="7CD12C8A"/>
    <w:multiLevelType w:val="hybridMultilevel"/>
    <w:tmpl w:val="CA7E0266"/>
    <w:lvl w:ilvl="0" w:tplc="9656C8C4">
      <w:start w:val="1"/>
      <w:numFmt w:val="lowerLetter"/>
      <w:lvlText w:val="(%1)"/>
      <w:lvlJc w:val="left"/>
      <w:pPr>
        <w:ind w:left="468" w:hanging="360"/>
      </w:pPr>
      <w:rPr>
        <w:rFonts w:hint="default"/>
      </w:rPr>
    </w:lvl>
    <w:lvl w:ilvl="1" w:tplc="9F6212F6" w:tentative="1">
      <w:start w:val="1"/>
      <w:numFmt w:val="lowerLetter"/>
      <w:lvlText w:val="%2."/>
      <w:lvlJc w:val="left"/>
      <w:pPr>
        <w:ind w:left="1188" w:hanging="360"/>
      </w:pPr>
    </w:lvl>
    <w:lvl w:ilvl="2" w:tplc="DCEE3022" w:tentative="1">
      <w:start w:val="1"/>
      <w:numFmt w:val="lowerRoman"/>
      <w:lvlText w:val="%3."/>
      <w:lvlJc w:val="right"/>
      <w:pPr>
        <w:ind w:left="1908" w:hanging="180"/>
      </w:pPr>
    </w:lvl>
    <w:lvl w:ilvl="3" w:tplc="ED78DA2E" w:tentative="1">
      <w:start w:val="1"/>
      <w:numFmt w:val="decimal"/>
      <w:lvlText w:val="%4."/>
      <w:lvlJc w:val="left"/>
      <w:pPr>
        <w:ind w:left="2628" w:hanging="360"/>
      </w:pPr>
    </w:lvl>
    <w:lvl w:ilvl="4" w:tplc="B402498E" w:tentative="1">
      <w:start w:val="1"/>
      <w:numFmt w:val="lowerLetter"/>
      <w:lvlText w:val="%5."/>
      <w:lvlJc w:val="left"/>
      <w:pPr>
        <w:ind w:left="3348" w:hanging="360"/>
      </w:pPr>
    </w:lvl>
    <w:lvl w:ilvl="5" w:tplc="604834FE" w:tentative="1">
      <w:start w:val="1"/>
      <w:numFmt w:val="lowerRoman"/>
      <w:lvlText w:val="%6."/>
      <w:lvlJc w:val="right"/>
      <w:pPr>
        <w:ind w:left="4068" w:hanging="180"/>
      </w:pPr>
    </w:lvl>
    <w:lvl w:ilvl="6" w:tplc="7004B17E" w:tentative="1">
      <w:start w:val="1"/>
      <w:numFmt w:val="decimal"/>
      <w:lvlText w:val="%7."/>
      <w:lvlJc w:val="left"/>
      <w:pPr>
        <w:ind w:left="4788" w:hanging="360"/>
      </w:pPr>
    </w:lvl>
    <w:lvl w:ilvl="7" w:tplc="CBD6658E" w:tentative="1">
      <w:start w:val="1"/>
      <w:numFmt w:val="lowerLetter"/>
      <w:lvlText w:val="%8."/>
      <w:lvlJc w:val="left"/>
      <w:pPr>
        <w:ind w:left="5508" w:hanging="360"/>
      </w:pPr>
    </w:lvl>
    <w:lvl w:ilvl="8" w:tplc="6588B2F8" w:tentative="1">
      <w:start w:val="1"/>
      <w:numFmt w:val="lowerRoman"/>
      <w:lvlText w:val="%9."/>
      <w:lvlJc w:val="right"/>
      <w:pPr>
        <w:ind w:left="6228" w:hanging="180"/>
      </w:pPr>
    </w:lvl>
  </w:abstractNum>
  <w:num w:numId="1">
    <w:abstractNumId w:val="58"/>
  </w:num>
  <w:num w:numId="2">
    <w:abstractNumId w:val="58"/>
  </w:num>
  <w:num w:numId="3">
    <w:abstractNumId w:val="59"/>
  </w:num>
  <w:num w:numId="4">
    <w:abstractNumId w:val="83"/>
  </w:num>
  <w:num w:numId="5">
    <w:abstractNumId w:val="60"/>
  </w:num>
  <w:num w:numId="6">
    <w:abstractNumId w:val="87"/>
  </w:num>
  <w:num w:numId="7">
    <w:abstractNumId w:val="14"/>
  </w:num>
  <w:num w:numId="8">
    <w:abstractNumId w:val="6"/>
  </w:num>
  <w:num w:numId="9">
    <w:abstractNumId w:val="9"/>
  </w:num>
  <w:num w:numId="10">
    <w:abstractNumId w:val="26"/>
  </w:num>
  <w:num w:numId="11">
    <w:abstractNumId w:val="36"/>
  </w:num>
  <w:num w:numId="12">
    <w:abstractNumId w:val="21"/>
  </w:num>
  <w:num w:numId="13">
    <w:abstractNumId w:val="44"/>
  </w:num>
  <w:num w:numId="14">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5"/>
  </w:num>
  <w:num w:numId="16">
    <w:abstractNumId w:val="1"/>
  </w:num>
  <w:num w:numId="17">
    <w:abstractNumId w:val="65"/>
  </w:num>
  <w:num w:numId="18">
    <w:abstractNumId w:val="27"/>
  </w:num>
  <w:num w:numId="19">
    <w:abstractNumId w:val="67"/>
  </w:num>
  <w:num w:numId="20">
    <w:abstractNumId w:val="13"/>
  </w:num>
  <w:num w:numId="21">
    <w:abstractNumId w:val="37"/>
  </w:num>
  <w:num w:numId="22">
    <w:abstractNumId w:val="64"/>
  </w:num>
  <w:num w:numId="23">
    <w:abstractNumId w:val="52"/>
  </w:num>
  <w:num w:numId="24">
    <w:abstractNumId w:val="70"/>
  </w:num>
  <w:num w:numId="25">
    <w:abstractNumId w:val="77"/>
  </w:num>
  <w:num w:numId="26">
    <w:abstractNumId w:val="25"/>
  </w:num>
  <w:num w:numId="27">
    <w:abstractNumId w:val="17"/>
  </w:num>
  <w:num w:numId="28">
    <w:abstractNumId w:val="57"/>
  </w:num>
  <w:num w:numId="29">
    <w:abstractNumId w:val="43"/>
  </w:num>
  <w:num w:numId="30">
    <w:abstractNumId w:val="29"/>
  </w:num>
  <w:num w:numId="31">
    <w:abstractNumId w:val="88"/>
  </w:num>
  <w:num w:numId="32">
    <w:abstractNumId w:val="51"/>
  </w:num>
  <w:num w:numId="33">
    <w:abstractNumId w:val="12"/>
  </w:num>
  <w:num w:numId="34">
    <w:abstractNumId w:val="10"/>
  </w:num>
  <w:num w:numId="35">
    <w:abstractNumId w:val="69"/>
  </w:num>
  <w:num w:numId="36">
    <w:abstractNumId w:val="72"/>
  </w:num>
  <w:num w:numId="37">
    <w:abstractNumId w:val="55"/>
  </w:num>
  <w:num w:numId="38">
    <w:abstractNumId w:val="32"/>
  </w:num>
  <w:num w:numId="39">
    <w:abstractNumId w:val="61"/>
  </w:num>
  <w:num w:numId="40">
    <w:abstractNumId w:val="28"/>
  </w:num>
  <w:num w:numId="41">
    <w:abstractNumId w:val="63"/>
  </w:num>
  <w:num w:numId="42">
    <w:abstractNumId w:val="49"/>
    <w:lvlOverride w:ilvl="0">
      <w:startOverride w:val="1"/>
    </w:lvlOverride>
    <w:lvlOverride w:ilvl="1">
      <w:startOverride w:val="1"/>
    </w:lvlOverride>
    <w:lvlOverride w:ilvl="2">
      <w:startOverride w:val="1"/>
    </w:lvlOverride>
    <w:lvlOverride w:ilvl="3">
      <w:startOverride w:val="1"/>
    </w:lvlOverride>
    <w:lvlOverride w:ilvl="4">
      <w:startOverride w:val="5"/>
    </w:lvlOverride>
    <w:lvlOverride w:ilvl="5">
      <w:startOverride w:val="1"/>
    </w:lvlOverride>
    <w:lvlOverride w:ilvl="6">
      <w:startOverride w:val="1"/>
    </w:lvlOverride>
    <w:lvlOverride w:ilvl="7">
      <w:startOverride w:val="1"/>
    </w:lvlOverride>
    <w:lvlOverride w:ilvl="8">
      <w:startOverride w:val="1"/>
    </w:lvlOverride>
  </w:num>
  <w:num w:numId="43">
    <w:abstractNumId w:val="84"/>
  </w:num>
  <w:num w:numId="44">
    <w:abstractNumId w:val="11"/>
  </w:num>
  <w:num w:numId="45">
    <w:abstractNumId w:val="79"/>
  </w:num>
  <w:num w:numId="46">
    <w:abstractNumId w:val="24"/>
  </w:num>
  <w:num w:numId="47">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82"/>
  </w:num>
  <w:num w:numId="49">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66"/>
  </w:num>
  <w:num w:numId="5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42"/>
  </w:num>
  <w:num w:numId="57">
    <w:abstractNumId w:val="76"/>
  </w:num>
  <w:num w:numId="58">
    <w:abstractNumId w:val="45"/>
  </w:num>
  <w:num w:numId="5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80"/>
  </w:num>
  <w:num w:numId="64">
    <w:abstractNumId w:val="41"/>
  </w:num>
  <w:num w:numId="65">
    <w:abstractNumId w:val="33"/>
  </w:num>
  <w:num w:numId="6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73"/>
  </w:num>
  <w:num w:numId="68">
    <w:abstractNumId w:val="86"/>
  </w:num>
  <w:num w:numId="69">
    <w:abstractNumId w:val="48"/>
  </w:num>
  <w:num w:numId="70">
    <w:abstractNumId w:val="38"/>
  </w:num>
  <w:num w:numId="71">
    <w:abstractNumId w:val="54"/>
  </w:num>
  <w:num w:numId="72">
    <w:abstractNumId w:val="56"/>
  </w:num>
  <w:num w:numId="73">
    <w:abstractNumId w:val="8"/>
  </w:num>
  <w:num w:numId="74">
    <w:abstractNumId w:val="23"/>
  </w:num>
  <w:num w:numId="75">
    <w:abstractNumId w:val="40"/>
  </w:num>
  <w:num w:numId="76">
    <w:abstractNumId w:val="30"/>
  </w:num>
  <w:num w:numId="77">
    <w:abstractNumId w:val="47"/>
  </w:num>
  <w:num w:numId="78">
    <w:abstractNumId w:val="34"/>
  </w:num>
  <w:num w:numId="79">
    <w:abstractNumId w:val="4"/>
  </w:num>
  <w:num w:numId="80">
    <w:abstractNumId w:val="16"/>
  </w:num>
  <w:num w:numId="81">
    <w:abstractNumId w:val="50"/>
  </w:num>
  <w:num w:numId="82">
    <w:abstractNumId w:val="46"/>
  </w:num>
  <w:num w:numId="83">
    <w:abstractNumId w:val="18"/>
  </w:num>
  <w:num w:numId="84">
    <w:abstractNumId w:val="7"/>
  </w:num>
  <w:num w:numId="85">
    <w:abstractNumId w:val="39"/>
  </w:num>
  <w:num w:numId="86">
    <w:abstractNumId w:val="45"/>
  </w:num>
  <w:num w:numId="87">
    <w:abstractNumId w:val="45"/>
  </w:num>
  <w:num w:numId="88">
    <w:abstractNumId w:val="45"/>
  </w:num>
  <w:num w:numId="89">
    <w:abstractNumId w:val="45"/>
  </w:num>
  <w:num w:numId="90">
    <w:abstractNumId w:val="45"/>
  </w:num>
  <w:num w:numId="91">
    <w:abstractNumId w:val="31"/>
  </w:num>
  <w:num w:numId="92">
    <w:abstractNumId w:val="45"/>
  </w:num>
  <w:num w:numId="93">
    <w:abstractNumId w:val="45"/>
  </w:num>
  <w:num w:numId="94">
    <w:abstractNumId w:val="0"/>
  </w:num>
  <w:num w:numId="95">
    <w:abstractNumId w:val="74"/>
  </w:num>
  <w:num w:numId="96">
    <w:abstractNumId w:val="45"/>
  </w:num>
  <w:num w:numId="97">
    <w:abstractNumId w:val="45"/>
  </w:num>
  <w:num w:numId="98">
    <w:abstractNumId w:val="45"/>
  </w:num>
  <w:num w:numId="99">
    <w:abstractNumId w:val="45"/>
  </w:num>
  <w:num w:numId="100">
    <w:abstractNumId w:val="45"/>
  </w:num>
  <w:num w:numId="101">
    <w:abstractNumId w:val="45"/>
  </w:num>
  <w:num w:numId="102">
    <w:abstractNumId w:val="81"/>
  </w:num>
  <w:num w:numId="103">
    <w:abstractNumId w:val="45"/>
  </w:num>
  <w:num w:numId="104">
    <w:abstractNumId w:val="72"/>
  </w:num>
  <w:num w:numId="105">
    <w:abstractNumId w:val="71"/>
  </w:num>
  <w:num w:numId="106">
    <w:abstractNumId w:val="15"/>
  </w:num>
  <w:num w:numId="107">
    <w:abstractNumId w:val="45"/>
  </w:num>
  <w:num w:numId="108">
    <w:abstractNumId w:val="45"/>
  </w:num>
  <w:num w:numId="109">
    <w:abstractNumId w:val="45"/>
  </w:num>
  <w:num w:numId="110">
    <w:abstractNumId w:val="45"/>
  </w:num>
  <w:num w:numId="111">
    <w:abstractNumId w:val="45"/>
  </w:num>
  <w:num w:numId="112">
    <w:abstractNumId w:val="45"/>
  </w:num>
  <w:num w:numId="113">
    <w:abstractNumId w:val="45"/>
  </w:num>
  <w:num w:numId="114">
    <w:abstractNumId w:val="45"/>
  </w:num>
  <w:num w:numId="115">
    <w:abstractNumId w:val="45"/>
  </w:num>
  <w:num w:numId="116">
    <w:abstractNumId w:val="45"/>
  </w:num>
  <w:num w:numId="117">
    <w:abstractNumId w:val="45"/>
  </w:num>
  <w:num w:numId="118">
    <w:abstractNumId w:val="45"/>
  </w:num>
  <w:num w:numId="119">
    <w:abstractNumId w:val="45"/>
  </w:num>
  <w:num w:numId="120">
    <w:abstractNumId w:val="3"/>
  </w:num>
  <w:num w:numId="121">
    <w:abstractNumId w:val="19"/>
  </w:num>
  <w:num w:numId="122">
    <w:abstractNumId w:val="85"/>
  </w:num>
  <w:num w:numId="123">
    <w:abstractNumId w:val="45"/>
  </w:num>
  <w:num w:numId="124">
    <w:abstractNumId w:val="75"/>
  </w:num>
  <w:num w:numId="125">
    <w:abstractNumId w:val="45"/>
  </w:num>
  <w:num w:numId="126">
    <w:abstractNumId w:val="45"/>
  </w:num>
  <w:num w:numId="127">
    <w:abstractNumId w:val="45"/>
  </w:num>
  <w:num w:numId="128">
    <w:abstractNumId w:val="45"/>
  </w:num>
  <w:num w:numId="129">
    <w:abstractNumId w:val="45"/>
  </w:num>
  <w:num w:numId="130">
    <w:abstractNumId w:val="45"/>
  </w:num>
  <w:num w:numId="131">
    <w:abstractNumId w:val="45"/>
  </w:num>
  <w:num w:numId="132">
    <w:abstractNumId w:val="45"/>
  </w:num>
  <w:num w:numId="133">
    <w:abstractNumId w:val="45"/>
  </w:num>
  <w:num w:numId="134">
    <w:abstractNumId w:val="45"/>
  </w:num>
  <w:num w:numId="135">
    <w:abstractNumId w:val="45"/>
  </w:num>
  <w:num w:numId="136">
    <w:abstractNumId w:val="45"/>
  </w:num>
  <w:num w:numId="137">
    <w:abstractNumId w:val="45"/>
  </w:num>
  <w:num w:numId="138">
    <w:abstractNumId w:val="45"/>
  </w:num>
  <w:num w:numId="139">
    <w:abstractNumId w:val="5"/>
  </w:num>
  <w:num w:numId="14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abstractNumId w:val="20"/>
  </w:num>
  <w:num w:numId="142">
    <w:abstractNumId w:val="45"/>
  </w:num>
  <w:num w:numId="14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abstractNumId w:val="62"/>
  </w:num>
  <w:num w:numId="148">
    <w:abstractNumId w:val="20"/>
  </w:num>
  <w:num w:numId="149">
    <w:abstractNumId w:val="20"/>
  </w:num>
  <w:num w:numId="150">
    <w:abstractNumId w:val="53"/>
  </w:num>
  <w:num w:numId="151">
    <w:abstractNumId w:val="2"/>
  </w:num>
  <w:num w:numId="152">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20"/>
  </w:num>
  <w:num w:numId="155">
    <w:abstractNumId w:val="20"/>
  </w:num>
  <w:num w:numId="15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abstractNumId w:val="5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stylePaneFormatFilter w:val="3F01"/>
  <w:defaultTabStop w:val="720"/>
  <w:drawingGridHorizontalSpacing w:val="120"/>
  <w:displayHorizontalDrawingGridEvery w:val="0"/>
  <w:displayVerticalDrawingGridEvery w:val="0"/>
  <w:noPunctuationKerning/>
  <w:characterSpacingControl w:val="doNotCompress"/>
  <w:hdrShapeDefaults>
    <o:shapedefaults v:ext="edit" spidmax="329729"/>
  </w:hdrShapeDefaults>
  <w:footnotePr>
    <w:footnote w:id="-1"/>
    <w:footnote w:id="0"/>
  </w:footnotePr>
  <w:endnotePr>
    <w:endnote w:id="-1"/>
    <w:endnote w:id="0"/>
  </w:endnotePr>
  <w:compat/>
  <w:docVars>
    <w:docVar w:name="LastSavedAs" w:val="1397674.5"/>
    <w:docVar w:name="WordOperator" w:val="AMW"/>
  </w:docVars>
  <w:rsids>
    <w:rsidRoot w:val="009844DA"/>
    <w:rsid w:val="000008EC"/>
    <w:rsid w:val="00001F6B"/>
    <w:rsid w:val="000024D4"/>
    <w:rsid w:val="00004445"/>
    <w:rsid w:val="00004EE6"/>
    <w:rsid w:val="00010E1E"/>
    <w:rsid w:val="000118ED"/>
    <w:rsid w:val="00012AF2"/>
    <w:rsid w:val="00015D53"/>
    <w:rsid w:val="00020D17"/>
    <w:rsid w:val="000234BB"/>
    <w:rsid w:val="000271AD"/>
    <w:rsid w:val="00031D0C"/>
    <w:rsid w:val="00034168"/>
    <w:rsid w:val="000423DE"/>
    <w:rsid w:val="00042BA7"/>
    <w:rsid w:val="0004332B"/>
    <w:rsid w:val="00051411"/>
    <w:rsid w:val="0005253E"/>
    <w:rsid w:val="000532A1"/>
    <w:rsid w:val="000535F0"/>
    <w:rsid w:val="00056FA2"/>
    <w:rsid w:val="0005720D"/>
    <w:rsid w:val="0006083E"/>
    <w:rsid w:val="0006322D"/>
    <w:rsid w:val="0006417B"/>
    <w:rsid w:val="00066D2D"/>
    <w:rsid w:val="00075B56"/>
    <w:rsid w:val="0007650D"/>
    <w:rsid w:val="000813C9"/>
    <w:rsid w:val="00084DF8"/>
    <w:rsid w:val="00085D27"/>
    <w:rsid w:val="00087DB9"/>
    <w:rsid w:val="00087F5D"/>
    <w:rsid w:val="000909C9"/>
    <w:rsid w:val="00092A55"/>
    <w:rsid w:val="00092BDD"/>
    <w:rsid w:val="00094AE2"/>
    <w:rsid w:val="00096237"/>
    <w:rsid w:val="000A38BA"/>
    <w:rsid w:val="000A75A2"/>
    <w:rsid w:val="000B08C6"/>
    <w:rsid w:val="000B1173"/>
    <w:rsid w:val="000C09C5"/>
    <w:rsid w:val="000C0FEC"/>
    <w:rsid w:val="000C64CE"/>
    <w:rsid w:val="000D0799"/>
    <w:rsid w:val="000D08C3"/>
    <w:rsid w:val="000D2D47"/>
    <w:rsid w:val="000D6FA8"/>
    <w:rsid w:val="000E04E6"/>
    <w:rsid w:val="000E0ED7"/>
    <w:rsid w:val="000E4BFA"/>
    <w:rsid w:val="000E5445"/>
    <w:rsid w:val="000E59D0"/>
    <w:rsid w:val="000E7B09"/>
    <w:rsid w:val="000F1887"/>
    <w:rsid w:val="000F2AAB"/>
    <w:rsid w:val="000F760E"/>
    <w:rsid w:val="00102A06"/>
    <w:rsid w:val="00104105"/>
    <w:rsid w:val="00105A53"/>
    <w:rsid w:val="00105E2D"/>
    <w:rsid w:val="001100D3"/>
    <w:rsid w:val="00112A5F"/>
    <w:rsid w:val="001132DE"/>
    <w:rsid w:val="0011607B"/>
    <w:rsid w:val="00117C44"/>
    <w:rsid w:val="001204E5"/>
    <w:rsid w:val="00121A5D"/>
    <w:rsid w:val="00124A7A"/>
    <w:rsid w:val="00125D61"/>
    <w:rsid w:val="00126228"/>
    <w:rsid w:val="001269E5"/>
    <w:rsid w:val="00126C06"/>
    <w:rsid w:val="001274DD"/>
    <w:rsid w:val="00146724"/>
    <w:rsid w:val="001517A0"/>
    <w:rsid w:val="00153936"/>
    <w:rsid w:val="00154A7F"/>
    <w:rsid w:val="001566BF"/>
    <w:rsid w:val="00157EF5"/>
    <w:rsid w:val="00162C95"/>
    <w:rsid w:val="001646D6"/>
    <w:rsid w:val="001652E3"/>
    <w:rsid w:val="00167367"/>
    <w:rsid w:val="00170E7F"/>
    <w:rsid w:val="00171F4C"/>
    <w:rsid w:val="00172F1F"/>
    <w:rsid w:val="00174071"/>
    <w:rsid w:val="00176486"/>
    <w:rsid w:val="00176615"/>
    <w:rsid w:val="00180A21"/>
    <w:rsid w:val="00181319"/>
    <w:rsid w:val="0018664D"/>
    <w:rsid w:val="001913A5"/>
    <w:rsid w:val="00191DAC"/>
    <w:rsid w:val="001922FB"/>
    <w:rsid w:val="00194144"/>
    <w:rsid w:val="001948F4"/>
    <w:rsid w:val="001A135A"/>
    <w:rsid w:val="001A20D0"/>
    <w:rsid w:val="001A2C83"/>
    <w:rsid w:val="001A6AC7"/>
    <w:rsid w:val="001A76F3"/>
    <w:rsid w:val="001B0C16"/>
    <w:rsid w:val="001B1FF1"/>
    <w:rsid w:val="001B496B"/>
    <w:rsid w:val="001B771A"/>
    <w:rsid w:val="001C11A3"/>
    <w:rsid w:val="001C3C39"/>
    <w:rsid w:val="001C46CD"/>
    <w:rsid w:val="001C60EF"/>
    <w:rsid w:val="001C689B"/>
    <w:rsid w:val="001D0B53"/>
    <w:rsid w:val="001D7657"/>
    <w:rsid w:val="001E0F2D"/>
    <w:rsid w:val="001E54DF"/>
    <w:rsid w:val="001F1B53"/>
    <w:rsid w:val="001F24B8"/>
    <w:rsid w:val="001F352B"/>
    <w:rsid w:val="001F552F"/>
    <w:rsid w:val="002005FF"/>
    <w:rsid w:val="002008D7"/>
    <w:rsid w:val="0020267E"/>
    <w:rsid w:val="0020413A"/>
    <w:rsid w:val="002045EF"/>
    <w:rsid w:val="00207624"/>
    <w:rsid w:val="00210B7D"/>
    <w:rsid w:val="002120DB"/>
    <w:rsid w:val="00213A8E"/>
    <w:rsid w:val="002146AF"/>
    <w:rsid w:val="0021573B"/>
    <w:rsid w:val="002200D7"/>
    <w:rsid w:val="002213DD"/>
    <w:rsid w:val="00222031"/>
    <w:rsid w:val="00223E26"/>
    <w:rsid w:val="002244D5"/>
    <w:rsid w:val="002250B7"/>
    <w:rsid w:val="00227A19"/>
    <w:rsid w:val="0023126D"/>
    <w:rsid w:val="0023187B"/>
    <w:rsid w:val="00242930"/>
    <w:rsid w:val="00243C1F"/>
    <w:rsid w:val="002459F1"/>
    <w:rsid w:val="0024749A"/>
    <w:rsid w:val="00250471"/>
    <w:rsid w:val="0025425D"/>
    <w:rsid w:val="00256ADB"/>
    <w:rsid w:val="00257ECA"/>
    <w:rsid w:val="00263BC8"/>
    <w:rsid w:val="002649D8"/>
    <w:rsid w:val="002663AA"/>
    <w:rsid w:val="00273E48"/>
    <w:rsid w:val="0027464B"/>
    <w:rsid w:val="00281D6A"/>
    <w:rsid w:val="0029219A"/>
    <w:rsid w:val="0029323D"/>
    <w:rsid w:val="0029341D"/>
    <w:rsid w:val="002A1B47"/>
    <w:rsid w:val="002A2A62"/>
    <w:rsid w:val="002A3FEB"/>
    <w:rsid w:val="002B044C"/>
    <w:rsid w:val="002B2A1A"/>
    <w:rsid w:val="002B2FA3"/>
    <w:rsid w:val="002B5310"/>
    <w:rsid w:val="002B79CF"/>
    <w:rsid w:val="002C4CDB"/>
    <w:rsid w:val="002C4CEF"/>
    <w:rsid w:val="002C4F9F"/>
    <w:rsid w:val="002D2D2B"/>
    <w:rsid w:val="002D3134"/>
    <w:rsid w:val="002D3FBD"/>
    <w:rsid w:val="002E7A72"/>
    <w:rsid w:val="002F2828"/>
    <w:rsid w:val="003000DD"/>
    <w:rsid w:val="003008B5"/>
    <w:rsid w:val="00301B40"/>
    <w:rsid w:val="003025D0"/>
    <w:rsid w:val="003052D9"/>
    <w:rsid w:val="003075CC"/>
    <w:rsid w:val="00307644"/>
    <w:rsid w:val="00311CFD"/>
    <w:rsid w:val="003129AF"/>
    <w:rsid w:val="0031466A"/>
    <w:rsid w:val="00315325"/>
    <w:rsid w:val="003156B1"/>
    <w:rsid w:val="00317651"/>
    <w:rsid w:val="00326506"/>
    <w:rsid w:val="00330799"/>
    <w:rsid w:val="00333157"/>
    <w:rsid w:val="0033687C"/>
    <w:rsid w:val="00337C1E"/>
    <w:rsid w:val="0034375C"/>
    <w:rsid w:val="003439F0"/>
    <w:rsid w:val="00343A39"/>
    <w:rsid w:val="00344F4C"/>
    <w:rsid w:val="00347DAB"/>
    <w:rsid w:val="003504F6"/>
    <w:rsid w:val="003552D9"/>
    <w:rsid w:val="00356726"/>
    <w:rsid w:val="003604ED"/>
    <w:rsid w:val="00361FE4"/>
    <w:rsid w:val="0036380E"/>
    <w:rsid w:val="00366FD0"/>
    <w:rsid w:val="003726A7"/>
    <w:rsid w:val="00374831"/>
    <w:rsid w:val="00376511"/>
    <w:rsid w:val="00376EC3"/>
    <w:rsid w:val="00377CB6"/>
    <w:rsid w:val="00381209"/>
    <w:rsid w:val="00387C29"/>
    <w:rsid w:val="003920F3"/>
    <w:rsid w:val="0039313F"/>
    <w:rsid w:val="00394849"/>
    <w:rsid w:val="00397654"/>
    <w:rsid w:val="00397B70"/>
    <w:rsid w:val="003A0B55"/>
    <w:rsid w:val="003A2AFD"/>
    <w:rsid w:val="003B2B0F"/>
    <w:rsid w:val="003B2FF5"/>
    <w:rsid w:val="003B3F3F"/>
    <w:rsid w:val="003B6F2D"/>
    <w:rsid w:val="003B7D53"/>
    <w:rsid w:val="003C0E70"/>
    <w:rsid w:val="003C21B6"/>
    <w:rsid w:val="003C2ACB"/>
    <w:rsid w:val="003C401D"/>
    <w:rsid w:val="003C4D54"/>
    <w:rsid w:val="003C6F69"/>
    <w:rsid w:val="003C7971"/>
    <w:rsid w:val="003C7F15"/>
    <w:rsid w:val="003D3FE6"/>
    <w:rsid w:val="003D5E30"/>
    <w:rsid w:val="003E00D3"/>
    <w:rsid w:val="003E28B4"/>
    <w:rsid w:val="003E3DA3"/>
    <w:rsid w:val="003E438D"/>
    <w:rsid w:val="003E69C4"/>
    <w:rsid w:val="003E7338"/>
    <w:rsid w:val="003F0A7B"/>
    <w:rsid w:val="003F154A"/>
    <w:rsid w:val="003F512B"/>
    <w:rsid w:val="003F54D3"/>
    <w:rsid w:val="00401271"/>
    <w:rsid w:val="00402697"/>
    <w:rsid w:val="00405CD9"/>
    <w:rsid w:val="004068A0"/>
    <w:rsid w:val="00414571"/>
    <w:rsid w:val="00420E06"/>
    <w:rsid w:val="00423653"/>
    <w:rsid w:val="00423A74"/>
    <w:rsid w:val="00430294"/>
    <w:rsid w:val="00431F4F"/>
    <w:rsid w:val="004349D3"/>
    <w:rsid w:val="00435D6E"/>
    <w:rsid w:val="00437B23"/>
    <w:rsid w:val="00446A58"/>
    <w:rsid w:val="00454351"/>
    <w:rsid w:val="004565B8"/>
    <w:rsid w:val="00457F14"/>
    <w:rsid w:val="00460F21"/>
    <w:rsid w:val="0046186F"/>
    <w:rsid w:val="00461A75"/>
    <w:rsid w:val="0046655A"/>
    <w:rsid w:val="004710CA"/>
    <w:rsid w:val="00472594"/>
    <w:rsid w:val="00490A78"/>
    <w:rsid w:val="00491B09"/>
    <w:rsid w:val="004940D1"/>
    <w:rsid w:val="00494E3B"/>
    <w:rsid w:val="00495AFE"/>
    <w:rsid w:val="00495D88"/>
    <w:rsid w:val="004A069B"/>
    <w:rsid w:val="004A18E0"/>
    <w:rsid w:val="004A4146"/>
    <w:rsid w:val="004A44CB"/>
    <w:rsid w:val="004B0BD6"/>
    <w:rsid w:val="004B133C"/>
    <w:rsid w:val="004B4285"/>
    <w:rsid w:val="004B4D22"/>
    <w:rsid w:val="004B5429"/>
    <w:rsid w:val="004C23CA"/>
    <w:rsid w:val="004C2F02"/>
    <w:rsid w:val="004C3E45"/>
    <w:rsid w:val="004C45B1"/>
    <w:rsid w:val="004D11F9"/>
    <w:rsid w:val="004D1A98"/>
    <w:rsid w:val="004D1DCF"/>
    <w:rsid w:val="004D49EF"/>
    <w:rsid w:val="004D63C1"/>
    <w:rsid w:val="004D6D99"/>
    <w:rsid w:val="004D6DAE"/>
    <w:rsid w:val="004D751A"/>
    <w:rsid w:val="004D7E5B"/>
    <w:rsid w:val="004F2902"/>
    <w:rsid w:val="004F2BF5"/>
    <w:rsid w:val="004F5DE0"/>
    <w:rsid w:val="00502A77"/>
    <w:rsid w:val="00504381"/>
    <w:rsid w:val="00510052"/>
    <w:rsid w:val="00510A2D"/>
    <w:rsid w:val="00514B69"/>
    <w:rsid w:val="0051695C"/>
    <w:rsid w:val="00517A9F"/>
    <w:rsid w:val="005208D1"/>
    <w:rsid w:val="00523236"/>
    <w:rsid w:val="005257AA"/>
    <w:rsid w:val="00527899"/>
    <w:rsid w:val="005321E7"/>
    <w:rsid w:val="00534BCF"/>
    <w:rsid w:val="00537A85"/>
    <w:rsid w:val="00540553"/>
    <w:rsid w:val="00541BDA"/>
    <w:rsid w:val="00542EE5"/>
    <w:rsid w:val="00546953"/>
    <w:rsid w:val="005477DB"/>
    <w:rsid w:val="00550DBF"/>
    <w:rsid w:val="005514F8"/>
    <w:rsid w:val="00551B16"/>
    <w:rsid w:val="0055277E"/>
    <w:rsid w:val="00555C83"/>
    <w:rsid w:val="00556CB6"/>
    <w:rsid w:val="00557552"/>
    <w:rsid w:val="00564DEE"/>
    <w:rsid w:val="00567F7E"/>
    <w:rsid w:val="00572AA9"/>
    <w:rsid w:val="0057306C"/>
    <w:rsid w:val="0057495F"/>
    <w:rsid w:val="005761A1"/>
    <w:rsid w:val="00576A4E"/>
    <w:rsid w:val="00576F1B"/>
    <w:rsid w:val="005779E5"/>
    <w:rsid w:val="00577D90"/>
    <w:rsid w:val="005813F6"/>
    <w:rsid w:val="00586552"/>
    <w:rsid w:val="0059097A"/>
    <w:rsid w:val="00592857"/>
    <w:rsid w:val="00594622"/>
    <w:rsid w:val="00594A3C"/>
    <w:rsid w:val="00594AAC"/>
    <w:rsid w:val="005A113D"/>
    <w:rsid w:val="005A405B"/>
    <w:rsid w:val="005A70D8"/>
    <w:rsid w:val="005A7573"/>
    <w:rsid w:val="005B0AF9"/>
    <w:rsid w:val="005C1DB4"/>
    <w:rsid w:val="005C236D"/>
    <w:rsid w:val="005C2C60"/>
    <w:rsid w:val="005C6950"/>
    <w:rsid w:val="005D0135"/>
    <w:rsid w:val="005D1E90"/>
    <w:rsid w:val="005D6419"/>
    <w:rsid w:val="005E0355"/>
    <w:rsid w:val="005E0DA7"/>
    <w:rsid w:val="005E4380"/>
    <w:rsid w:val="005E49F6"/>
    <w:rsid w:val="005E56F0"/>
    <w:rsid w:val="005E6418"/>
    <w:rsid w:val="005E7E33"/>
    <w:rsid w:val="005F0E1C"/>
    <w:rsid w:val="005F36C3"/>
    <w:rsid w:val="005F4CCB"/>
    <w:rsid w:val="005F4CFE"/>
    <w:rsid w:val="005F5827"/>
    <w:rsid w:val="005F7D25"/>
    <w:rsid w:val="00602D86"/>
    <w:rsid w:val="00603734"/>
    <w:rsid w:val="00604660"/>
    <w:rsid w:val="006071ED"/>
    <w:rsid w:val="00610028"/>
    <w:rsid w:val="0061055C"/>
    <w:rsid w:val="006112C5"/>
    <w:rsid w:val="00613F2D"/>
    <w:rsid w:val="00621AB7"/>
    <w:rsid w:val="00626EDC"/>
    <w:rsid w:val="00627666"/>
    <w:rsid w:val="00632365"/>
    <w:rsid w:val="00632E4D"/>
    <w:rsid w:val="00633EB5"/>
    <w:rsid w:val="006345F6"/>
    <w:rsid w:val="00636EF2"/>
    <w:rsid w:val="006377F2"/>
    <w:rsid w:val="00640B44"/>
    <w:rsid w:val="00641099"/>
    <w:rsid w:val="0064132E"/>
    <w:rsid w:val="00641B99"/>
    <w:rsid w:val="006428C8"/>
    <w:rsid w:val="0064293B"/>
    <w:rsid w:val="00642A7C"/>
    <w:rsid w:val="006467B2"/>
    <w:rsid w:val="00652657"/>
    <w:rsid w:val="0065325A"/>
    <w:rsid w:val="00655F91"/>
    <w:rsid w:val="006612EA"/>
    <w:rsid w:val="00661624"/>
    <w:rsid w:val="0066208C"/>
    <w:rsid w:val="006634E8"/>
    <w:rsid w:val="00663C60"/>
    <w:rsid w:val="00664E51"/>
    <w:rsid w:val="006663BD"/>
    <w:rsid w:val="0066706E"/>
    <w:rsid w:val="00670F3C"/>
    <w:rsid w:val="00671493"/>
    <w:rsid w:val="006716F5"/>
    <w:rsid w:val="006716FD"/>
    <w:rsid w:val="00677C9E"/>
    <w:rsid w:val="00677D89"/>
    <w:rsid w:val="00682016"/>
    <w:rsid w:val="006927B6"/>
    <w:rsid w:val="006931F8"/>
    <w:rsid w:val="0069380F"/>
    <w:rsid w:val="00693E1B"/>
    <w:rsid w:val="00695A79"/>
    <w:rsid w:val="00696BA2"/>
    <w:rsid w:val="006A248F"/>
    <w:rsid w:val="006A4D5A"/>
    <w:rsid w:val="006A6BE0"/>
    <w:rsid w:val="006B142F"/>
    <w:rsid w:val="006B4DB4"/>
    <w:rsid w:val="006C2404"/>
    <w:rsid w:val="006C3409"/>
    <w:rsid w:val="006C39C2"/>
    <w:rsid w:val="006C69DE"/>
    <w:rsid w:val="006C6A19"/>
    <w:rsid w:val="006C7DFD"/>
    <w:rsid w:val="006D09FF"/>
    <w:rsid w:val="006D1220"/>
    <w:rsid w:val="006E542A"/>
    <w:rsid w:val="006E5A1E"/>
    <w:rsid w:val="006E5EEC"/>
    <w:rsid w:val="006E6412"/>
    <w:rsid w:val="006E68B2"/>
    <w:rsid w:val="006E6F5C"/>
    <w:rsid w:val="006F4287"/>
    <w:rsid w:val="006F43A5"/>
    <w:rsid w:val="006F5EA3"/>
    <w:rsid w:val="006F7E43"/>
    <w:rsid w:val="00703AF4"/>
    <w:rsid w:val="00705952"/>
    <w:rsid w:val="00706DDA"/>
    <w:rsid w:val="00710B04"/>
    <w:rsid w:val="00711017"/>
    <w:rsid w:val="007113E4"/>
    <w:rsid w:val="00715814"/>
    <w:rsid w:val="00717663"/>
    <w:rsid w:val="007265AE"/>
    <w:rsid w:val="007267AD"/>
    <w:rsid w:val="007445DD"/>
    <w:rsid w:val="00754FD7"/>
    <w:rsid w:val="00762923"/>
    <w:rsid w:val="00764CF6"/>
    <w:rsid w:val="00765D9D"/>
    <w:rsid w:val="00767FAF"/>
    <w:rsid w:val="007701AB"/>
    <w:rsid w:val="00773303"/>
    <w:rsid w:val="0077528B"/>
    <w:rsid w:val="00775BCB"/>
    <w:rsid w:val="007833E1"/>
    <w:rsid w:val="00784603"/>
    <w:rsid w:val="00784CB8"/>
    <w:rsid w:val="0078595F"/>
    <w:rsid w:val="00786DFB"/>
    <w:rsid w:val="00790798"/>
    <w:rsid w:val="00793A61"/>
    <w:rsid w:val="00793EF5"/>
    <w:rsid w:val="007A320C"/>
    <w:rsid w:val="007A6432"/>
    <w:rsid w:val="007A6AD2"/>
    <w:rsid w:val="007A7B4A"/>
    <w:rsid w:val="007B029B"/>
    <w:rsid w:val="007B126A"/>
    <w:rsid w:val="007B387A"/>
    <w:rsid w:val="007B4734"/>
    <w:rsid w:val="007B47B9"/>
    <w:rsid w:val="007B607D"/>
    <w:rsid w:val="007B7B1B"/>
    <w:rsid w:val="007C63F7"/>
    <w:rsid w:val="007D297A"/>
    <w:rsid w:val="007D3BA6"/>
    <w:rsid w:val="007D4336"/>
    <w:rsid w:val="007D5C4B"/>
    <w:rsid w:val="007E4567"/>
    <w:rsid w:val="007E60DA"/>
    <w:rsid w:val="007F26D6"/>
    <w:rsid w:val="007F3DBA"/>
    <w:rsid w:val="007F7260"/>
    <w:rsid w:val="008049F6"/>
    <w:rsid w:val="00805A3D"/>
    <w:rsid w:val="00807D9B"/>
    <w:rsid w:val="0081120A"/>
    <w:rsid w:val="00811919"/>
    <w:rsid w:val="00813930"/>
    <w:rsid w:val="00817484"/>
    <w:rsid w:val="00821B6F"/>
    <w:rsid w:val="00823881"/>
    <w:rsid w:val="008264CC"/>
    <w:rsid w:val="008308D3"/>
    <w:rsid w:val="0083175F"/>
    <w:rsid w:val="00831989"/>
    <w:rsid w:val="0083293A"/>
    <w:rsid w:val="0083364C"/>
    <w:rsid w:val="00837237"/>
    <w:rsid w:val="00841D01"/>
    <w:rsid w:val="0084287A"/>
    <w:rsid w:val="0084688E"/>
    <w:rsid w:val="008509F7"/>
    <w:rsid w:val="00851236"/>
    <w:rsid w:val="008533A1"/>
    <w:rsid w:val="008539EC"/>
    <w:rsid w:val="00854AA6"/>
    <w:rsid w:val="00866BD4"/>
    <w:rsid w:val="0086711C"/>
    <w:rsid w:val="00870D08"/>
    <w:rsid w:val="008728F5"/>
    <w:rsid w:val="00873DCD"/>
    <w:rsid w:val="008815D2"/>
    <w:rsid w:val="00881625"/>
    <w:rsid w:val="008837D4"/>
    <w:rsid w:val="008847B3"/>
    <w:rsid w:val="00884D99"/>
    <w:rsid w:val="00890837"/>
    <w:rsid w:val="0089227F"/>
    <w:rsid w:val="008928D2"/>
    <w:rsid w:val="008945F1"/>
    <w:rsid w:val="008974A4"/>
    <w:rsid w:val="008A119C"/>
    <w:rsid w:val="008A328E"/>
    <w:rsid w:val="008A4214"/>
    <w:rsid w:val="008A7470"/>
    <w:rsid w:val="008B1098"/>
    <w:rsid w:val="008B2B63"/>
    <w:rsid w:val="008B35E9"/>
    <w:rsid w:val="008B635B"/>
    <w:rsid w:val="008B6839"/>
    <w:rsid w:val="008C1200"/>
    <w:rsid w:val="008C194C"/>
    <w:rsid w:val="008C1A91"/>
    <w:rsid w:val="008C45D2"/>
    <w:rsid w:val="008C4F21"/>
    <w:rsid w:val="008D14EC"/>
    <w:rsid w:val="008D170E"/>
    <w:rsid w:val="008D508D"/>
    <w:rsid w:val="008D6BAA"/>
    <w:rsid w:val="008D6BC6"/>
    <w:rsid w:val="008E0510"/>
    <w:rsid w:val="008E1250"/>
    <w:rsid w:val="008E15E2"/>
    <w:rsid w:val="008E226C"/>
    <w:rsid w:val="008E4680"/>
    <w:rsid w:val="008E71B3"/>
    <w:rsid w:val="008E7EE4"/>
    <w:rsid w:val="008F446D"/>
    <w:rsid w:val="008F5206"/>
    <w:rsid w:val="008F5D7B"/>
    <w:rsid w:val="008F7A0E"/>
    <w:rsid w:val="009004D7"/>
    <w:rsid w:val="00900E69"/>
    <w:rsid w:val="0090201B"/>
    <w:rsid w:val="009034F3"/>
    <w:rsid w:val="00907665"/>
    <w:rsid w:val="00915CE9"/>
    <w:rsid w:val="00916ED6"/>
    <w:rsid w:val="00922158"/>
    <w:rsid w:val="009246FB"/>
    <w:rsid w:val="00925C24"/>
    <w:rsid w:val="009303A4"/>
    <w:rsid w:val="0093130C"/>
    <w:rsid w:val="00931B76"/>
    <w:rsid w:val="00933450"/>
    <w:rsid w:val="0093371A"/>
    <w:rsid w:val="00933973"/>
    <w:rsid w:val="00934525"/>
    <w:rsid w:val="0093462A"/>
    <w:rsid w:val="00934BAB"/>
    <w:rsid w:val="00934D05"/>
    <w:rsid w:val="0093596C"/>
    <w:rsid w:val="00937914"/>
    <w:rsid w:val="00940E84"/>
    <w:rsid w:val="00942520"/>
    <w:rsid w:val="00943C36"/>
    <w:rsid w:val="0094471F"/>
    <w:rsid w:val="009448AB"/>
    <w:rsid w:val="00944FA1"/>
    <w:rsid w:val="00950A06"/>
    <w:rsid w:val="00955173"/>
    <w:rsid w:val="00955509"/>
    <w:rsid w:val="009569F5"/>
    <w:rsid w:val="00957D68"/>
    <w:rsid w:val="00960479"/>
    <w:rsid w:val="00961F47"/>
    <w:rsid w:val="009644D2"/>
    <w:rsid w:val="009655DF"/>
    <w:rsid w:val="00970C59"/>
    <w:rsid w:val="00971646"/>
    <w:rsid w:val="00974450"/>
    <w:rsid w:val="00975B40"/>
    <w:rsid w:val="009764C2"/>
    <w:rsid w:val="00976D30"/>
    <w:rsid w:val="0098402F"/>
    <w:rsid w:val="009844DA"/>
    <w:rsid w:val="0099003F"/>
    <w:rsid w:val="009908F8"/>
    <w:rsid w:val="009A11CB"/>
    <w:rsid w:val="009A1B33"/>
    <w:rsid w:val="009A3B66"/>
    <w:rsid w:val="009A5262"/>
    <w:rsid w:val="009A761F"/>
    <w:rsid w:val="009B0AA6"/>
    <w:rsid w:val="009B32DA"/>
    <w:rsid w:val="009C06A2"/>
    <w:rsid w:val="009C1189"/>
    <w:rsid w:val="009C1E72"/>
    <w:rsid w:val="009C6A27"/>
    <w:rsid w:val="009D039D"/>
    <w:rsid w:val="009D0912"/>
    <w:rsid w:val="009D2303"/>
    <w:rsid w:val="009D43F7"/>
    <w:rsid w:val="009D74FF"/>
    <w:rsid w:val="009E27FB"/>
    <w:rsid w:val="009E3EDF"/>
    <w:rsid w:val="009E6D92"/>
    <w:rsid w:val="009F74D7"/>
    <w:rsid w:val="00A02F5E"/>
    <w:rsid w:val="00A03DC6"/>
    <w:rsid w:val="00A04146"/>
    <w:rsid w:val="00A052C8"/>
    <w:rsid w:val="00A05B36"/>
    <w:rsid w:val="00A070B2"/>
    <w:rsid w:val="00A10BC3"/>
    <w:rsid w:val="00A12BC1"/>
    <w:rsid w:val="00A13BC6"/>
    <w:rsid w:val="00A1482A"/>
    <w:rsid w:val="00A16208"/>
    <w:rsid w:val="00A17702"/>
    <w:rsid w:val="00A22B76"/>
    <w:rsid w:val="00A22BFA"/>
    <w:rsid w:val="00A25EBE"/>
    <w:rsid w:val="00A27AB6"/>
    <w:rsid w:val="00A30D45"/>
    <w:rsid w:val="00A30D9A"/>
    <w:rsid w:val="00A31EBE"/>
    <w:rsid w:val="00A35993"/>
    <w:rsid w:val="00A40BE3"/>
    <w:rsid w:val="00A4145C"/>
    <w:rsid w:val="00A4274A"/>
    <w:rsid w:val="00A42C18"/>
    <w:rsid w:val="00A43CBB"/>
    <w:rsid w:val="00A44499"/>
    <w:rsid w:val="00A44829"/>
    <w:rsid w:val="00A47D39"/>
    <w:rsid w:val="00A53094"/>
    <w:rsid w:val="00A543BF"/>
    <w:rsid w:val="00A55537"/>
    <w:rsid w:val="00A56499"/>
    <w:rsid w:val="00A57915"/>
    <w:rsid w:val="00A63EDC"/>
    <w:rsid w:val="00A64D56"/>
    <w:rsid w:val="00A6781D"/>
    <w:rsid w:val="00A73DB0"/>
    <w:rsid w:val="00A75CFC"/>
    <w:rsid w:val="00A75EC1"/>
    <w:rsid w:val="00A76D01"/>
    <w:rsid w:val="00A805FA"/>
    <w:rsid w:val="00A8080D"/>
    <w:rsid w:val="00A82AB9"/>
    <w:rsid w:val="00A84D28"/>
    <w:rsid w:val="00A915DE"/>
    <w:rsid w:val="00A91835"/>
    <w:rsid w:val="00AA31D8"/>
    <w:rsid w:val="00AA31FD"/>
    <w:rsid w:val="00AB1F1C"/>
    <w:rsid w:val="00AB7CF6"/>
    <w:rsid w:val="00AC2F9C"/>
    <w:rsid w:val="00AC4C46"/>
    <w:rsid w:val="00AC6B05"/>
    <w:rsid w:val="00AD7794"/>
    <w:rsid w:val="00AE0D10"/>
    <w:rsid w:val="00AE15A9"/>
    <w:rsid w:val="00AE4233"/>
    <w:rsid w:val="00AE4284"/>
    <w:rsid w:val="00AE52B5"/>
    <w:rsid w:val="00AE6462"/>
    <w:rsid w:val="00AE7314"/>
    <w:rsid w:val="00AF2B6B"/>
    <w:rsid w:val="00AF7385"/>
    <w:rsid w:val="00B01CCC"/>
    <w:rsid w:val="00B03D11"/>
    <w:rsid w:val="00B06652"/>
    <w:rsid w:val="00B07014"/>
    <w:rsid w:val="00B11097"/>
    <w:rsid w:val="00B12148"/>
    <w:rsid w:val="00B13656"/>
    <w:rsid w:val="00B140D9"/>
    <w:rsid w:val="00B15615"/>
    <w:rsid w:val="00B16D1F"/>
    <w:rsid w:val="00B177EB"/>
    <w:rsid w:val="00B200F7"/>
    <w:rsid w:val="00B20AEC"/>
    <w:rsid w:val="00B236BC"/>
    <w:rsid w:val="00B247D6"/>
    <w:rsid w:val="00B25844"/>
    <w:rsid w:val="00B26735"/>
    <w:rsid w:val="00B32684"/>
    <w:rsid w:val="00B32B3B"/>
    <w:rsid w:val="00B34543"/>
    <w:rsid w:val="00B349BA"/>
    <w:rsid w:val="00B400D3"/>
    <w:rsid w:val="00B40A2D"/>
    <w:rsid w:val="00B42402"/>
    <w:rsid w:val="00B44410"/>
    <w:rsid w:val="00B45835"/>
    <w:rsid w:val="00B47541"/>
    <w:rsid w:val="00B51035"/>
    <w:rsid w:val="00B513E6"/>
    <w:rsid w:val="00B51CDD"/>
    <w:rsid w:val="00B5679E"/>
    <w:rsid w:val="00B56941"/>
    <w:rsid w:val="00B5751C"/>
    <w:rsid w:val="00B61EBA"/>
    <w:rsid w:val="00B6332E"/>
    <w:rsid w:val="00B63384"/>
    <w:rsid w:val="00B71C7C"/>
    <w:rsid w:val="00B73AF1"/>
    <w:rsid w:val="00B803DB"/>
    <w:rsid w:val="00B81431"/>
    <w:rsid w:val="00B83674"/>
    <w:rsid w:val="00B85DE4"/>
    <w:rsid w:val="00B877A1"/>
    <w:rsid w:val="00B90F7A"/>
    <w:rsid w:val="00B90FF1"/>
    <w:rsid w:val="00B95D12"/>
    <w:rsid w:val="00BA37F9"/>
    <w:rsid w:val="00BA46DD"/>
    <w:rsid w:val="00BA581D"/>
    <w:rsid w:val="00BB1628"/>
    <w:rsid w:val="00BB3047"/>
    <w:rsid w:val="00BB3625"/>
    <w:rsid w:val="00BB460F"/>
    <w:rsid w:val="00BB4AA6"/>
    <w:rsid w:val="00BB5429"/>
    <w:rsid w:val="00BB68DF"/>
    <w:rsid w:val="00BB7AFD"/>
    <w:rsid w:val="00BC0147"/>
    <w:rsid w:val="00BC156E"/>
    <w:rsid w:val="00BD050D"/>
    <w:rsid w:val="00BD0E61"/>
    <w:rsid w:val="00BD2EC3"/>
    <w:rsid w:val="00BD311A"/>
    <w:rsid w:val="00BE3395"/>
    <w:rsid w:val="00BE346A"/>
    <w:rsid w:val="00BE662F"/>
    <w:rsid w:val="00BE6737"/>
    <w:rsid w:val="00BE6A46"/>
    <w:rsid w:val="00BF18CB"/>
    <w:rsid w:val="00BF3A10"/>
    <w:rsid w:val="00BF5A5D"/>
    <w:rsid w:val="00BF6088"/>
    <w:rsid w:val="00C00A6A"/>
    <w:rsid w:val="00C02F47"/>
    <w:rsid w:val="00C06054"/>
    <w:rsid w:val="00C066FF"/>
    <w:rsid w:val="00C1150C"/>
    <w:rsid w:val="00C131AC"/>
    <w:rsid w:val="00C14446"/>
    <w:rsid w:val="00C14C2D"/>
    <w:rsid w:val="00C15CDB"/>
    <w:rsid w:val="00C177EB"/>
    <w:rsid w:val="00C25A26"/>
    <w:rsid w:val="00C307C8"/>
    <w:rsid w:val="00C332A2"/>
    <w:rsid w:val="00C3399F"/>
    <w:rsid w:val="00C33EC1"/>
    <w:rsid w:val="00C35E0D"/>
    <w:rsid w:val="00C37E6E"/>
    <w:rsid w:val="00C47185"/>
    <w:rsid w:val="00C51E44"/>
    <w:rsid w:val="00C528A4"/>
    <w:rsid w:val="00C53E1E"/>
    <w:rsid w:val="00C55A17"/>
    <w:rsid w:val="00C5674E"/>
    <w:rsid w:val="00C61334"/>
    <w:rsid w:val="00C64789"/>
    <w:rsid w:val="00C66C3C"/>
    <w:rsid w:val="00C6759F"/>
    <w:rsid w:val="00C77546"/>
    <w:rsid w:val="00C80BBC"/>
    <w:rsid w:val="00C85104"/>
    <w:rsid w:val="00C86D74"/>
    <w:rsid w:val="00C901EB"/>
    <w:rsid w:val="00C927BA"/>
    <w:rsid w:val="00C94718"/>
    <w:rsid w:val="00CA17F8"/>
    <w:rsid w:val="00CA4D73"/>
    <w:rsid w:val="00CA59A2"/>
    <w:rsid w:val="00CA78EC"/>
    <w:rsid w:val="00CB00E9"/>
    <w:rsid w:val="00CB069F"/>
    <w:rsid w:val="00CB25C2"/>
    <w:rsid w:val="00CC20BC"/>
    <w:rsid w:val="00CC39D4"/>
    <w:rsid w:val="00CD75EF"/>
    <w:rsid w:val="00CE4905"/>
    <w:rsid w:val="00CE5671"/>
    <w:rsid w:val="00CE608F"/>
    <w:rsid w:val="00CF13C3"/>
    <w:rsid w:val="00CF3EEE"/>
    <w:rsid w:val="00CF72A2"/>
    <w:rsid w:val="00CF76F1"/>
    <w:rsid w:val="00D01588"/>
    <w:rsid w:val="00D02A98"/>
    <w:rsid w:val="00D11D51"/>
    <w:rsid w:val="00D1613A"/>
    <w:rsid w:val="00D17CB2"/>
    <w:rsid w:val="00D2347A"/>
    <w:rsid w:val="00D23B5C"/>
    <w:rsid w:val="00D23EA6"/>
    <w:rsid w:val="00D27ADD"/>
    <w:rsid w:val="00D31B6E"/>
    <w:rsid w:val="00D32853"/>
    <w:rsid w:val="00D35635"/>
    <w:rsid w:val="00D36571"/>
    <w:rsid w:val="00D404AF"/>
    <w:rsid w:val="00D43C14"/>
    <w:rsid w:val="00D44074"/>
    <w:rsid w:val="00D4440D"/>
    <w:rsid w:val="00D47297"/>
    <w:rsid w:val="00D47E1C"/>
    <w:rsid w:val="00D530D3"/>
    <w:rsid w:val="00D57644"/>
    <w:rsid w:val="00D605C2"/>
    <w:rsid w:val="00D64583"/>
    <w:rsid w:val="00D71116"/>
    <w:rsid w:val="00D74018"/>
    <w:rsid w:val="00D75120"/>
    <w:rsid w:val="00D75B2B"/>
    <w:rsid w:val="00D75C93"/>
    <w:rsid w:val="00D76C79"/>
    <w:rsid w:val="00D778CB"/>
    <w:rsid w:val="00D8404C"/>
    <w:rsid w:val="00D86082"/>
    <w:rsid w:val="00D876BE"/>
    <w:rsid w:val="00D87F5F"/>
    <w:rsid w:val="00D93A2A"/>
    <w:rsid w:val="00D97A20"/>
    <w:rsid w:val="00DA0411"/>
    <w:rsid w:val="00DA7816"/>
    <w:rsid w:val="00DB0C5D"/>
    <w:rsid w:val="00DB1287"/>
    <w:rsid w:val="00DB6BE5"/>
    <w:rsid w:val="00DC38EC"/>
    <w:rsid w:val="00DD066C"/>
    <w:rsid w:val="00DD27CD"/>
    <w:rsid w:val="00DD38C1"/>
    <w:rsid w:val="00DD5317"/>
    <w:rsid w:val="00DD62DD"/>
    <w:rsid w:val="00DE47B2"/>
    <w:rsid w:val="00DE4D44"/>
    <w:rsid w:val="00DE6E39"/>
    <w:rsid w:val="00DF0C98"/>
    <w:rsid w:val="00DF27E4"/>
    <w:rsid w:val="00DF37D2"/>
    <w:rsid w:val="00DF3D40"/>
    <w:rsid w:val="00DF43CA"/>
    <w:rsid w:val="00DF5E42"/>
    <w:rsid w:val="00E008D1"/>
    <w:rsid w:val="00E01151"/>
    <w:rsid w:val="00E01567"/>
    <w:rsid w:val="00E05AC4"/>
    <w:rsid w:val="00E07095"/>
    <w:rsid w:val="00E11740"/>
    <w:rsid w:val="00E13A70"/>
    <w:rsid w:val="00E16B0D"/>
    <w:rsid w:val="00E17180"/>
    <w:rsid w:val="00E216B4"/>
    <w:rsid w:val="00E24E60"/>
    <w:rsid w:val="00E26AEB"/>
    <w:rsid w:val="00E3054F"/>
    <w:rsid w:val="00E31DE1"/>
    <w:rsid w:val="00E3655E"/>
    <w:rsid w:val="00E370DF"/>
    <w:rsid w:val="00E3782C"/>
    <w:rsid w:val="00E37AB6"/>
    <w:rsid w:val="00E410D4"/>
    <w:rsid w:val="00E503E3"/>
    <w:rsid w:val="00E55DC3"/>
    <w:rsid w:val="00E61887"/>
    <w:rsid w:val="00E64614"/>
    <w:rsid w:val="00E64F1C"/>
    <w:rsid w:val="00E71691"/>
    <w:rsid w:val="00E7267D"/>
    <w:rsid w:val="00E73A05"/>
    <w:rsid w:val="00E74A10"/>
    <w:rsid w:val="00E74D47"/>
    <w:rsid w:val="00E80E13"/>
    <w:rsid w:val="00E81302"/>
    <w:rsid w:val="00E82CA1"/>
    <w:rsid w:val="00E8636F"/>
    <w:rsid w:val="00E86F49"/>
    <w:rsid w:val="00E87687"/>
    <w:rsid w:val="00E90EDC"/>
    <w:rsid w:val="00E911F8"/>
    <w:rsid w:val="00E915A2"/>
    <w:rsid w:val="00E91D0D"/>
    <w:rsid w:val="00E95077"/>
    <w:rsid w:val="00E97E89"/>
    <w:rsid w:val="00EA35F9"/>
    <w:rsid w:val="00EA52C9"/>
    <w:rsid w:val="00EA556C"/>
    <w:rsid w:val="00EB2010"/>
    <w:rsid w:val="00EB47CE"/>
    <w:rsid w:val="00EC17E2"/>
    <w:rsid w:val="00EC21DD"/>
    <w:rsid w:val="00EC586B"/>
    <w:rsid w:val="00EC5B77"/>
    <w:rsid w:val="00EC67FA"/>
    <w:rsid w:val="00ED011C"/>
    <w:rsid w:val="00ED1A70"/>
    <w:rsid w:val="00EE682B"/>
    <w:rsid w:val="00EE715F"/>
    <w:rsid w:val="00EF0BC8"/>
    <w:rsid w:val="00EF15AA"/>
    <w:rsid w:val="00F045F6"/>
    <w:rsid w:val="00F109EA"/>
    <w:rsid w:val="00F14395"/>
    <w:rsid w:val="00F20346"/>
    <w:rsid w:val="00F22339"/>
    <w:rsid w:val="00F263FD"/>
    <w:rsid w:val="00F27C98"/>
    <w:rsid w:val="00F30CE1"/>
    <w:rsid w:val="00F329D6"/>
    <w:rsid w:val="00F32B71"/>
    <w:rsid w:val="00F37ED0"/>
    <w:rsid w:val="00F40287"/>
    <w:rsid w:val="00F417A4"/>
    <w:rsid w:val="00F43885"/>
    <w:rsid w:val="00F43FCC"/>
    <w:rsid w:val="00F4698F"/>
    <w:rsid w:val="00F47189"/>
    <w:rsid w:val="00F52091"/>
    <w:rsid w:val="00F56F86"/>
    <w:rsid w:val="00F61B9A"/>
    <w:rsid w:val="00F66F6D"/>
    <w:rsid w:val="00F710CF"/>
    <w:rsid w:val="00F710EF"/>
    <w:rsid w:val="00F752A3"/>
    <w:rsid w:val="00F76E9B"/>
    <w:rsid w:val="00F821E4"/>
    <w:rsid w:val="00F82684"/>
    <w:rsid w:val="00F8278A"/>
    <w:rsid w:val="00F83847"/>
    <w:rsid w:val="00F83B71"/>
    <w:rsid w:val="00F87301"/>
    <w:rsid w:val="00F92653"/>
    <w:rsid w:val="00F93325"/>
    <w:rsid w:val="00F934CF"/>
    <w:rsid w:val="00F97056"/>
    <w:rsid w:val="00FA0734"/>
    <w:rsid w:val="00FA4FED"/>
    <w:rsid w:val="00FA636F"/>
    <w:rsid w:val="00FA6618"/>
    <w:rsid w:val="00FA6D08"/>
    <w:rsid w:val="00FB1379"/>
    <w:rsid w:val="00FB5F05"/>
    <w:rsid w:val="00FB6353"/>
    <w:rsid w:val="00FC017A"/>
    <w:rsid w:val="00FC1B1B"/>
    <w:rsid w:val="00FC23A2"/>
    <w:rsid w:val="00FD10A4"/>
    <w:rsid w:val="00FD4130"/>
    <w:rsid w:val="00FD5393"/>
    <w:rsid w:val="00FD61CF"/>
    <w:rsid w:val="00FD703A"/>
    <w:rsid w:val="00FE0011"/>
    <w:rsid w:val="00FE12CB"/>
    <w:rsid w:val="00FE3322"/>
    <w:rsid w:val="00FE349C"/>
    <w:rsid w:val="00FE3B30"/>
    <w:rsid w:val="00FE5CF5"/>
    <w:rsid w:val="00FE6057"/>
    <w:rsid w:val="00FE64DD"/>
    <w:rsid w:val="00FF0938"/>
    <w:rsid w:val="00FF1635"/>
    <w:rsid w:val="00FF5F18"/>
    <w:rsid w:val="00FF7603"/>
  </w:rsids>
  <m:mathPr>
    <m:mathFont m:val="Cambria Math"/>
    <m:brkBin m:val="before"/>
    <m:brkBinSub m:val="--"/>
    <m:smallFrac m:val="off"/>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97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267">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annotation text" w:semiHidden="1"/>
    <w:lsdException w:name="index heading" w:semiHidden="1"/>
    <w:lsdException w:name="caption" w:semiHidden="1" w:qFormat="1"/>
    <w:lsdException w:name="table of figures" w:semiHidden="1"/>
    <w:lsdException w:name="footnote reference" w:semiHidden="1"/>
    <w:lsdException w:name="annotation reference" w:semiHidden="1"/>
    <w:lsdException w:name="line number" w:semiHidden="1"/>
    <w:lsdException w:name="endnote reference" w:semiHidden="1"/>
    <w:lsdException w:name="endnote text" w:semiHidden="1"/>
    <w:lsdException w:name="macro" w:semiHidden="1"/>
    <w:lsdException w:name="toa heading" w:semiHidden="1"/>
    <w:lsdException w:name="List Number" w:semiHidden="1"/>
    <w:lsdException w:name="List 2" w:semiHidden="1"/>
    <w:lsdException w:name="List 3" w:semiHidden="1"/>
    <w:lsdException w:name="List 4" w:semiHidden="1"/>
    <w:lsdException w:name="List 5"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qFormat="1"/>
    <w:lsdException w:name="Closing" w:semiHidden="1"/>
    <w:lsdException w:name="Signature" w:semiHidden="1"/>
    <w:lsdException w:name="Default Paragraph Font" w:uiPriority="1"/>
    <w:lsdException w:name="Body Text" w:qFormat="1"/>
    <w:lsdException w:name="Body Text Indent" w:semiHidden="1"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iPriority="99"/>
    <w:lsdException w:name="FollowedHyperlink" w:semiHidden="1"/>
    <w:lsdException w:name="Strong" w:semiHidden="1" w:qFormat="1"/>
    <w:lsdException w:name="Emphasis" w:semiHidden="1" w:qFormat="1"/>
    <w:lsdException w:name="Document Map" w:semiHidden="1"/>
    <w:lsdException w:name="Plain Text" w:semiHidden="1"/>
    <w:lsdException w:name="E-mail Signature"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annotation subject" w:semiHidden="1"/>
    <w:lsdException w:name="No List" w:uiPriority="99"/>
    <w:lsdException w:name="Balloon Text" w:semiHidden="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atentStyles>
  <w:style w:type="paragraph" w:default="1" w:styleId="Normal">
    <w:name w:val="Normal"/>
    <w:rsid w:val="0005720D"/>
    <w:rPr>
      <w:rFonts w:asciiTheme="majorHAnsi" w:hAnsiTheme="majorHAnsi"/>
      <w:sz w:val="24"/>
      <w:szCs w:val="24"/>
      <w:lang w:eastAsia="en-US"/>
    </w:rPr>
  </w:style>
  <w:style w:type="paragraph" w:styleId="Heading1">
    <w:name w:val="heading 1"/>
    <w:basedOn w:val="Normal"/>
    <w:next w:val="BodyText"/>
    <w:link w:val="Heading1Char"/>
    <w:qFormat/>
    <w:rsid w:val="001D7657"/>
    <w:pPr>
      <w:keepNext/>
      <w:spacing w:after="120"/>
      <w:outlineLvl w:val="0"/>
    </w:pPr>
    <w:rPr>
      <w:b/>
      <w:sz w:val="28"/>
    </w:rPr>
  </w:style>
  <w:style w:type="paragraph" w:styleId="Heading2">
    <w:name w:val="heading 2"/>
    <w:basedOn w:val="Normal"/>
    <w:next w:val="BodyText"/>
    <w:link w:val="Heading2Char"/>
    <w:qFormat/>
    <w:rsid w:val="001D7657"/>
    <w:pPr>
      <w:keepNext/>
      <w:spacing w:after="120"/>
      <w:outlineLvl w:val="1"/>
    </w:pPr>
    <w:rPr>
      <w:b/>
    </w:rPr>
  </w:style>
  <w:style w:type="paragraph" w:styleId="Heading3">
    <w:name w:val="heading 3"/>
    <w:basedOn w:val="Normal"/>
    <w:next w:val="BodyText"/>
    <w:qFormat/>
    <w:rsid w:val="001D7657"/>
    <w:pPr>
      <w:keepNext/>
      <w:spacing w:after="120"/>
      <w:outlineLvl w:val="2"/>
    </w:pPr>
    <w:rPr>
      <w:i/>
    </w:rPr>
  </w:style>
  <w:style w:type="paragraph" w:styleId="Heading4">
    <w:name w:val="heading 4"/>
    <w:basedOn w:val="Normal"/>
    <w:semiHidden/>
    <w:qFormat/>
    <w:rsid w:val="001D7657"/>
    <w:pPr>
      <w:outlineLvl w:val="3"/>
    </w:pPr>
  </w:style>
  <w:style w:type="paragraph" w:styleId="Heading5">
    <w:name w:val="heading 5"/>
    <w:basedOn w:val="Normal"/>
    <w:semiHidden/>
    <w:qFormat/>
    <w:rsid w:val="001D7657"/>
    <w:pPr>
      <w:outlineLvl w:val="4"/>
    </w:pPr>
  </w:style>
  <w:style w:type="paragraph" w:styleId="Heading6">
    <w:name w:val="heading 6"/>
    <w:basedOn w:val="Normal"/>
    <w:semiHidden/>
    <w:qFormat/>
    <w:rsid w:val="001D7657"/>
    <w:pPr>
      <w:outlineLvl w:val="5"/>
    </w:pPr>
  </w:style>
  <w:style w:type="paragraph" w:styleId="Heading7">
    <w:name w:val="heading 7"/>
    <w:basedOn w:val="Normal"/>
    <w:next w:val="Normal"/>
    <w:semiHidden/>
    <w:qFormat/>
    <w:rsid w:val="001D7657"/>
    <w:pPr>
      <w:outlineLvl w:val="6"/>
    </w:pPr>
  </w:style>
  <w:style w:type="paragraph" w:styleId="Heading8">
    <w:name w:val="heading 8"/>
    <w:basedOn w:val="Normal"/>
    <w:next w:val="Normal"/>
    <w:semiHidden/>
    <w:qFormat/>
    <w:rsid w:val="001D7657"/>
    <w:pPr>
      <w:outlineLvl w:val="7"/>
    </w:pPr>
  </w:style>
  <w:style w:type="paragraph" w:styleId="Heading9">
    <w:name w:val="heading 9"/>
    <w:basedOn w:val="Normal"/>
    <w:next w:val="Normal"/>
    <w:semiHidden/>
    <w:qFormat/>
    <w:rsid w:val="001D765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1D7657"/>
    <w:pPr>
      <w:spacing w:after="240" w:line="264" w:lineRule="atLeast"/>
    </w:pPr>
  </w:style>
  <w:style w:type="character" w:customStyle="1" w:styleId="BodyTextChar">
    <w:name w:val="Body Text Char"/>
    <w:basedOn w:val="DefaultParagraphFont"/>
    <w:link w:val="BodyText"/>
    <w:rsid w:val="00FA6D08"/>
    <w:rPr>
      <w:rFonts w:ascii="Calibri" w:hAnsi="Calibri"/>
      <w:sz w:val="24"/>
      <w:lang w:eastAsia="en-GB"/>
    </w:rPr>
  </w:style>
  <w:style w:type="paragraph" w:customStyle="1" w:styleId="Bullet">
    <w:name w:val="Bullet"/>
    <w:basedOn w:val="Normal"/>
    <w:qFormat/>
    <w:rsid w:val="001D7657"/>
    <w:pPr>
      <w:numPr>
        <w:numId w:val="4"/>
      </w:numPr>
      <w:spacing w:after="240"/>
    </w:pPr>
  </w:style>
  <w:style w:type="numbering" w:customStyle="1" w:styleId="Bulletliststyle">
    <w:name w:val="Bullet list style"/>
    <w:basedOn w:val="NoList"/>
    <w:uiPriority w:val="99"/>
    <w:rsid w:val="001D7657"/>
    <w:pPr>
      <w:numPr>
        <w:numId w:val="4"/>
      </w:numPr>
    </w:pPr>
  </w:style>
  <w:style w:type="paragraph" w:styleId="Date">
    <w:name w:val="Date"/>
    <w:basedOn w:val="Normal"/>
    <w:next w:val="BodyText"/>
    <w:link w:val="DateChar"/>
    <w:semiHidden/>
    <w:rsid w:val="001D7657"/>
    <w:pPr>
      <w:spacing w:after="454"/>
    </w:pPr>
  </w:style>
  <w:style w:type="character" w:customStyle="1" w:styleId="DateChar">
    <w:name w:val="Date Char"/>
    <w:basedOn w:val="DefaultParagraphFont"/>
    <w:link w:val="Date"/>
    <w:semiHidden/>
    <w:rsid w:val="00A22BFA"/>
    <w:rPr>
      <w:rFonts w:ascii="Calibri" w:hAnsi="Calibri"/>
      <w:sz w:val="24"/>
      <w:lang w:eastAsia="en-GB"/>
    </w:rPr>
  </w:style>
  <w:style w:type="paragraph" w:styleId="EnvelopeAddress">
    <w:name w:val="envelope address"/>
    <w:basedOn w:val="Normal"/>
    <w:semiHidden/>
    <w:rsid w:val="001D7657"/>
    <w:pPr>
      <w:framePr w:w="7920" w:h="1980" w:hRule="exact" w:hSpace="180" w:wrap="auto" w:hAnchor="page" w:xAlign="center" w:yAlign="bottom"/>
      <w:ind w:left="2880"/>
    </w:pPr>
    <w:rPr>
      <w:rFonts w:cs="Arial"/>
    </w:rPr>
  </w:style>
  <w:style w:type="paragraph" w:styleId="EnvelopeReturn">
    <w:name w:val="envelope return"/>
    <w:basedOn w:val="Normal"/>
    <w:semiHidden/>
    <w:rsid w:val="001D7657"/>
    <w:rPr>
      <w:rFonts w:cs="Arial"/>
      <w:color w:val="003366"/>
      <w:sz w:val="18"/>
      <w:szCs w:val="18"/>
    </w:rPr>
  </w:style>
  <w:style w:type="paragraph" w:styleId="Footer">
    <w:name w:val="footer"/>
    <w:basedOn w:val="Normal"/>
    <w:link w:val="FooterChar"/>
    <w:semiHidden/>
    <w:rsid w:val="001D7657"/>
    <w:pPr>
      <w:tabs>
        <w:tab w:val="center" w:pos="4536"/>
        <w:tab w:val="right" w:pos="9072"/>
      </w:tabs>
      <w:jc w:val="center"/>
    </w:pPr>
    <w:rPr>
      <w:sz w:val="20"/>
    </w:rPr>
  </w:style>
  <w:style w:type="character" w:customStyle="1" w:styleId="FooterChar">
    <w:name w:val="Footer Char"/>
    <w:basedOn w:val="DefaultParagraphFont"/>
    <w:link w:val="Footer"/>
    <w:semiHidden/>
    <w:rsid w:val="00A22BFA"/>
    <w:rPr>
      <w:rFonts w:ascii="Calibri" w:hAnsi="Calibri"/>
      <w:lang w:eastAsia="en-GB"/>
    </w:rPr>
  </w:style>
  <w:style w:type="paragraph" w:styleId="FootnoteText">
    <w:name w:val="footnote text"/>
    <w:basedOn w:val="Normal"/>
    <w:link w:val="FootnoteTextChar"/>
    <w:semiHidden/>
    <w:rsid w:val="001D7657"/>
    <w:pPr>
      <w:ind w:left="425" w:hanging="425"/>
    </w:pPr>
    <w:rPr>
      <w:sz w:val="20"/>
    </w:rPr>
  </w:style>
  <w:style w:type="character" w:customStyle="1" w:styleId="FootnoteTextChar">
    <w:name w:val="Footnote Text Char"/>
    <w:basedOn w:val="DefaultParagraphFont"/>
    <w:link w:val="FootnoteText"/>
    <w:semiHidden/>
    <w:rsid w:val="001D7657"/>
    <w:rPr>
      <w:rFonts w:ascii="Calibri" w:hAnsi="Calibri"/>
      <w:lang w:eastAsia="en-GB"/>
    </w:rPr>
  </w:style>
  <w:style w:type="paragraph" w:styleId="Header">
    <w:name w:val="header"/>
    <w:basedOn w:val="Normal"/>
    <w:link w:val="HeaderChar"/>
    <w:rsid w:val="001D7657"/>
    <w:pPr>
      <w:tabs>
        <w:tab w:val="center" w:pos="4153"/>
        <w:tab w:val="right" w:pos="8306"/>
      </w:tabs>
      <w:jc w:val="center"/>
    </w:pPr>
  </w:style>
  <w:style w:type="character" w:customStyle="1" w:styleId="HeaderChar">
    <w:name w:val="Header Char"/>
    <w:basedOn w:val="DefaultParagraphFont"/>
    <w:link w:val="Header"/>
    <w:rsid w:val="00A22BFA"/>
    <w:rPr>
      <w:rFonts w:ascii="Calibri" w:hAnsi="Calibri"/>
      <w:sz w:val="24"/>
      <w:lang w:eastAsia="en-GB"/>
    </w:rPr>
  </w:style>
  <w:style w:type="character" w:styleId="Hyperlink">
    <w:name w:val="Hyperlink"/>
    <w:basedOn w:val="DefaultParagraphFont"/>
    <w:uiPriority w:val="99"/>
    <w:rsid w:val="001D7657"/>
    <w:rPr>
      <w:color w:val="0000FF"/>
      <w:u w:val="single"/>
    </w:rPr>
  </w:style>
  <w:style w:type="paragraph" w:styleId="List">
    <w:name w:val="List"/>
    <w:basedOn w:val="BodyText"/>
    <w:semiHidden/>
    <w:rsid w:val="001D7657"/>
    <w:pPr>
      <w:numPr>
        <w:numId w:val="8"/>
      </w:numPr>
    </w:pPr>
  </w:style>
  <w:style w:type="paragraph" w:styleId="ListBullet">
    <w:name w:val="List Bullet"/>
    <w:basedOn w:val="BodyText"/>
    <w:semiHidden/>
    <w:rsid w:val="001D7657"/>
  </w:style>
  <w:style w:type="paragraph" w:styleId="ListBullet2">
    <w:name w:val="List Bullet 2"/>
    <w:basedOn w:val="BodyText"/>
    <w:semiHidden/>
    <w:rsid w:val="001D7657"/>
  </w:style>
  <w:style w:type="paragraph" w:styleId="ListBullet3">
    <w:name w:val="List Bullet 3"/>
    <w:basedOn w:val="BodyText"/>
    <w:semiHidden/>
    <w:rsid w:val="001D7657"/>
  </w:style>
  <w:style w:type="numbering" w:customStyle="1" w:styleId="Outlinestyle">
    <w:name w:val="Outline style"/>
    <w:basedOn w:val="NoList"/>
    <w:uiPriority w:val="99"/>
    <w:rsid w:val="001D7657"/>
    <w:pPr>
      <w:numPr>
        <w:numId w:val="11"/>
      </w:numPr>
    </w:pPr>
  </w:style>
  <w:style w:type="character" w:styleId="PageNumber">
    <w:name w:val="page number"/>
    <w:basedOn w:val="DefaultParagraphFont"/>
    <w:semiHidden/>
    <w:rsid w:val="001D7657"/>
    <w:rPr>
      <w:rFonts w:ascii="Calibri" w:hAnsi="Calibri"/>
      <w:sz w:val="20"/>
    </w:rPr>
  </w:style>
  <w:style w:type="paragraph" w:customStyle="1" w:styleId="Quotation">
    <w:name w:val="Quotation"/>
    <w:basedOn w:val="BodyText"/>
    <w:qFormat/>
    <w:rsid w:val="001D7657"/>
    <w:pPr>
      <w:ind w:left="709" w:right="709"/>
    </w:pPr>
    <w:rPr>
      <w:i/>
      <w:sz w:val="20"/>
    </w:rPr>
  </w:style>
  <w:style w:type="paragraph" w:customStyle="1" w:styleId="Tablebodytext">
    <w:name w:val="Table body text"/>
    <w:basedOn w:val="BodyText"/>
    <w:qFormat/>
    <w:rsid w:val="001D7657"/>
    <w:rPr>
      <w:rFonts w:cs="Arial"/>
      <w:szCs w:val="17"/>
    </w:rPr>
  </w:style>
  <w:style w:type="paragraph" w:customStyle="1" w:styleId="Tablebullet">
    <w:name w:val="Table bullet"/>
    <w:basedOn w:val="Tablebodytext"/>
    <w:qFormat/>
    <w:rsid w:val="001D7657"/>
    <w:pPr>
      <w:numPr>
        <w:numId w:val="12"/>
      </w:numPr>
    </w:pPr>
  </w:style>
  <w:style w:type="table" w:styleId="TableGrid">
    <w:name w:val="Table Grid"/>
    <w:basedOn w:val="TableNormal"/>
    <w:rsid w:val="001D76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heading">
    <w:name w:val="Table heading"/>
    <w:basedOn w:val="Tablebodytext"/>
    <w:qFormat/>
    <w:rsid w:val="001D7657"/>
    <w:pPr>
      <w:keepNext/>
      <w:spacing w:after="60"/>
      <w:jc w:val="center"/>
    </w:pPr>
    <w:rPr>
      <w:b/>
    </w:rPr>
  </w:style>
  <w:style w:type="paragraph" w:customStyle="1" w:styleId="Tablenumberedlist">
    <w:name w:val="Table numbered list"/>
    <w:basedOn w:val="Tablebodytext"/>
    <w:qFormat/>
    <w:rsid w:val="001D7657"/>
    <w:pPr>
      <w:numPr>
        <w:numId w:val="13"/>
      </w:numPr>
    </w:pPr>
  </w:style>
  <w:style w:type="paragraph" w:styleId="TableofAuthorities">
    <w:name w:val="table of authorities"/>
    <w:basedOn w:val="Normal"/>
    <w:next w:val="Normal"/>
    <w:semiHidden/>
    <w:rsid w:val="001D7657"/>
    <w:pPr>
      <w:ind w:left="200" w:hanging="200"/>
    </w:pPr>
  </w:style>
  <w:style w:type="paragraph" w:styleId="Title">
    <w:name w:val="Title"/>
    <w:basedOn w:val="Normal"/>
    <w:next w:val="BodyText"/>
    <w:link w:val="TitleChar"/>
    <w:qFormat/>
    <w:rsid w:val="001D7657"/>
    <w:pPr>
      <w:keepNext/>
      <w:spacing w:after="240"/>
    </w:pPr>
    <w:rPr>
      <w:b/>
      <w:sz w:val="36"/>
    </w:rPr>
  </w:style>
  <w:style w:type="character" w:customStyle="1" w:styleId="TitleChar">
    <w:name w:val="Title Char"/>
    <w:basedOn w:val="DefaultParagraphFont"/>
    <w:link w:val="Title"/>
    <w:rsid w:val="00A22BFA"/>
    <w:rPr>
      <w:rFonts w:ascii="Calibri" w:hAnsi="Calibri"/>
      <w:b/>
      <w:sz w:val="36"/>
      <w:lang w:eastAsia="en-GB"/>
    </w:rPr>
  </w:style>
  <w:style w:type="paragraph" w:styleId="TOC1">
    <w:name w:val="toc 1"/>
    <w:basedOn w:val="Normal"/>
    <w:next w:val="Normal"/>
    <w:autoRedefine/>
    <w:uiPriority w:val="39"/>
    <w:rsid w:val="009C6A27"/>
    <w:pPr>
      <w:tabs>
        <w:tab w:val="left" w:pos="1418"/>
        <w:tab w:val="right" w:pos="8505"/>
      </w:tabs>
      <w:spacing w:before="227"/>
      <w:ind w:left="1418" w:right="1089" w:hanging="1418"/>
    </w:pPr>
    <w:rPr>
      <w:rFonts w:asciiTheme="minorHAnsi" w:hAnsiTheme="minorHAnsi"/>
      <w:b/>
      <w:noProof/>
    </w:rPr>
  </w:style>
  <w:style w:type="paragraph" w:styleId="TOC2">
    <w:name w:val="toc 2"/>
    <w:basedOn w:val="TOC1"/>
    <w:next w:val="Normal"/>
    <w:autoRedefine/>
    <w:rsid w:val="001D7657"/>
    <w:pPr>
      <w:spacing w:before="0"/>
    </w:pPr>
    <w:rPr>
      <w:b w:val="0"/>
    </w:rPr>
  </w:style>
  <w:style w:type="paragraph" w:styleId="TOC3">
    <w:name w:val="toc 3"/>
    <w:basedOn w:val="TOC2"/>
    <w:autoRedefine/>
    <w:rsid w:val="001D7657"/>
  </w:style>
  <w:style w:type="paragraph" w:customStyle="1" w:styleId="Attachmentsheading">
    <w:name w:val="Attachments heading"/>
    <w:basedOn w:val="Normal"/>
    <w:next w:val="BodyText"/>
    <w:rsid w:val="001D7657"/>
    <w:pPr>
      <w:keepNext/>
      <w:pageBreakBefore/>
      <w:numPr>
        <w:numId w:val="3"/>
      </w:numPr>
      <w:spacing w:after="120"/>
    </w:pPr>
    <w:rPr>
      <w:b/>
      <w:sz w:val="28"/>
    </w:rPr>
  </w:style>
  <w:style w:type="numbering" w:customStyle="1" w:styleId="Attachmentsliststyle">
    <w:name w:val="Attachments list style"/>
    <w:basedOn w:val="NoList"/>
    <w:uiPriority w:val="99"/>
    <w:rsid w:val="001D7657"/>
    <w:pPr>
      <w:numPr>
        <w:numId w:val="3"/>
      </w:numPr>
    </w:pPr>
  </w:style>
  <w:style w:type="paragraph" w:styleId="BalloonText">
    <w:name w:val="Balloon Text"/>
    <w:basedOn w:val="Normal"/>
    <w:link w:val="BalloonTextChar"/>
    <w:semiHidden/>
    <w:rsid w:val="001D7657"/>
    <w:rPr>
      <w:rFonts w:ascii="Tahoma" w:hAnsi="Tahoma" w:cs="Tahoma"/>
      <w:sz w:val="16"/>
      <w:szCs w:val="16"/>
    </w:rPr>
  </w:style>
  <w:style w:type="character" w:customStyle="1" w:styleId="BalloonTextChar">
    <w:name w:val="Balloon Text Char"/>
    <w:basedOn w:val="DefaultParagraphFont"/>
    <w:link w:val="BalloonText"/>
    <w:semiHidden/>
    <w:rsid w:val="000D6FA8"/>
    <w:rPr>
      <w:rFonts w:ascii="Tahoma" w:hAnsi="Tahoma" w:cs="Tahoma"/>
      <w:sz w:val="16"/>
      <w:szCs w:val="16"/>
      <w:lang w:eastAsia="en-GB"/>
    </w:rPr>
  </w:style>
  <w:style w:type="character" w:styleId="FootnoteReference">
    <w:name w:val="footnote reference"/>
    <w:basedOn w:val="DefaultParagraphFont"/>
    <w:semiHidden/>
    <w:rsid w:val="001D7657"/>
    <w:rPr>
      <w:vertAlign w:val="superscript"/>
    </w:rPr>
  </w:style>
  <w:style w:type="paragraph" w:customStyle="1" w:styleId="Para1">
    <w:name w:val="Para 1"/>
    <w:basedOn w:val="BodyText"/>
    <w:qFormat/>
    <w:rsid w:val="001D7657"/>
    <w:pPr>
      <w:numPr>
        <w:numId w:val="58"/>
      </w:numPr>
    </w:pPr>
  </w:style>
  <w:style w:type="paragraph" w:customStyle="1" w:styleId="Para2">
    <w:name w:val="Para 2"/>
    <w:basedOn w:val="BodyText"/>
    <w:qFormat/>
    <w:rsid w:val="001D7657"/>
    <w:pPr>
      <w:numPr>
        <w:ilvl w:val="1"/>
        <w:numId w:val="58"/>
      </w:numPr>
    </w:pPr>
  </w:style>
  <w:style w:type="paragraph" w:customStyle="1" w:styleId="Para3">
    <w:name w:val="Para 3"/>
    <w:basedOn w:val="Para2"/>
    <w:qFormat/>
    <w:rsid w:val="001D7657"/>
    <w:pPr>
      <w:numPr>
        <w:ilvl w:val="2"/>
      </w:numPr>
    </w:pPr>
  </w:style>
  <w:style w:type="paragraph" w:customStyle="1" w:styleId="Para4">
    <w:name w:val="Para 4"/>
    <w:basedOn w:val="Para3"/>
    <w:qFormat/>
    <w:rsid w:val="001D7657"/>
    <w:pPr>
      <w:numPr>
        <w:ilvl w:val="3"/>
      </w:numPr>
    </w:pPr>
  </w:style>
  <w:style w:type="paragraph" w:customStyle="1" w:styleId="Para5">
    <w:name w:val="Para 5"/>
    <w:basedOn w:val="Para4"/>
    <w:qFormat/>
    <w:rsid w:val="001D7657"/>
    <w:pPr>
      <w:numPr>
        <w:ilvl w:val="4"/>
      </w:numPr>
    </w:pPr>
  </w:style>
  <w:style w:type="paragraph" w:customStyle="1" w:styleId="Singlespacedparagraph">
    <w:name w:val="Single spaced paragraph"/>
    <w:basedOn w:val="Normal"/>
    <w:qFormat/>
    <w:rsid w:val="001D7657"/>
  </w:style>
  <w:style w:type="numbering" w:customStyle="1" w:styleId="Tablebulletlist">
    <w:name w:val="Table bullet list"/>
    <w:uiPriority w:val="99"/>
    <w:rsid w:val="001D7657"/>
    <w:pPr>
      <w:numPr>
        <w:numId w:val="12"/>
      </w:numPr>
    </w:pPr>
  </w:style>
  <w:style w:type="paragraph" w:customStyle="1" w:styleId="zContactdetails">
    <w:name w:val="z_Contact details"/>
    <w:basedOn w:val="BodyText"/>
    <w:semiHidden/>
    <w:rsid w:val="001D7657"/>
    <w:pPr>
      <w:spacing w:after="120"/>
    </w:pPr>
  </w:style>
  <w:style w:type="paragraph" w:customStyle="1" w:styleId="zContactheadings">
    <w:name w:val="z_Contact headings"/>
    <w:basedOn w:val="BodyText"/>
    <w:semiHidden/>
    <w:rsid w:val="001D7657"/>
    <w:pPr>
      <w:spacing w:after="120"/>
    </w:pPr>
    <w:rPr>
      <w:b/>
    </w:rPr>
  </w:style>
  <w:style w:type="paragraph" w:customStyle="1" w:styleId="zPagename">
    <w:name w:val="z_Page name"/>
    <w:basedOn w:val="Title"/>
    <w:next w:val="BodyText"/>
    <w:semiHidden/>
    <w:rsid w:val="001D7657"/>
    <w:pPr>
      <w:spacing w:before="720"/>
    </w:pPr>
  </w:style>
  <w:style w:type="paragraph" w:customStyle="1" w:styleId="zInstructions">
    <w:name w:val="z_Instructions"/>
    <w:basedOn w:val="BodyText"/>
    <w:semiHidden/>
    <w:rsid w:val="00640B44"/>
    <w:pPr>
      <w:shd w:val="clear" w:color="auto" w:fill="A6A6A6" w:themeFill="background1" w:themeFillShade="A6"/>
      <w:spacing w:after="120" w:line="260" w:lineRule="atLeast"/>
    </w:pPr>
    <w:rPr>
      <w:color w:val="FFFFFF"/>
      <w:sz w:val="22"/>
    </w:rPr>
  </w:style>
  <w:style w:type="paragraph" w:customStyle="1" w:styleId="zInstructionsbullet">
    <w:name w:val="z_Instructions bullet"/>
    <w:basedOn w:val="zInstructions"/>
    <w:semiHidden/>
    <w:rsid w:val="00640B44"/>
    <w:pPr>
      <w:numPr>
        <w:numId w:val="2"/>
      </w:numPr>
    </w:pPr>
  </w:style>
  <w:style w:type="numbering" w:customStyle="1" w:styleId="zInstructionsbulletlist">
    <w:name w:val="z_Instructions bullet list"/>
    <w:basedOn w:val="NoList"/>
    <w:uiPriority w:val="99"/>
    <w:rsid w:val="00640B44"/>
    <w:pPr>
      <w:numPr>
        <w:numId w:val="1"/>
      </w:numPr>
    </w:pPr>
  </w:style>
  <w:style w:type="paragraph" w:styleId="BodyTextIndent">
    <w:name w:val="Body Text Indent"/>
    <w:basedOn w:val="BodyText"/>
    <w:link w:val="BodyTextIndentChar"/>
    <w:qFormat/>
    <w:rsid w:val="001D7657"/>
    <w:pPr>
      <w:ind w:left="709"/>
    </w:pPr>
  </w:style>
  <w:style w:type="character" w:customStyle="1" w:styleId="BodyTextIndentChar">
    <w:name w:val="Body Text Indent Char"/>
    <w:basedOn w:val="DefaultParagraphFont"/>
    <w:link w:val="BodyTextIndent"/>
    <w:rsid w:val="005A7573"/>
    <w:rPr>
      <w:rFonts w:ascii="Calibri" w:hAnsi="Calibri"/>
      <w:sz w:val="24"/>
      <w:lang w:eastAsia="en-GB"/>
    </w:rPr>
  </w:style>
  <w:style w:type="paragraph" w:customStyle="1" w:styleId="ImanageHeader">
    <w:name w:val="ImanageHeader"/>
    <w:basedOn w:val="Normal"/>
    <w:rsid w:val="001D7657"/>
    <w:pPr>
      <w:jc w:val="right"/>
    </w:pPr>
    <w:rPr>
      <w:sz w:val="20"/>
    </w:rPr>
  </w:style>
  <w:style w:type="paragraph" w:customStyle="1" w:styleId="Level1bullet">
    <w:name w:val="Level 1 bullet"/>
    <w:basedOn w:val="Normal"/>
    <w:semiHidden/>
    <w:rsid w:val="001D7657"/>
    <w:pPr>
      <w:numPr>
        <w:numId w:val="5"/>
      </w:numPr>
      <w:spacing w:before="120"/>
    </w:pPr>
  </w:style>
  <w:style w:type="paragraph" w:customStyle="1" w:styleId="Level2bullet">
    <w:name w:val="Level 2 bullet"/>
    <w:basedOn w:val="Normal"/>
    <w:semiHidden/>
    <w:rsid w:val="001D7657"/>
    <w:pPr>
      <w:numPr>
        <w:numId w:val="6"/>
      </w:numPr>
      <w:spacing w:before="120"/>
    </w:pPr>
  </w:style>
  <w:style w:type="paragraph" w:customStyle="1" w:styleId="Level3bullet">
    <w:name w:val="Level 3 bullet"/>
    <w:basedOn w:val="Normal"/>
    <w:rsid w:val="001D7657"/>
    <w:pPr>
      <w:numPr>
        <w:numId w:val="7"/>
      </w:numPr>
      <w:spacing w:before="120"/>
    </w:pPr>
  </w:style>
  <w:style w:type="paragraph" w:customStyle="1" w:styleId="Numberedlist">
    <w:name w:val="Numbered list"/>
    <w:basedOn w:val="Normal"/>
    <w:semiHidden/>
    <w:rsid w:val="001D7657"/>
    <w:pPr>
      <w:numPr>
        <w:numId w:val="9"/>
      </w:numPr>
    </w:pPr>
  </w:style>
  <w:style w:type="paragraph" w:customStyle="1" w:styleId="Outline1">
    <w:name w:val="Outline 1"/>
    <w:basedOn w:val="Normal"/>
    <w:semiHidden/>
    <w:rsid w:val="001D7657"/>
    <w:pPr>
      <w:spacing w:after="120"/>
    </w:pPr>
  </w:style>
  <w:style w:type="paragraph" w:customStyle="1" w:styleId="Outline1Heading">
    <w:name w:val="Outline 1 Heading"/>
    <w:basedOn w:val="Normal"/>
    <w:next w:val="Outline1"/>
    <w:semiHidden/>
    <w:rsid w:val="001D7657"/>
    <w:pPr>
      <w:keepNext/>
      <w:spacing w:before="240" w:after="60"/>
      <w:outlineLvl w:val="0"/>
    </w:pPr>
    <w:rPr>
      <w:b/>
    </w:rPr>
  </w:style>
  <w:style w:type="paragraph" w:customStyle="1" w:styleId="Outline2">
    <w:name w:val="Outline 2"/>
    <w:basedOn w:val="Normal"/>
    <w:semiHidden/>
    <w:rsid w:val="001D7657"/>
    <w:pPr>
      <w:numPr>
        <w:numId w:val="10"/>
      </w:numPr>
      <w:spacing w:after="120"/>
    </w:pPr>
  </w:style>
  <w:style w:type="character" w:customStyle="1" w:styleId="Heading1Char">
    <w:name w:val="Heading 1 Char"/>
    <w:basedOn w:val="DefaultParagraphFont"/>
    <w:link w:val="Heading1"/>
    <w:rsid w:val="00B200F7"/>
    <w:rPr>
      <w:rFonts w:ascii="Calibri" w:hAnsi="Calibri"/>
      <w:b/>
      <w:sz w:val="28"/>
      <w:lang w:eastAsia="en-GB"/>
    </w:rPr>
  </w:style>
  <w:style w:type="character" w:customStyle="1" w:styleId="Heading2Char">
    <w:name w:val="Heading 2 Char"/>
    <w:basedOn w:val="DefaultParagraphFont"/>
    <w:link w:val="Heading2"/>
    <w:rsid w:val="00B200F7"/>
    <w:rPr>
      <w:rFonts w:ascii="Calibri" w:hAnsi="Calibri"/>
      <w:b/>
      <w:sz w:val="24"/>
      <w:lang w:eastAsia="en-GB"/>
    </w:rPr>
  </w:style>
  <w:style w:type="paragraph" w:customStyle="1" w:styleId="Bullet-RomanNumeral">
    <w:name w:val="Bullet - (Roman Numeral)"/>
    <w:basedOn w:val="ListNumber5"/>
    <w:rsid w:val="00B200F7"/>
    <w:pPr>
      <w:tabs>
        <w:tab w:val="clear" w:pos="360"/>
        <w:tab w:val="num" w:pos="2098"/>
      </w:tabs>
      <w:ind w:left="2098" w:hanging="397"/>
      <w:contextualSpacing w:val="0"/>
    </w:pPr>
  </w:style>
  <w:style w:type="paragraph" w:customStyle="1" w:styleId="ChapterHeading">
    <w:name w:val="Chapter Heading"/>
    <w:basedOn w:val="Normal"/>
    <w:rsid w:val="00B200F7"/>
    <w:pPr>
      <w:numPr>
        <w:numId w:val="14"/>
      </w:numPr>
      <w:spacing w:before="240" w:after="240"/>
    </w:pPr>
    <w:rPr>
      <w:b/>
      <w:caps/>
      <w:sz w:val="28"/>
      <w:szCs w:val="28"/>
    </w:rPr>
  </w:style>
  <w:style w:type="paragraph" w:customStyle="1" w:styleId="Bullet-Letter">
    <w:name w:val="Bullet - (Letter)"/>
    <w:rsid w:val="00B200F7"/>
    <w:pPr>
      <w:tabs>
        <w:tab w:val="num" w:pos="1701"/>
      </w:tabs>
      <w:ind w:left="1701" w:hanging="567"/>
    </w:pPr>
    <w:rPr>
      <w:sz w:val="24"/>
      <w:szCs w:val="24"/>
      <w:lang w:val="en-US" w:eastAsia="en-US"/>
    </w:rPr>
  </w:style>
  <w:style w:type="paragraph" w:customStyle="1" w:styleId="AppendixHeading">
    <w:name w:val="Appendix Heading"/>
    <w:rsid w:val="00B200F7"/>
    <w:pPr>
      <w:tabs>
        <w:tab w:val="num" w:pos="851"/>
      </w:tabs>
      <w:spacing w:before="120" w:after="120"/>
      <w:ind w:left="851" w:hanging="851"/>
    </w:pPr>
    <w:rPr>
      <w:b/>
      <w:caps/>
      <w:sz w:val="28"/>
      <w:szCs w:val="28"/>
      <w:lang w:val="en-US" w:eastAsia="en-US"/>
    </w:rPr>
  </w:style>
  <w:style w:type="paragraph" w:customStyle="1" w:styleId="TableHeading0">
    <w:name w:val="Table Heading"/>
    <w:basedOn w:val="Normal"/>
    <w:rsid w:val="00B200F7"/>
    <w:pPr>
      <w:tabs>
        <w:tab w:val="num" w:pos="360"/>
      </w:tabs>
      <w:spacing w:before="120" w:after="120"/>
      <w:ind w:left="360" w:hanging="360"/>
      <w:jc w:val="center"/>
    </w:pPr>
    <w:rPr>
      <w:b/>
      <w:sz w:val="20"/>
    </w:rPr>
  </w:style>
  <w:style w:type="paragraph" w:customStyle="1" w:styleId="AppendixNumberedParagraphs">
    <w:name w:val="Appendix Numbered Paragraphs"/>
    <w:rsid w:val="00B200F7"/>
    <w:pPr>
      <w:tabs>
        <w:tab w:val="num" w:pos="851"/>
      </w:tabs>
      <w:spacing w:before="120" w:after="120"/>
      <w:ind w:left="851" w:hanging="851"/>
    </w:pPr>
    <w:rPr>
      <w:sz w:val="24"/>
      <w:lang w:eastAsia="en-US"/>
    </w:rPr>
  </w:style>
  <w:style w:type="paragraph" w:customStyle="1" w:styleId="NumberedParagraphsChapterandNumber">
    <w:name w:val="Numbered Paragraphs (Chapter and Number)"/>
    <w:rsid w:val="00B200F7"/>
    <w:pPr>
      <w:tabs>
        <w:tab w:val="num" w:pos="851"/>
      </w:tabs>
      <w:spacing w:before="120" w:after="120"/>
      <w:ind w:left="851" w:hanging="851"/>
    </w:pPr>
    <w:rPr>
      <w:sz w:val="24"/>
      <w:lang w:eastAsia="en-US"/>
    </w:rPr>
  </w:style>
  <w:style w:type="paragraph" w:customStyle="1" w:styleId="Numberlist">
    <w:name w:val="Number list"/>
    <w:basedOn w:val="Normal"/>
    <w:rsid w:val="00B200F7"/>
    <w:pPr>
      <w:numPr>
        <w:ilvl w:val="1"/>
        <w:numId w:val="14"/>
      </w:numPr>
      <w:spacing w:before="120" w:after="120"/>
    </w:pPr>
  </w:style>
  <w:style w:type="paragraph" w:customStyle="1" w:styleId="number2">
    <w:name w:val="number 2"/>
    <w:basedOn w:val="Numberlist"/>
    <w:rsid w:val="00B200F7"/>
    <w:pPr>
      <w:numPr>
        <w:ilvl w:val="2"/>
      </w:numPr>
      <w:spacing w:before="0"/>
      <w:jc w:val="both"/>
    </w:pPr>
    <w:rPr>
      <w:rFonts w:ascii="Times" w:hAnsi="Times"/>
      <w:lang w:eastAsia="en-GB"/>
    </w:rPr>
  </w:style>
  <w:style w:type="paragraph" w:customStyle="1" w:styleId="number3">
    <w:name w:val="number 3"/>
    <w:basedOn w:val="number2"/>
    <w:rsid w:val="00B200F7"/>
    <w:pPr>
      <w:numPr>
        <w:ilvl w:val="3"/>
      </w:numPr>
    </w:pPr>
  </w:style>
  <w:style w:type="paragraph" w:styleId="ListNumber5">
    <w:name w:val="List Number 5"/>
    <w:basedOn w:val="Normal"/>
    <w:semiHidden/>
    <w:rsid w:val="00B200F7"/>
    <w:pPr>
      <w:tabs>
        <w:tab w:val="num" w:pos="360"/>
      </w:tabs>
      <w:ind w:left="360" w:hanging="360"/>
      <w:contextualSpacing/>
    </w:pPr>
  </w:style>
  <w:style w:type="paragraph" w:styleId="ListParagraph">
    <w:name w:val="List Paragraph"/>
    <w:basedOn w:val="Normal"/>
    <w:uiPriority w:val="34"/>
    <w:qFormat/>
    <w:rsid w:val="004A44CB"/>
    <w:pPr>
      <w:ind w:left="720"/>
      <w:contextualSpacing/>
    </w:pPr>
  </w:style>
  <w:style w:type="paragraph" w:customStyle="1" w:styleId="zContents">
    <w:name w:val="z_Contents"/>
    <w:basedOn w:val="BodyText"/>
    <w:rsid w:val="00C80BBC"/>
    <w:pPr>
      <w:keepNext/>
      <w:spacing w:line="240" w:lineRule="auto"/>
    </w:pPr>
    <w:rPr>
      <w:rFonts w:ascii="Calibri" w:hAnsi="Calibri"/>
      <w:b/>
      <w:caps/>
      <w:sz w:val="28"/>
    </w:rPr>
  </w:style>
  <w:style w:type="paragraph" w:customStyle="1" w:styleId="EquationsL2">
    <w:name w:val="Equations L2"/>
    <w:basedOn w:val="Normal"/>
    <w:qFormat/>
    <w:rsid w:val="003C2ACB"/>
    <w:pPr>
      <w:tabs>
        <w:tab w:val="left" w:pos="1446"/>
        <w:tab w:val="left" w:pos="1701"/>
      </w:tabs>
      <w:spacing w:after="120"/>
      <w:ind w:left="1701" w:hanging="567"/>
    </w:pPr>
  </w:style>
  <w:style w:type="character" w:styleId="CommentReference">
    <w:name w:val="annotation reference"/>
    <w:basedOn w:val="DefaultParagraphFont"/>
    <w:rsid w:val="003C2ACB"/>
    <w:rPr>
      <w:sz w:val="16"/>
      <w:szCs w:val="16"/>
    </w:rPr>
  </w:style>
  <w:style w:type="paragraph" w:styleId="CommentText">
    <w:name w:val="annotation text"/>
    <w:basedOn w:val="Normal"/>
    <w:link w:val="CommentTextChar"/>
    <w:rsid w:val="003C2ACB"/>
    <w:rPr>
      <w:rFonts w:ascii="Calibri" w:hAnsi="Calibri"/>
      <w:sz w:val="20"/>
      <w:szCs w:val="20"/>
      <w:lang w:eastAsia="en-GB"/>
    </w:rPr>
  </w:style>
  <w:style w:type="character" w:customStyle="1" w:styleId="CommentTextChar">
    <w:name w:val="Comment Text Char"/>
    <w:basedOn w:val="DefaultParagraphFont"/>
    <w:link w:val="CommentText"/>
    <w:rsid w:val="003C2ACB"/>
    <w:rPr>
      <w:rFonts w:ascii="Calibri" w:hAnsi="Calibri"/>
      <w:lang w:eastAsia="en-GB"/>
    </w:rPr>
  </w:style>
  <w:style w:type="paragraph" w:customStyle="1" w:styleId="UnnumberedL3">
    <w:name w:val="Unnumbered L3"/>
    <w:basedOn w:val="Normal"/>
    <w:qFormat/>
    <w:rsid w:val="00527899"/>
    <w:pPr>
      <w:keepNext/>
      <w:keepLines/>
      <w:spacing w:after="120"/>
      <w:ind w:left="1701"/>
    </w:pPr>
  </w:style>
  <w:style w:type="paragraph" w:customStyle="1" w:styleId="SchHead1SCHEDULE">
    <w:name w:val="Sch.Head.1: SCHEDULE"/>
    <w:basedOn w:val="Normal"/>
    <w:next w:val="SchHead2Division"/>
    <w:qFormat/>
    <w:rsid w:val="00C901EB"/>
    <w:pPr>
      <w:keepNext/>
      <w:pageBreakBefore/>
      <w:numPr>
        <w:numId w:val="36"/>
      </w:numPr>
      <w:spacing w:after="360"/>
      <w:jc w:val="center"/>
      <w:outlineLvl w:val="0"/>
    </w:pPr>
    <w:rPr>
      <w:b/>
      <w:caps/>
      <w:sz w:val="32"/>
    </w:rPr>
  </w:style>
  <w:style w:type="paragraph" w:customStyle="1" w:styleId="SchHead2Division">
    <w:name w:val="Sch.Head.2: Division"/>
    <w:basedOn w:val="Normal"/>
    <w:qFormat/>
    <w:rsid w:val="00C901EB"/>
    <w:pPr>
      <w:keepNext/>
      <w:keepLines/>
      <w:numPr>
        <w:ilvl w:val="1"/>
        <w:numId w:val="36"/>
      </w:numPr>
      <w:spacing w:before="240" w:after="360"/>
      <w:jc w:val="center"/>
      <w:outlineLvl w:val="1"/>
    </w:pPr>
    <w:rPr>
      <w:b/>
      <w:caps/>
      <w:sz w:val="28"/>
    </w:rPr>
  </w:style>
  <w:style w:type="paragraph" w:customStyle="1" w:styleId="SchHead3Sub-Divisiontitle">
    <w:name w:val="Sch.Head.3: Sub-Division title"/>
    <w:basedOn w:val="Normal"/>
    <w:qFormat/>
    <w:rsid w:val="00C901EB"/>
    <w:pPr>
      <w:keepNext/>
      <w:keepLines/>
      <w:numPr>
        <w:ilvl w:val="2"/>
        <w:numId w:val="36"/>
      </w:numPr>
      <w:spacing w:before="360" w:after="240"/>
      <w:outlineLvl w:val="2"/>
    </w:pPr>
    <w:rPr>
      <w:b/>
      <w:sz w:val="28"/>
    </w:rPr>
  </w:style>
  <w:style w:type="paragraph" w:customStyle="1" w:styleId="SchHead4Clause">
    <w:name w:val="Sch.Head.4: Clause"/>
    <w:basedOn w:val="Normal"/>
    <w:next w:val="ClauseTextnumberedLvl1"/>
    <w:qFormat/>
    <w:rsid w:val="00C901EB"/>
    <w:pPr>
      <w:numPr>
        <w:ilvl w:val="3"/>
        <w:numId w:val="36"/>
      </w:numPr>
      <w:spacing w:before="120" w:after="240"/>
      <w:outlineLvl w:val="3"/>
    </w:pPr>
    <w:rPr>
      <w:b/>
    </w:rPr>
  </w:style>
  <w:style w:type="paragraph" w:customStyle="1" w:styleId="ClauseTextnumberedLvl1">
    <w:name w:val="Clause Text numbered Lvl 1"/>
    <w:basedOn w:val="Normal"/>
    <w:qFormat/>
    <w:rsid w:val="00C901EB"/>
    <w:pPr>
      <w:numPr>
        <w:ilvl w:val="4"/>
        <w:numId w:val="36"/>
      </w:numPr>
      <w:spacing w:after="120"/>
      <w:outlineLvl w:val="4"/>
    </w:pPr>
    <w:rPr>
      <w:b/>
    </w:rPr>
  </w:style>
  <w:style w:type="paragraph" w:customStyle="1" w:styleId="SchHead7ClausesubttextL3">
    <w:name w:val="Sch.Head.7: Clause subttext L3"/>
    <w:basedOn w:val="Normal"/>
    <w:qFormat/>
    <w:rsid w:val="00C901EB"/>
    <w:pPr>
      <w:numPr>
        <w:ilvl w:val="6"/>
        <w:numId w:val="36"/>
      </w:numPr>
      <w:spacing w:after="120"/>
      <w:outlineLvl w:val="6"/>
    </w:pPr>
    <w:rPr>
      <w:b/>
    </w:rPr>
  </w:style>
  <w:style w:type="paragraph" w:customStyle="1" w:styleId="SchHeadFigures">
    <w:name w:val="Sch.Head: Figures"/>
    <w:basedOn w:val="Normal"/>
    <w:qFormat/>
    <w:rsid w:val="00C901EB"/>
    <w:pPr>
      <w:numPr>
        <w:ilvl w:val="7"/>
        <w:numId w:val="36"/>
      </w:numPr>
      <w:spacing w:after="120"/>
      <w:outlineLvl w:val="7"/>
    </w:pPr>
    <w:rPr>
      <w:b/>
    </w:rPr>
  </w:style>
  <w:style w:type="paragraph" w:customStyle="1" w:styleId="SchHeadTables">
    <w:name w:val="Sch.Head: Tables"/>
    <w:basedOn w:val="Normal"/>
    <w:next w:val="Normal"/>
    <w:qFormat/>
    <w:rsid w:val="00C901EB"/>
    <w:pPr>
      <w:numPr>
        <w:ilvl w:val="8"/>
        <w:numId w:val="36"/>
      </w:numPr>
      <w:spacing w:after="120"/>
      <w:outlineLvl w:val="8"/>
    </w:pPr>
    <w:rPr>
      <w:b/>
    </w:rPr>
  </w:style>
  <w:style w:type="paragraph" w:customStyle="1" w:styleId="SchHead6ClausesubtextL2">
    <w:name w:val="Sch.Head.6: Clause subtext L2"/>
    <w:basedOn w:val="Normal"/>
    <w:qFormat/>
    <w:rsid w:val="00C901EB"/>
    <w:pPr>
      <w:numPr>
        <w:ilvl w:val="5"/>
        <w:numId w:val="36"/>
      </w:numPr>
      <w:spacing w:after="120"/>
      <w:outlineLvl w:val="5"/>
    </w:pPr>
    <w:rPr>
      <w:b/>
    </w:rPr>
  </w:style>
  <w:style w:type="paragraph" w:styleId="Caption">
    <w:name w:val="caption"/>
    <w:basedOn w:val="Normal"/>
    <w:next w:val="Normal"/>
    <w:unhideWhenUsed/>
    <w:qFormat/>
    <w:rsid w:val="00C901EB"/>
    <w:rPr>
      <w:b/>
      <w:bCs/>
      <w:sz w:val="20"/>
      <w:szCs w:val="20"/>
      <w:lang w:eastAsia="en-GB"/>
    </w:rPr>
  </w:style>
  <w:style w:type="paragraph" w:customStyle="1" w:styleId="HeadingH4Clausetext">
    <w:name w:val="Heading H4: Clause text"/>
    <w:basedOn w:val="Normal"/>
    <w:link w:val="HeadingH4ClausetextChar"/>
    <w:qFormat/>
    <w:rsid w:val="00EA35F9"/>
    <w:pPr>
      <w:keepNext/>
      <w:numPr>
        <w:ilvl w:val="2"/>
        <w:numId w:val="141"/>
      </w:numPr>
      <w:spacing w:after="240" w:line="264" w:lineRule="auto"/>
      <w:outlineLvl w:val="3"/>
    </w:pPr>
  </w:style>
  <w:style w:type="paragraph" w:customStyle="1" w:styleId="HeadingH5ClausesubtextL1">
    <w:name w:val="Heading H5: Clause subtext L1"/>
    <w:basedOn w:val="Normal"/>
    <w:qFormat/>
    <w:rsid w:val="00805A3D"/>
    <w:pPr>
      <w:numPr>
        <w:ilvl w:val="3"/>
        <w:numId w:val="141"/>
      </w:numPr>
      <w:tabs>
        <w:tab w:val="clear" w:pos="1135"/>
      </w:tabs>
      <w:spacing w:after="240" w:line="264" w:lineRule="auto"/>
      <w:ind w:left="1418" w:hanging="709"/>
      <w:outlineLvl w:val="4"/>
    </w:pPr>
  </w:style>
  <w:style w:type="paragraph" w:customStyle="1" w:styleId="HeadingH7ClausesubtextL3">
    <w:name w:val="Heading H7: Clause subtext L3"/>
    <w:basedOn w:val="Normal"/>
    <w:qFormat/>
    <w:rsid w:val="00517A9F"/>
    <w:pPr>
      <w:numPr>
        <w:ilvl w:val="5"/>
        <w:numId w:val="141"/>
      </w:numPr>
      <w:spacing w:after="240" w:line="264" w:lineRule="auto"/>
      <w:outlineLvl w:val="6"/>
    </w:pPr>
  </w:style>
  <w:style w:type="character" w:customStyle="1" w:styleId="HeadingH4ClausetextChar">
    <w:name w:val="Heading H4: Clause text Char"/>
    <w:basedOn w:val="DefaultParagraphFont"/>
    <w:link w:val="HeadingH4Clausetext"/>
    <w:rsid w:val="00EA35F9"/>
    <w:rPr>
      <w:rFonts w:asciiTheme="majorHAnsi" w:hAnsiTheme="majorHAnsi"/>
      <w:sz w:val="24"/>
      <w:szCs w:val="24"/>
      <w:lang w:eastAsia="en-US"/>
    </w:rPr>
  </w:style>
  <w:style w:type="paragraph" w:customStyle="1" w:styleId="HeadingH6ClausesubtextL2">
    <w:name w:val="Heading H6: Clause subtext L2"/>
    <w:basedOn w:val="Normal"/>
    <w:link w:val="HeadingH6ClausesubtextL2Char"/>
    <w:qFormat/>
    <w:rsid w:val="00517A9F"/>
    <w:pPr>
      <w:numPr>
        <w:ilvl w:val="4"/>
        <w:numId w:val="141"/>
      </w:numPr>
      <w:spacing w:after="240" w:line="264" w:lineRule="auto"/>
      <w:ind w:left="2127" w:hanging="709"/>
      <w:outlineLvl w:val="5"/>
    </w:pPr>
  </w:style>
  <w:style w:type="paragraph" w:styleId="CommentSubject">
    <w:name w:val="annotation subject"/>
    <w:basedOn w:val="CommentText"/>
    <w:next w:val="CommentText"/>
    <w:link w:val="CommentSubjectChar"/>
    <w:semiHidden/>
    <w:rsid w:val="00A02F5E"/>
    <w:rPr>
      <w:rFonts w:ascii="Times New Roman" w:hAnsi="Times New Roman"/>
      <w:b/>
      <w:bCs/>
      <w:lang w:eastAsia="en-US"/>
    </w:rPr>
  </w:style>
  <w:style w:type="character" w:customStyle="1" w:styleId="CommentSubjectChar">
    <w:name w:val="Comment Subject Char"/>
    <w:basedOn w:val="CommentTextChar"/>
    <w:link w:val="CommentSubject"/>
    <w:semiHidden/>
    <w:rsid w:val="00A02F5E"/>
    <w:rPr>
      <w:b/>
      <w:bCs/>
      <w:lang w:eastAsia="en-US"/>
    </w:rPr>
  </w:style>
  <w:style w:type="paragraph" w:customStyle="1" w:styleId="Subsection">
    <w:name w:val="Sub section"/>
    <w:basedOn w:val="Normal"/>
    <w:rsid w:val="00671493"/>
    <w:pPr>
      <w:autoSpaceDE w:val="0"/>
      <w:autoSpaceDN w:val="0"/>
    </w:pPr>
    <w:rPr>
      <w:rFonts w:eastAsiaTheme="minorHAnsi"/>
      <w:lang w:eastAsia="en-NZ"/>
    </w:rPr>
  </w:style>
  <w:style w:type="paragraph" w:customStyle="1" w:styleId="HeadingH2">
    <w:name w:val="Heading H2"/>
    <w:basedOn w:val="Normal"/>
    <w:qFormat/>
    <w:rsid w:val="00075B56"/>
    <w:pPr>
      <w:numPr>
        <w:numId w:val="141"/>
      </w:numPr>
      <w:spacing w:before="360" w:after="240"/>
      <w:jc w:val="center"/>
    </w:pPr>
    <w:rPr>
      <w:rFonts w:eastAsiaTheme="minorHAnsi"/>
      <w:b/>
      <w:bCs/>
      <w:caps/>
      <w:sz w:val="28"/>
      <w:szCs w:val="28"/>
      <w:lang w:eastAsia="en-NZ"/>
    </w:rPr>
  </w:style>
  <w:style w:type="paragraph" w:customStyle="1" w:styleId="HeadingH1">
    <w:name w:val="Heading H1"/>
    <w:basedOn w:val="Normal"/>
    <w:qFormat/>
    <w:rsid w:val="00671493"/>
    <w:pPr>
      <w:pageBreakBefore/>
      <w:numPr>
        <w:numId w:val="38"/>
      </w:numPr>
      <w:spacing w:after="360"/>
      <w:jc w:val="center"/>
    </w:pPr>
    <w:rPr>
      <w:rFonts w:eastAsiaTheme="minorHAnsi"/>
      <w:b/>
      <w:bCs/>
      <w:caps/>
      <w:sz w:val="32"/>
      <w:szCs w:val="32"/>
      <w:lang w:eastAsia="en-NZ"/>
    </w:rPr>
  </w:style>
  <w:style w:type="paragraph" w:customStyle="1" w:styleId="HeadingH3SectionHeading">
    <w:name w:val="Heading H3: Section Heading"/>
    <w:basedOn w:val="Normal"/>
    <w:qFormat/>
    <w:rsid w:val="00075B56"/>
    <w:pPr>
      <w:numPr>
        <w:ilvl w:val="1"/>
        <w:numId w:val="141"/>
      </w:numPr>
      <w:spacing w:after="240" w:line="264" w:lineRule="auto"/>
    </w:pPr>
    <w:rPr>
      <w:rFonts w:eastAsiaTheme="minorHAnsi"/>
      <w:b/>
      <w:bCs/>
      <w:caps/>
      <w:lang w:eastAsia="en-NZ"/>
    </w:rPr>
  </w:style>
  <w:style w:type="character" w:customStyle="1" w:styleId="HeadingH6ClausesubtextL2Char">
    <w:name w:val="Heading H6: Clause subtext L2 Char"/>
    <w:basedOn w:val="DefaultParagraphFont"/>
    <w:link w:val="HeadingH6ClausesubtextL2"/>
    <w:locked/>
    <w:rsid w:val="00517A9F"/>
    <w:rPr>
      <w:rFonts w:asciiTheme="majorHAnsi" w:hAnsiTheme="majorHAnsi"/>
      <w:sz w:val="24"/>
      <w:szCs w:val="24"/>
      <w:lang w:eastAsia="en-US"/>
    </w:rPr>
  </w:style>
  <w:style w:type="character" w:customStyle="1" w:styleId="Emphasis-Bold">
    <w:name w:val="Emphasis - Bold"/>
    <w:basedOn w:val="DefaultParagraphFont"/>
    <w:qFormat/>
    <w:rsid w:val="0084688E"/>
    <w:rPr>
      <w:b/>
      <w:bCs/>
      <w:lang w:val="en-NZ"/>
    </w:rPr>
  </w:style>
  <w:style w:type="paragraph" w:customStyle="1" w:styleId="Subsubparagraph">
    <w:name w:val="Sub sub paragraph"/>
    <w:rsid w:val="00F710CF"/>
    <w:pPr>
      <w:widowControl w:val="0"/>
      <w:autoSpaceDE w:val="0"/>
      <w:autoSpaceDN w:val="0"/>
      <w:adjustRightInd w:val="0"/>
    </w:pPr>
    <w:rPr>
      <w:rFonts w:eastAsia="Batang"/>
      <w:sz w:val="24"/>
      <w:szCs w:val="24"/>
      <w:lang w:val="en-US" w:eastAsia="ko-KR"/>
    </w:rPr>
  </w:style>
  <w:style w:type="paragraph" w:customStyle="1" w:styleId="Subtitle0">
    <w:name w:val="Sub title0"/>
    <w:rsid w:val="00F710CF"/>
    <w:pPr>
      <w:widowControl w:val="0"/>
      <w:autoSpaceDE w:val="0"/>
      <w:autoSpaceDN w:val="0"/>
      <w:adjustRightInd w:val="0"/>
      <w:spacing w:before="360" w:after="360"/>
      <w:jc w:val="center"/>
    </w:pPr>
    <w:rPr>
      <w:rFonts w:eastAsia="Batang"/>
      <w:sz w:val="24"/>
      <w:szCs w:val="24"/>
      <w:lang w:val="en-US" w:eastAsia="ko-KR"/>
    </w:rPr>
  </w:style>
  <w:style w:type="paragraph" w:customStyle="1" w:styleId="Default">
    <w:name w:val="Default"/>
    <w:rsid w:val="00F710CF"/>
    <w:pPr>
      <w:autoSpaceDE w:val="0"/>
      <w:autoSpaceDN w:val="0"/>
      <w:adjustRightInd w:val="0"/>
    </w:pPr>
    <w:rPr>
      <w:color w:val="000000"/>
      <w:sz w:val="24"/>
      <w:szCs w:val="24"/>
    </w:rPr>
  </w:style>
  <w:style w:type="paragraph" w:customStyle="1" w:styleId="Clausetextunnumbered">
    <w:name w:val="Clause text unnumbered"/>
    <w:basedOn w:val="Normal"/>
    <w:link w:val="ClausetextunnumberedChar"/>
    <w:autoRedefine/>
    <w:qFormat/>
    <w:rsid w:val="000C09C5"/>
    <w:pPr>
      <w:spacing w:after="120"/>
    </w:pPr>
    <w:rPr>
      <w:rFonts w:ascii="Calibri" w:hAnsi="Calibri"/>
    </w:rPr>
  </w:style>
  <w:style w:type="character" w:customStyle="1" w:styleId="ClausetextunnumberedChar">
    <w:name w:val="Clause text unnumbered Char"/>
    <w:basedOn w:val="DefaultParagraphFont"/>
    <w:link w:val="Clausetextunnumbered"/>
    <w:rsid w:val="000C09C5"/>
    <w:rPr>
      <w:rFonts w:ascii="Calibri" w:hAnsi="Calibri"/>
      <w:sz w:val="24"/>
      <w:szCs w:val="24"/>
      <w:lang w:eastAsia="en-US"/>
    </w:rPr>
  </w:style>
  <w:style w:type="paragraph" w:customStyle="1" w:styleId="UnnumberedL2">
    <w:name w:val="Unnumbered L2"/>
    <w:basedOn w:val="Normal"/>
    <w:qFormat/>
    <w:rsid w:val="00F43885"/>
    <w:pPr>
      <w:spacing w:after="120"/>
      <w:ind w:left="1134"/>
    </w:pPr>
    <w:rPr>
      <w:rFonts w:ascii="Calibri" w:hAnsi="Calibri"/>
    </w:rPr>
  </w:style>
  <w:style w:type="character" w:customStyle="1" w:styleId="GDB">
    <w:name w:val="GDB"/>
    <w:basedOn w:val="DefaultParagraphFont"/>
    <w:qFormat/>
    <w:rsid w:val="00F43885"/>
    <w:rPr>
      <w:rFonts w:ascii="Calibri" w:hAnsi="Calibri"/>
      <w:bdr w:val="none" w:sz="0" w:space="0" w:color="auto"/>
      <w:shd w:val="clear" w:color="auto" w:fill="C2D69B" w:themeFill="accent3" w:themeFillTint="99"/>
      <w:lang w:val="en-NZ"/>
    </w:rPr>
  </w:style>
  <w:style w:type="character" w:customStyle="1" w:styleId="GTB">
    <w:name w:val="GTB"/>
    <w:basedOn w:val="DefaultParagraphFont"/>
    <w:qFormat/>
    <w:rsid w:val="00F43885"/>
    <w:rPr>
      <w:rFonts w:ascii="Calibri" w:hAnsi="Calibri"/>
      <w:bdr w:val="none" w:sz="0" w:space="0" w:color="auto"/>
      <w:shd w:val="clear" w:color="auto" w:fill="C6D9F1" w:themeFill="text2" w:themeFillTint="33"/>
      <w:lang w:val="en-NZ"/>
    </w:rPr>
  </w:style>
  <w:style w:type="character" w:customStyle="1" w:styleId="EDB">
    <w:name w:val="EDB"/>
    <w:basedOn w:val="DefaultParagraphFont"/>
    <w:qFormat/>
    <w:rsid w:val="00A47D39"/>
    <w:rPr>
      <w:rFonts w:ascii="Calibri" w:hAnsi="Calibri"/>
      <w:bdr w:val="none" w:sz="0" w:space="0" w:color="auto"/>
      <w:shd w:val="clear" w:color="auto" w:fill="F2DBDB" w:themeFill="accent2" w:themeFillTint="33"/>
      <w:lang w:val="en-NZ"/>
    </w:rPr>
  </w:style>
  <w:style w:type="paragraph" w:customStyle="1" w:styleId="HeadingFigureHeading">
    <w:name w:val="Heading: Figure Heading"/>
    <w:basedOn w:val="Normal"/>
    <w:next w:val="HeadingH7ClausesubtextL3"/>
    <w:rsid w:val="00401271"/>
    <w:pPr>
      <w:tabs>
        <w:tab w:val="num" w:pos="1418"/>
      </w:tabs>
      <w:spacing w:after="120"/>
      <w:ind w:left="1418" w:hanging="1418"/>
      <w:outlineLvl w:val="7"/>
    </w:pPr>
    <w:rPr>
      <w:rFonts w:ascii="Calibri" w:hAnsi="Calibri"/>
      <w:b/>
    </w:rPr>
  </w:style>
  <w:style w:type="numbering" w:styleId="111111">
    <w:name w:val="Outline List 2"/>
    <w:basedOn w:val="NoList"/>
    <w:rsid w:val="00317651"/>
    <w:pPr>
      <w:numPr>
        <w:numId w:val="45"/>
      </w:numPr>
    </w:pPr>
  </w:style>
  <w:style w:type="paragraph" w:customStyle="1" w:styleId="UnnumberedL1">
    <w:name w:val="Unnumbered L1"/>
    <w:basedOn w:val="Normal"/>
    <w:qFormat/>
    <w:rsid w:val="008837D4"/>
    <w:pPr>
      <w:spacing w:after="120"/>
      <w:ind w:left="652"/>
    </w:pPr>
    <w:rPr>
      <w:rFonts w:ascii="Calibri" w:hAnsi="Calibri"/>
    </w:rPr>
  </w:style>
  <w:style w:type="paragraph" w:customStyle="1" w:styleId="HeadingH6ClausesubtextL21">
    <w:name w:val="Heading H6: Clause subtext L21"/>
    <w:basedOn w:val="Normal"/>
    <w:next w:val="HeadingH6ClausesubtextL2"/>
    <w:rsid w:val="008837D4"/>
    <w:pPr>
      <w:tabs>
        <w:tab w:val="num" w:pos="1701"/>
      </w:tabs>
      <w:spacing w:after="120"/>
      <w:ind w:left="1701" w:hanging="567"/>
      <w:contextualSpacing/>
      <w:outlineLvl w:val="5"/>
    </w:pPr>
    <w:rPr>
      <w:rFonts w:ascii="Calibri" w:hAnsi="Calibri"/>
    </w:rPr>
  </w:style>
  <w:style w:type="character" w:customStyle="1" w:styleId="Emphasis-Italics">
    <w:name w:val="Emphasis - Italics"/>
    <w:rsid w:val="00594AAC"/>
    <w:rPr>
      <w:i/>
      <w:lang w:val="en-NZ"/>
    </w:rPr>
  </w:style>
  <w:style w:type="paragraph" w:customStyle="1" w:styleId="UnnumberedL4">
    <w:name w:val="Unnumbered L4"/>
    <w:basedOn w:val="Normal"/>
    <w:qFormat/>
    <w:rsid w:val="00594AAC"/>
    <w:pPr>
      <w:spacing w:after="120"/>
      <w:ind w:left="2268"/>
    </w:pPr>
    <w:rPr>
      <w:rFonts w:ascii="Calibri" w:hAnsi="Calibri"/>
    </w:rPr>
  </w:style>
  <w:style w:type="paragraph" w:customStyle="1" w:styleId="Clausetextnumberedlvl3">
    <w:name w:val="Clause text numbered lvl 3"/>
    <w:basedOn w:val="HeadingH7ClausesubtextL3"/>
    <w:autoRedefine/>
    <w:qFormat/>
    <w:rsid w:val="00594AAC"/>
    <w:pPr>
      <w:tabs>
        <w:tab w:val="num" w:pos="2268"/>
      </w:tabs>
      <w:ind w:left="2268" w:hanging="567"/>
    </w:pPr>
    <w:rPr>
      <w:rFonts w:ascii="Calibri" w:hAnsi="Calibri"/>
    </w:rPr>
  </w:style>
  <w:style w:type="paragraph" w:styleId="ListNumber4">
    <w:name w:val="List Number 4"/>
    <w:basedOn w:val="Normal"/>
    <w:rsid w:val="00A44829"/>
    <w:pPr>
      <w:numPr>
        <w:numId w:val="94"/>
      </w:numPr>
    </w:pPr>
    <w:rPr>
      <w:rFonts w:ascii="Calibri" w:hAnsi="Calibri"/>
      <w:lang w:eastAsia="en-GB"/>
    </w:rPr>
  </w:style>
  <w:style w:type="numbering" w:customStyle="1" w:styleId="Style1">
    <w:name w:val="Style1"/>
    <w:uiPriority w:val="99"/>
    <w:rsid w:val="0083175F"/>
    <w:pPr>
      <w:numPr>
        <w:numId w:val="105"/>
      </w:numPr>
    </w:pPr>
  </w:style>
  <w:style w:type="numbering" w:customStyle="1" w:styleId="Style2">
    <w:name w:val="Style2"/>
    <w:uiPriority w:val="99"/>
    <w:rsid w:val="0057495F"/>
    <w:pPr>
      <w:numPr>
        <w:numId w:val="120"/>
      </w:numPr>
    </w:pPr>
  </w:style>
  <w:style w:type="paragraph" w:styleId="Revision">
    <w:name w:val="Revision"/>
    <w:hidden/>
    <w:uiPriority w:val="99"/>
    <w:semiHidden/>
    <w:rsid w:val="001F24B8"/>
    <w:rPr>
      <w:sz w:val="24"/>
      <w:szCs w:val="24"/>
      <w:lang w:eastAsia="en-US"/>
    </w:rPr>
  </w:style>
  <w:style w:type="paragraph" w:customStyle="1" w:styleId="StyleHeading3Body">
    <w:name w:val="Style Heading 3 + +Body"/>
    <w:basedOn w:val="Heading3"/>
    <w:rsid w:val="00517A9F"/>
    <w:pPr>
      <w:keepNext w:val="0"/>
    </w:pPr>
    <w:rPr>
      <w:rFonts w:asciiTheme="minorHAnsi" w:hAnsiTheme="minorHAnsi"/>
      <w:iCs/>
    </w:rPr>
  </w:style>
  <w:style w:type="paragraph" w:customStyle="1" w:styleId="StyleHeadingH5ClausesubtextL1Bold">
    <w:name w:val="Style Heading H5: Clause subtext L1 + Bold"/>
    <w:basedOn w:val="HeadingH5ClausesubtextL1"/>
    <w:rsid w:val="00805A3D"/>
    <w:rPr>
      <w:b/>
      <w:bCs/>
    </w:rPr>
  </w:style>
  <w:style w:type="paragraph" w:customStyle="1" w:styleId="StyleHeadingH5ClausesubtextL1Left175cmFirstline">
    <w:name w:val="Style Heading H5: Clause subtext L1 + Left:  1.75 cm First line:  ..."/>
    <w:basedOn w:val="HeadingH5ClausesubtextL1"/>
    <w:rsid w:val="00805A3D"/>
    <w:rPr>
      <w:szCs w:val="20"/>
    </w:rPr>
  </w:style>
  <w:style w:type="paragraph" w:styleId="TOC4">
    <w:name w:val="toc 4"/>
    <w:basedOn w:val="Normal"/>
    <w:next w:val="Normal"/>
    <w:autoRedefine/>
    <w:uiPriority w:val="39"/>
    <w:unhideWhenUsed/>
    <w:rsid w:val="009C6A27"/>
    <w:pPr>
      <w:spacing w:after="100" w:line="276" w:lineRule="auto"/>
      <w:ind w:left="660"/>
    </w:pPr>
    <w:rPr>
      <w:rFonts w:asciiTheme="minorHAnsi" w:eastAsiaTheme="minorEastAsia" w:hAnsiTheme="minorHAnsi" w:cstheme="minorBidi"/>
      <w:sz w:val="22"/>
      <w:szCs w:val="22"/>
      <w:lang w:eastAsia="en-NZ"/>
    </w:rPr>
  </w:style>
  <w:style w:type="paragraph" w:styleId="TOC5">
    <w:name w:val="toc 5"/>
    <w:basedOn w:val="Normal"/>
    <w:next w:val="Normal"/>
    <w:autoRedefine/>
    <w:uiPriority w:val="39"/>
    <w:unhideWhenUsed/>
    <w:rsid w:val="009C6A27"/>
    <w:pPr>
      <w:spacing w:after="100" w:line="276" w:lineRule="auto"/>
      <w:ind w:left="880"/>
    </w:pPr>
    <w:rPr>
      <w:rFonts w:asciiTheme="minorHAnsi" w:eastAsiaTheme="minorEastAsia" w:hAnsiTheme="minorHAnsi" w:cstheme="minorBidi"/>
      <w:sz w:val="22"/>
      <w:szCs w:val="22"/>
      <w:lang w:eastAsia="en-NZ"/>
    </w:rPr>
  </w:style>
  <w:style w:type="paragraph" w:styleId="TOC6">
    <w:name w:val="toc 6"/>
    <w:basedOn w:val="Normal"/>
    <w:next w:val="Normal"/>
    <w:autoRedefine/>
    <w:uiPriority w:val="39"/>
    <w:unhideWhenUsed/>
    <w:rsid w:val="009C6A27"/>
    <w:pPr>
      <w:spacing w:after="100" w:line="276" w:lineRule="auto"/>
      <w:ind w:left="1100"/>
    </w:pPr>
    <w:rPr>
      <w:rFonts w:asciiTheme="minorHAnsi" w:eastAsiaTheme="minorEastAsia" w:hAnsiTheme="minorHAnsi" w:cstheme="minorBidi"/>
      <w:sz w:val="22"/>
      <w:szCs w:val="22"/>
      <w:lang w:eastAsia="en-NZ"/>
    </w:rPr>
  </w:style>
  <w:style w:type="paragraph" w:styleId="TOC7">
    <w:name w:val="toc 7"/>
    <w:basedOn w:val="Normal"/>
    <w:next w:val="Normal"/>
    <w:autoRedefine/>
    <w:uiPriority w:val="39"/>
    <w:unhideWhenUsed/>
    <w:rsid w:val="009C6A27"/>
    <w:pPr>
      <w:spacing w:after="100" w:line="276" w:lineRule="auto"/>
      <w:ind w:left="1320"/>
    </w:pPr>
    <w:rPr>
      <w:rFonts w:asciiTheme="minorHAnsi" w:eastAsiaTheme="minorEastAsia" w:hAnsiTheme="minorHAnsi" w:cstheme="minorBidi"/>
      <w:sz w:val="22"/>
      <w:szCs w:val="22"/>
      <w:lang w:eastAsia="en-NZ"/>
    </w:rPr>
  </w:style>
  <w:style w:type="paragraph" w:styleId="TOC8">
    <w:name w:val="toc 8"/>
    <w:basedOn w:val="Normal"/>
    <w:next w:val="Normal"/>
    <w:autoRedefine/>
    <w:uiPriority w:val="39"/>
    <w:unhideWhenUsed/>
    <w:rsid w:val="009C6A27"/>
    <w:pPr>
      <w:spacing w:after="100" w:line="276" w:lineRule="auto"/>
      <w:ind w:left="1540"/>
    </w:pPr>
    <w:rPr>
      <w:rFonts w:asciiTheme="minorHAnsi" w:eastAsiaTheme="minorEastAsia" w:hAnsiTheme="minorHAnsi" w:cstheme="minorBidi"/>
      <w:sz w:val="22"/>
      <w:szCs w:val="22"/>
      <w:lang w:eastAsia="en-NZ"/>
    </w:rPr>
  </w:style>
  <w:style w:type="paragraph" w:styleId="TOC9">
    <w:name w:val="toc 9"/>
    <w:basedOn w:val="Normal"/>
    <w:next w:val="Normal"/>
    <w:autoRedefine/>
    <w:uiPriority w:val="39"/>
    <w:unhideWhenUsed/>
    <w:rsid w:val="009C6A27"/>
    <w:pPr>
      <w:spacing w:after="100" w:line="276" w:lineRule="auto"/>
      <w:ind w:left="1760"/>
    </w:pPr>
    <w:rPr>
      <w:rFonts w:asciiTheme="minorHAnsi" w:eastAsiaTheme="minorEastAsia" w:hAnsiTheme="minorHAnsi" w:cstheme="minorBidi"/>
      <w:sz w:val="22"/>
      <w:szCs w:val="22"/>
      <w:lang w:eastAsia="en-NZ"/>
    </w:rPr>
  </w:style>
  <w:style w:type="character" w:customStyle="1" w:styleId="Emphasis-Remove">
    <w:name w:val="Emphasis - Remove"/>
    <w:rsid w:val="00A56499"/>
    <w:rPr>
      <w:lang w:val="en-NZ"/>
    </w:rPr>
  </w:style>
</w:styles>
</file>

<file path=word/webSettings.xml><?xml version="1.0" encoding="utf-8"?>
<w:webSettings xmlns:r="http://schemas.openxmlformats.org/officeDocument/2006/relationships" xmlns:w="http://schemas.openxmlformats.org/wordprocessingml/2006/main">
  <w:divs>
    <w:div w:id="67119009">
      <w:bodyDiv w:val="1"/>
      <w:marLeft w:val="0"/>
      <w:marRight w:val="0"/>
      <w:marTop w:val="0"/>
      <w:marBottom w:val="0"/>
      <w:divBdr>
        <w:top w:val="none" w:sz="0" w:space="0" w:color="auto"/>
        <w:left w:val="none" w:sz="0" w:space="0" w:color="auto"/>
        <w:bottom w:val="none" w:sz="0" w:space="0" w:color="auto"/>
        <w:right w:val="none" w:sz="0" w:space="0" w:color="auto"/>
      </w:divBdr>
    </w:div>
    <w:div w:id="391778833">
      <w:bodyDiv w:val="1"/>
      <w:marLeft w:val="0"/>
      <w:marRight w:val="0"/>
      <w:marTop w:val="0"/>
      <w:marBottom w:val="0"/>
      <w:divBdr>
        <w:top w:val="none" w:sz="0" w:space="0" w:color="auto"/>
        <w:left w:val="none" w:sz="0" w:space="0" w:color="auto"/>
        <w:bottom w:val="none" w:sz="0" w:space="0" w:color="auto"/>
        <w:right w:val="none" w:sz="0" w:space="0" w:color="auto"/>
      </w:divBdr>
    </w:div>
    <w:div w:id="408426488">
      <w:bodyDiv w:val="1"/>
      <w:marLeft w:val="0"/>
      <w:marRight w:val="0"/>
      <w:marTop w:val="0"/>
      <w:marBottom w:val="0"/>
      <w:divBdr>
        <w:top w:val="none" w:sz="0" w:space="0" w:color="auto"/>
        <w:left w:val="none" w:sz="0" w:space="0" w:color="auto"/>
        <w:bottom w:val="none" w:sz="0" w:space="0" w:color="auto"/>
        <w:right w:val="none" w:sz="0" w:space="0" w:color="auto"/>
      </w:divBdr>
    </w:div>
    <w:div w:id="490223206">
      <w:bodyDiv w:val="1"/>
      <w:marLeft w:val="0"/>
      <w:marRight w:val="0"/>
      <w:marTop w:val="0"/>
      <w:marBottom w:val="0"/>
      <w:divBdr>
        <w:top w:val="none" w:sz="0" w:space="0" w:color="auto"/>
        <w:left w:val="none" w:sz="0" w:space="0" w:color="auto"/>
        <w:bottom w:val="none" w:sz="0" w:space="0" w:color="auto"/>
        <w:right w:val="none" w:sz="0" w:space="0" w:color="auto"/>
      </w:divBdr>
    </w:div>
    <w:div w:id="517693629">
      <w:bodyDiv w:val="1"/>
      <w:marLeft w:val="0"/>
      <w:marRight w:val="0"/>
      <w:marTop w:val="0"/>
      <w:marBottom w:val="0"/>
      <w:divBdr>
        <w:top w:val="none" w:sz="0" w:space="0" w:color="auto"/>
        <w:left w:val="none" w:sz="0" w:space="0" w:color="auto"/>
        <w:bottom w:val="none" w:sz="0" w:space="0" w:color="auto"/>
        <w:right w:val="none" w:sz="0" w:space="0" w:color="auto"/>
      </w:divBdr>
    </w:div>
    <w:div w:id="709957575">
      <w:bodyDiv w:val="1"/>
      <w:marLeft w:val="0"/>
      <w:marRight w:val="0"/>
      <w:marTop w:val="0"/>
      <w:marBottom w:val="0"/>
      <w:divBdr>
        <w:top w:val="none" w:sz="0" w:space="0" w:color="auto"/>
        <w:left w:val="none" w:sz="0" w:space="0" w:color="auto"/>
        <w:bottom w:val="none" w:sz="0" w:space="0" w:color="auto"/>
        <w:right w:val="none" w:sz="0" w:space="0" w:color="auto"/>
      </w:divBdr>
    </w:div>
    <w:div w:id="940911287">
      <w:bodyDiv w:val="1"/>
      <w:marLeft w:val="0"/>
      <w:marRight w:val="0"/>
      <w:marTop w:val="0"/>
      <w:marBottom w:val="0"/>
      <w:divBdr>
        <w:top w:val="none" w:sz="0" w:space="0" w:color="auto"/>
        <w:left w:val="none" w:sz="0" w:space="0" w:color="auto"/>
        <w:bottom w:val="none" w:sz="0" w:space="0" w:color="auto"/>
        <w:right w:val="none" w:sz="0" w:space="0" w:color="auto"/>
      </w:divBdr>
    </w:div>
    <w:div w:id="957102770">
      <w:bodyDiv w:val="1"/>
      <w:marLeft w:val="0"/>
      <w:marRight w:val="0"/>
      <w:marTop w:val="0"/>
      <w:marBottom w:val="0"/>
      <w:divBdr>
        <w:top w:val="none" w:sz="0" w:space="0" w:color="auto"/>
        <w:left w:val="none" w:sz="0" w:space="0" w:color="auto"/>
        <w:bottom w:val="none" w:sz="0" w:space="0" w:color="auto"/>
        <w:right w:val="none" w:sz="0" w:space="0" w:color="auto"/>
      </w:divBdr>
    </w:div>
    <w:div w:id="1022974225">
      <w:bodyDiv w:val="1"/>
      <w:marLeft w:val="0"/>
      <w:marRight w:val="0"/>
      <w:marTop w:val="0"/>
      <w:marBottom w:val="0"/>
      <w:divBdr>
        <w:top w:val="none" w:sz="0" w:space="0" w:color="auto"/>
        <w:left w:val="none" w:sz="0" w:space="0" w:color="auto"/>
        <w:bottom w:val="none" w:sz="0" w:space="0" w:color="auto"/>
        <w:right w:val="none" w:sz="0" w:space="0" w:color="auto"/>
      </w:divBdr>
    </w:div>
    <w:div w:id="1243300567">
      <w:bodyDiv w:val="1"/>
      <w:marLeft w:val="0"/>
      <w:marRight w:val="0"/>
      <w:marTop w:val="0"/>
      <w:marBottom w:val="0"/>
      <w:divBdr>
        <w:top w:val="none" w:sz="0" w:space="0" w:color="auto"/>
        <w:left w:val="none" w:sz="0" w:space="0" w:color="auto"/>
        <w:bottom w:val="none" w:sz="0" w:space="0" w:color="auto"/>
        <w:right w:val="none" w:sz="0" w:space="0" w:color="auto"/>
      </w:divBdr>
    </w:div>
    <w:div w:id="1244409265">
      <w:bodyDiv w:val="1"/>
      <w:marLeft w:val="0"/>
      <w:marRight w:val="0"/>
      <w:marTop w:val="0"/>
      <w:marBottom w:val="0"/>
      <w:divBdr>
        <w:top w:val="none" w:sz="0" w:space="0" w:color="auto"/>
        <w:left w:val="none" w:sz="0" w:space="0" w:color="auto"/>
        <w:bottom w:val="none" w:sz="0" w:space="0" w:color="auto"/>
        <w:right w:val="none" w:sz="0" w:space="0" w:color="auto"/>
      </w:divBdr>
    </w:div>
    <w:div w:id="1484392817">
      <w:bodyDiv w:val="1"/>
      <w:marLeft w:val="0"/>
      <w:marRight w:val="0"/>
      <w:marTop w:val="0"/>
      <w:marBottom w:val="0"/>
      <w:divBdr>
        <w:top w:val="none" w:sz="0" w:space="0" w:color="auto"/>
        <w:left w:val="none" w:sz="0" w:space="0" w:color="auto"/>
        <w:bottom w:val="none" w:sz="0" w:space="0" w:color="auto"/>
        <w:right w:val="none" w:sz="0" w:space="0" w:color="auto"/>
      </w:divBdr>
    </w:div>
    <w:div w:id="1621717833">
      <w:bodyDiv w:val="1"/>
      <w:marLeft w:val="0"/>
      <w:marRight w:val="0"/>
      <w:marTop w:val="0"/>
      <w:marBottom w:val="0"/>
      <w:divBdr>
        <w:top w:val="none" w:sz="0" w:space="0" w:color="auto"/>
        <w:left w:val="none" w:sz="0" w:space="0" w:color="auto"/>
        <w:bottom w:val="none" w:sz="0" w:space="0" w:color="auto"/>
        <w:right w:val="none" w:sz="0" w:space="0" w:color="auto"/>
      </w:divBdr>
    </w:div>
    <w:div w:id="1638297040">
      <w:bodyDiv w:val="1"/>
      <w:marLeft w:val="0"/>
      <w:marRight w:val="0"/>
      <w:marTop w:val="0"/>
      <w:marBottom w:val="0"/>
      <w:divBdr>
        <w:top w:val="none" w:sz="0" w:space="0" w:color="auto"/>
        <w:left w:val="none" w:sz="0" w:space="0" w:color="auto"/>
        <w:bottom w:val="none" w:sz="0" w:space="0" w:color="auto"/>
        <w:right w:val="none" w:sz="0" w:space="0" w:color="auto"/>
      </w:divBdr>
    </w:div>
    <w:div w:id="1753044833">
      <w:bodyDiv w:val="1"/>
      <w:marLeft w:val="0"/>
      <w:marRight w:val="0"/>
      <w:marTop w:val="0"/>
      <w:marBottom w:val="0"/>
      <w:divBdr>
        <w:top w:val="none" w:sz="0" w:space="0" w:color="auto"/>
        <w:left w:val="none" w:sz="0" w:space="0" w:color="auto"/>
        <w:bottom w:val="none" w:sz="0" w:space="0" w:color="auto"/>
        <w:right w:val="none" w:sz="0" w:space="0" w:color="auto"/>
      </w:divBdr>
    </w:div>
    <w:div w:id="1801878188">
      <w:bodyDiv w:val="1"/>
      <w:marLeft w:val="0"/>
      <w:marRight w:val="0"/>
      <w:marTop w:val="0"/>
      <w:marBottom w:val="0"/>
      <w:divBdr>
        <w:top w:val="none" w:sz="0" w:space="0" w:color="auto"/>
        <w:left w:val="none" w:sz="0" w:space="0" w:color="auto"/>
        <w:bottom w:val="none" w:sz="0" w:space="0" w:color="auto"/>
        <w:right w:val="none" w:sz="0" w:space="0" w:color="auto"/>
      </w:divBdr>
    </w:div>
    <w:div w:id="1914511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12.emf"/><Relationship Id="rId117" Type="http://schemas.openxmlformats.org/officeDocument/2006/relationships/image" Target="media/image77.wmf"/><Relationship Id="rId21" Type="http://schemas.openxmlformats.org/officeDocument/2006/relationships/image" Target="media/image7.emf"/><Relationship Id="rId42" Type="http://schemas.openxmlformats.org/officeDocument/2006/relationships/image" Target="media/image28.emf"/><Relationship Id="rId47" Type="http://schemas.openxmlformats.org/officeDocument/2006/relationships/image" Target="media/image33.emf"/><Relationship Id="rId63" Type="http://schemas.openxmlformats.org/officeDocument/2006/relationships/image" Target="media/image49.emf"/><Relationship Id="rId68" Type="http://schemas.openxmlformats.org/officeDocument/2006/relationships/oleObject" Target="embeddings/oleObject1.bin"/><Relationship Id="rId84" Type="http://schemas.openxmlformats.org/officeDocument/2006/relationships/oleObject" Target="embeddings/oleObject9.bin"/><Relationship Id="rId89" Type="http://schemas.openxmlformats.org/officeDocument/2006/relationships/image" Target="media/image64.wmf"/><Relationship Id="rId112" Type="http://schemas.openxmlformats.org/officeDocument/2006/relationships/oleObject" Target="embeddings/oleObject24.bin"/><Relationship Id="rId133" Type="http://schemas.openxmlformats.org/officeDocument/2006/relationships/oleObject" Target="embeddings/oleObject35.bin"/><Relationship Id="rId138" Type="http://schemas.openxmlformats.org/officeDocument/2006/relationships/image" Target="media/image87.wmf"/><Relationship Id="rId16" Type="http://schemas.openxmlformats.org/officeDocument/2006/relationships/header" Target="header5.xml"/><Relationship Id="rId107" Type="http://schemas.openxmlformats.org/officeDocument/2006/relationships/oleObject" Target="embeddings/oleObject21.bin"/><Relationship Id="rId11" Type="http://schemas.openxmlformats.org/officeDocument/2006/relationships/footer" Target="footer2.xml"/><Relationship Id="rId32" Type="http://schemas.openxmlformats.org/officeDocument/2006/relationships/image" Target="media/image18.emf"/><Relationship Id="rId37" Type="http://schemas.openxmlformats.org/officeDocument/2006/relationships/image" Target="media/image23.emf"/><Relationship Id="rId53" Type="http://schemas.openxmlformats.org/officeDocument/2006/relationships/image" Target="media/image39.emf"/><Relationship Id="rId58" Type="http://schemas.openxmlformats.org/officeDocument/2006/relationships/image" Target="media/image44.emf"/><Relationship Id="rId74" Type="http://schemas.openxmlformats.org/officeDocument/2006/relationships/oleObject" Target="embeddings/oleObject4.bin"/><Relationship Id="rId79" Type="http://schemas.openxmlformats.org/officeDocument/2006/relationships/image" Target="media/image59.wmf"/><Relationship Id="rId102" Type="http://schemas.openxmlformats.org/officeDocument/2006/relationships/oleObject" Target="embeddings/oleObject18.bin"/><Relationship Id="rId123" Type="http://schemas.openxmlformats.org/officeDocument/2006/relationships/oleObject" Target="embeddings/oleObject30.bin"/><Relationship Id="rId128" Type="http://schemas.openxmlformats.org/officeDocument/2006/relationships/image" Target="media/image82.wmf"/><Relationship Id="rId144" Type="http://schemas.openxmlformats.org/officeDocument/2006/relationships/theme" Target="theme/theme1.xml"/><Relationship Id="rId5" Type="http://schemas.openxmlformats.org/officeDocument/2006/relationships/webSettings" Target="webSettings.xml"/><Relationship Id="rId90" Type="http://schemas.openxmlformats.org/officeDocument/2006/relationships/oleObject" Target="embeddings/oleObject12.bin"/><Relationship Id="rId95" Type="http://schemas.openxmlformats.org/officeDocument/2006/relationships/image" Target="media/image67.wmf"/><Relationship Id="rId22" Type="http://schemas.openxmlformats.org/officeDocument/2006/relationships/image" Target="media/image8.emf"/><Relationship Id="rId27" Type="http://schemas.openxmlformats.org/officeDocument/2006/relationships/image" Target="media/image13.emf"/><Relationship Id="rId43" Type="http://schemas.openxmlformats.org/officeDocument/2006/relationships/image" Target="media/image29.emf"/><Relationship Id="rId48" Type="http://schemas.openxmlformats.org/officeDocument/2006/relationships/image" Target="media/image34.emf"/><Relationship Id="rId64" Type="http://schemas.openxmlformats.org/officeDocument/2006/relationships/image" Target="media/image50.emf"/><Relationship Id="rId69" Type="http://schemas.openxmlformats.org/officeDocument/2006/relationships/image" Target="media/image54.wmf"/><Relationship Id="rId113" Type="http://schemas.openxmlformats.org/officeDocument/2006/relationships/image" Target="media/image75.wmf"/><Relationship Id="rId118" Type="http://schemas.openxmlformats.org/officeDocument/2006/relationships/oleObject" Target="embeddings/oleObject27.bin"/><Relationship Id="rId134" Type="http://schemas.openxmlformats.org/officeDocument/2006/relationships/image" Target="media/image85.wmf"/><Relationship Id="rId139" Type="http://schemas.openxmlformats.org/officeDocument/2006/relationships/oleObject" Target="embeddings/oleObject38.bin"/><Relationship Id="rId8" Type="http://schemas.openxmlformats.org/officeDocument/2006/relationships/header" Target="header1.xml"/><Relationship Id="rId51" Type="http://schemas.openxmlformats.org/officeDocument/2006/relationships/image" Target="media/image37.emf"/><Relationship Id="rId72" Type="http://schemas.openxmlformats.org/officeDocument/2006/relationships/oleObject" Target="embeddings/oleObject3.bin"/><Relationship Id="rId80" Type="http://schemas.openxmlformats.org/officeDocument/2006/relationships/oleObject" Target="embeddings/oleObject7.bin"/><Relationship Id="rId85" Type="http://schemas.openxmlformats.org/officeDocument/2006/relationships/image" Target="media/image62.wmf"/><Relationship Id="rId93" Type="http://schemas.openxmlformats.org/officeDocument/2006/relationships/image" Target="media/image66.wmf"/><Relationship Id="rId98" Type="http://schemas.openxmlformats.org/officeDocument/2006/relationships/oleObject" Target="embeddings/oleObject16.bin"/><Relationship Id="rId121" Type="http://schemas.openxmlformats.org/officeDocument/2006/relationships/oleObject" Target="embeddings/oleObject29.bin"/><Relationship Id="rId142" Type="http://schemas.openxmlformats.org/officeDocument/2006/relationships/header" Target="header6.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image" Target="media/image3.emf"/><Relationship Id="rId25" Type="http://schemas.openxmlformats.org/officeDocument/2006/relationships/image" Target="media/image11.emf"/><Relationship Id="rId33" Type="http://schemas.openxmlformats.org/officeDocument/2006/relationships/image" Target="media/image19.emf"/><Relationship Id="rId38" Type="http://schemas.openxmlformats.org/officeDocument/2006/relationships/image" Target="media/image24.emf"/><Relationship Id="rId46" Type="http://schemas.openxmlformats.org/officeDocument/2006/relationships/image" Target="media/image32.emf"/><Relationship Id="rId59" Type="http://schemas.openxmlformats.org/officeDocument/2006/relationships/image" Target="media/image45.emf"/><Relationship Id="rId67" Type="http://schemas.openxmlformats.org/officeDocument/2006/relationships/image" Target="media/image53.wmf"/><Relationship Id="rId103" Type="http://schemas.openxmlformats.org/officeDocument/2006/relationships/image" Target="media/image71.wmf"/><Relationship Id="rId108" Type="http://schemas.openxmlformats.org/officeDocument/2006/relationships/oleObject" Target="embeddings/oleObject22.bin"/><Relationship Id="rId116" Type="http://schemas.openxmlformats.org/officeDocument/2006/relationships/oleObject" Target="embeddings/oleObject26.bin"/><Relationship Id="rId124" Type="http://schemas.openxmlformats.org/officeDocument/2006/relationships/image" Target="media/image80.wmf"/><Relationship Id="rId129" Type="http://schemas.openxmlformats.org/officeDocument/2006/relationships/oleObject" Target="embeddings/oleObject33.bin"/><Relationship Id="rId137" Type="http://schemas.openxmlformats.org/officeDocument/2006/relationships/oleObject" Target="embeddings/oleObject37.bin"/><Relationship Id="rId20" Type="http://schemas.openxmlformats.org/officeDocument/2006/relationships/image" Target="media/image6.emf"/><Relationship Id="rId41" Type="http://schemas.openxmlformats.org/officeDocument/2006/relationships/image" Target="media/image27.emf"/><Relationship Id="rId54" Type="http://schemas.openxmlformats.org/officeDocument/2006/relationships/image" Target="media/image40.emf"/><Relationship Id="rId62" Type="http://schemas.openxmlformats.org/officeDocument/2006/relationships/image" Target="media/image48.emf"/><Relationship Id="rId70" Type="http://schemas.openxmlformats.org/officeDocument/2006/relationships/oleObject" Target="embeddings/oleObject2.bin"/><Relationship Id="rId75" Type="http://schemas.openxmlformats.org/officeDocument/2006/relationships/image" Target="media/image57.wmf"/><Relationship Id="rId83" Type="http://schemas.openxmlformats.org/officeDocument/2006/relationships/image" Target="media/image61.wmf"/><Relationship Id="rId88" Type="http://schemas.openxmlformats.org/officeDocument/2006/relationships/oleObject" Target="embeddings/oleObject11.bin"/><Relationship Id="rId91" Type="http://schemas.openxmlformats.org/officeDocument/2006/relationships/image" Target="media/image65.wmf"/><Relationship Id="rId96" Type="http://schemas.openxmlformats.org/officeDocument/2006/relationships/oleObject" Target="embeddings/oleObject15.bin"/><Relationship Id="rId111" Type="http://schemas.openxmlformats.org/officeDocument/2006/relationships/image" Target="media/image74.wmf"/><Relationship Id="rId132" Type="http://schemas.openxmlformats.org/officeDocument/2006/relationships/image" Target="media/image84.wmf"/><Relationship Id="rId140" Type="http://schemas.openxmlformats.org/officeDocument/2006/relationships/image" Target="media/image88.w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2.emf"/><Relationship Id="rId23" Type="http://schemas.openxmlformats.org/officeDocument/2006/relationships/image" Target="media/image9.emf"/><Relationship Id="rId28" Type="http://schemas.openxmlformats.org/officeDocument/2006/relationships/image" Target="media/image14.emf"/><Relationship Id="rId36" Type="http://schemas.openxmlformats.org/officeDocument/2006/relationships/image" Target="media/image22.emf"/><Relationship Id="rId49" Type="http://schemas.openxmlformats.org/officeDocument/2006/relationships/image" Target="media/image35.emf"/><Relationship Id="rId57" Type="http://schemas.openxmlformats.org/officeDocument/2006/relationships/image" Target="media/image43.emf"/><Relationship Id="rId106" Type="http://schemas.openxmlformats.org/officeDocument/2006/relationships/oleObject" Target="embeddings/oleObject20.bin"/><Relationship Id="rId114" Type="http://schemas.openxmlformats.org/officeDocument/2006/relationships/oleObject" Target="embeddings/oleObject25.bin"/><Relationship Id="rId119" Type="http://schemas.openxmlformats.org/officeDocument/2006/relationships/image" Target="media/image78.wmf"/><Relationship Id="rId127" Type="http://schemas.openxmlformats.org/officeDocument/2006/relationships/oleObject" Target="embeddings/oleObject32.bin"/><Relationship Id="rId10" Type="http://schemas.openxmlformats.org/officeDocument/2006/relationships/footer" Target="footer1.xml"/><Relationship Id="rId31" Type="http://schemas.openxmlformats.org/officeDocument/2006/relationships/image" Target="media/image17.emf"/><Relationship Id="rId44" Type="http://schemas.openxmlformats.org/officeDocument/2006/relationships/image" Target="media/image30.emf"/><Relationship Id="rId52" Type="http://schemas.openxmlformats.org/officeDocument/2006/relationships/image" Target="media/image38.emf"/><Relationship Id="rId60" Type="http://schemas.openxmlformats.org/officeDocument/2006/relationships/image" Target="media/image46.emf"/><Relationship Id="rId65" Type="http://schemas.openxmlformats.org/officeDocument/2006/relationships/image" Target="media/image51.emf"/><Relationship Id="rId73" Type="http://schemas.openxmlformats.org/officeDocument/2006/relationships/image" Target="media/image56.wmf"/><Relationship Id="rId78" Type="http://schemas.openxmlformats.org/officeDocument/2006/relationships/oleObject" Target="embeddings/oleObject6.bin"/><Relationship Id="rId81" Type="http://schemas.openxmlformats.org/officeDocument/2006/relationships/image" Target="media/image60.wmf"/><Relationship Id="rId86" Type="http://schemas.openxmlformats.org/officeDocument/2006/relationships/oleObject" Target="embeddings/oleObject10.bin"/><Relationship Id="rId94" Type="http://schemas.openxmlformats.org/officeDocument/2006/relationships/oleObject" Target="embeddings/oleObject14.bin"/><Relationship Id="rId99" Type="http://schemas.openxmlformats.org/officeDocument/2006/relationships/image" Target="media/image69.wmf"/><Relationship Id="rId101" Type="http://schemas.openxmlformats.org/officeDocument/2006/relationships/image" Target="media/image70.wmf"/><Relationship Id="rId122" Type="http://schemas.openxmlformats.org/officeDocument/2006/relationships/image" Target="media/image79.wmf"/><Relationship Id="rId130" Type="http://schemas.openxmlformats.org/officeDocument/2006/relationships/image" Target="media/image83.wmf"/><Relationship Id="rId135" Type="http://schemas.openxmlformats.org/officeDocument/2006/relationships/oleObject" Target="embeddings/oleObject36.bin"/><Relationship Id="rId14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3" Type="http://schemas.openxmlformats.org/officeDocument/2006/relationships/footer" Target="footer3.xml"/><Relationship Id="rId18" Type="http://schemas.openxmlformats.org/officeDocument/2006/relationships/image" Target="media/image4.emf"/><Relationship Id="rId39" Type="http://schemas.openxmlformats.org/officeDocument/2006/relationships/image" Target="media/image25.emf"/><Relationship Id="rId109" Type="http://schemas.openxmlformats.org/officeDocument/2006/relationships/image" Target="media/image73.wmf"/><Relationship Id="rId34" Type="http://schemas.openxmlformats.org/officeDocument/2006/relationships/image" Target="media/image20.emf"/><Relationship Id="rId50" Type="http://schemas.openxmlformats.org/officeDocument/2006/relationships/image" Target="media/image36.emf"/><Relationship Id="rId55" Type="http://schemas.openxmlformats.org/officeDocument/2006/relationships/image" Target="media/image41.emf"/><Relationship Id="rId76" Type="http://schemas.openxmlformats.org/officeDocument/2006/relationships/oleObject" Target="embeddings/oleObject5.bin"/><Relationship Id="rId97" Type="http://schemas.openxmlformats.org/officeDocument/2006/relationships/image" Target="media/image68.wmf"/><Relationship Id="rId104" Type="http://schemas.openxmlformats.org/officeDocument/2006/relationships/oleObject" Target="embeddings/oleObject19.bin"/><Relationship Id="rId120" Type="http://schemas.openxmlformats.org/officeDocument/2006/relationships/oleObject" Target="embeddings/oleObject28.bin"/><Relationship Id="rId125" Type="http://schemas.openxmlformats.org/officeDocument/2006/relationships/oleObject" Target="embeddings/oleObject31.bin"/><Relationship Id="rId141" Type="http://schemas.openxmlformats.org/officeDocument/2006/relationships/oleObject" Target="embeddings/oleObject39.bin"/><Relationship Id="rId7" Type="http://schemas.openxmlformats.org/officeDocument/2006/relationships/endnotes" Target="endnotes.xml"/><Relationship Id="rId71" Type="http://schemas.openxmlformats.org/officeDocument/2006/relationships/image" Target="media/image55.wmf"/><Relationship Id="rId92" Type="http://schemas.openxmlformats.org/officeDocument/2006/relationships/oleObject" Target="embeddings/oleObject13.bin"/><Relationship Id="rId2" Type="http://schemas.openxmlformats.org/officeDocument/2006/relationships/numbering" Target="numbering.xml"/><Relationship Id="rId29" Type="http://schemas.openxmlformats.org/officeDocument/2006/relationships/image" Target="media/image15.emf"/><Relationship Id="rId24" Type="http://schemas.openxmlformats.org/officeDocument/2006/relationships/image" Target="media/image10.emf"/><Relationship Id="rId40" Type="http://schemas.openxmlformats.org/officeDocument/2006/relationships/image" Target="media/image26.emf"/><Relationship Id="rId45" Type="http://schemas.openxmlformats.org/officeDocument/2006/relationships/image" Target="media/image31.emf"/><Relationship Id="rId66" Type="http://schemas.openxmlformats.org/officeDocument/2006/relationships/image" Target="media/image52.emf"/><Relationship Id="rId87" Type="http://schemas.openxmlformats.org/officeDocument/2006/relationships/image" Target="media/image63.wmf"/><Relationship Id="rId110" Type="http://schemas.openxmlformats.org/officeDocument/2006/relationships/oleObject" Target="embeddings/oleObject23.bin"/><Relationship Id="rId115" Type="http://schemas.openxmlformats.org/officeDocument/2006/relationships/image" Target="media/image76.wmf"/><Relationship Id="rId131" Type="http://schemas.openxmlformats.org/officeDocument/2006/relationships/oleObject" Target="embeddings/oleObject34.bin"/><Relationship Id="rId136" Type="http://schemas.openxmlformats.org/officeDocument/2006/relationships/image" Target="media/image86.wmf"/><Relationship Id="rId61" Type="http://schemas.openxmlformats.org/officeDocument/2006/relationships/image" Target="media/image47.emf"/><Relationship Id="rId82" Type="http://schemas.openxmlformats.org/officeDocument/2006/relationships/oleObject" Target="embeddings/oleObject8.bin"/><Relationship Id="rId19" Type="http://schemas.openxmlformats.org/officeDocument/2006/relationships/image" Target="media/image5.emf"/><Relationship Id="rId14" Type="http://schemas.openxmlformats.org/officeDocument/2006/relationships/header" Target="header4.xml"/><Relationship Id="rId30" Type="http://schemas.openxmlformats.org/officeDocument/2006/relationships/image" Target="media/image16.emf"/><Relationship Id="rId35" Type="http://schemas.openxmlformats.org/officeDocument/2006/relationships/image" Target="media/image21.emf"/><Relationship Id="rId56" Type="http://schemas.openxmlformats.org/officeDocument/2006/relationships/image" Target="media/image42.emf"/><Relationship Id="rId77" Type="http://schemas.openxmlformats.org/officeDocument/2006/relationships/image" Target="media/image58.wmf"/><Relationship Id="rId100" Type="http://schemas.openxmlformats.org/officeDocument/2006/relationships/oleObject" Target="embeddings/oleObject17.bin"/><Relationship Id="rId105" Type="http://schemas.openxmlformats.org/officeDocument/2006/relationships/image" Target="media/image72.wmf"/><Relationship Id="rId126" Type="http://schemas.openxmlformats.org/officeDocument/2006/relationships/image" Target="media/image81.wmf"/></Relationships>
</file>

<file path=word/_rels/footnotes.xml.rels><?xml version="1.0" encoding="UTF-8" standalone="yes"?>
<Relationships xmlns="http://schemas.openxmlformats.org/package/2006/relationships"><Relationship Id="rId1" Type="http://schemas.openxmlformats.org/officeDocument/2006/relationships/hyperlink" Target="http://www.comcom.govt.nz/2012-default-price-quality-path/"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886F9D-0E6C-4416-B5D1-5D8A6709BD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161</Pages>
  <Words>25621</Words>
  <Characters>137235</Characters>
  <Application>Microsoft Office Word</Application>
  <DocSecurity>0</DocSecurity>
  <Lines>4161</Lines>
  <Paragraphs>1815</Paragraphs>
  <ScaleCrop>false</ScaleCrop>
  <HeadingPairs>
    <vt:vector size="2" baseType="variant">
      <vt:variant>
        <vt:lpstr>Title</vt:lpstr>
      </vt:variant>
      <vt:variant>
        <vt:i4>1</vt:i4>
      </vt:variant>
    </vt:vector>
  </HeadingPairs>
  <TitlesOfParts>
    <vt:vector size="1" baseType="lpstr">
      <vt:lpstr/>
    </vt:vector>
  </TitlesOfParts>
  <Company>Commerce Commission</Company>
  <LinksUpToDate>false</LinksUpToDate>
  <CharactersWithSpaces>161231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Gordon</dc:creator>
  <cp:keywords/>
  <dc:description/>
  <cp:lastModifiedBy>Robert Gordon</cp:lastModifiedBy>
  <cp:revision>2</cp:revision>
  <cp:lastPrinted>2012-07-05T05:35:00Z</cp:lastPrinted>
  <dcterms:created xsi:type="dcterms:W3CDTF">2012-07-05T13:34:00Z</dcterms:created>
  <dcterms:modified xsi:type="dcterms:W3CDTF">2012-07-05T13:34:00Z</dcterms:modified>
</cp:coreProperties>
</file>